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F2DDF" w14:textId="77777777" w:rsidR="00C975FE" w:rsidRPr="00220238" w:rsidRDefault="00C975FE" w:rsidP="001605BB">
      <w:pPr>
        <w:widowControl w:val="0"/>
        <w:pBdr>
          <w:top w:val="single" w:sz="4" w:space="1" w:color="auto"/>
          <w:left w:val="single" w:sz="4" w:space="4" w:color="auto"/>
          <w:bottom w:val="single" w:sz="4" w:space="1" w:color="auto"/>
          <w:right w:val="single" w:sz="4" w:space="4" w:color="auto"/>
        </w:pBdr>
        <w:tabs>
          <w:tab w:val="clear" w:pos="567"/>
        </w:tabs>
      </w:pPr>
      <w:r w:rsidRPr="00220238">
        <w:t xml:space="preserve">This document is the approved product information for </w:t>
      </w:r>
      <w:r>
        <w:t>KANJINTI</w:t>
      </w:r>
      <w:r w:rsidRPr="00220238">
        <w:t xml:space="preserve">, with the changes since the previous procedure affecting the product information </w:t>
      </w:r>
      <w:r>
        <w:t>(</w:t>
      </w:r>
      <w:r w:rsidRPr="00AB387E">
        <w:t>EMEA/H/C/004361/R/0022</w:t>
      </w:r>
      <w:r w:rsidRPr="00220238">
        <w:t>) tracked.</w:t>
      </w:r>
    </w:p>
    <w:p w14:paraId="337F9948" w14:textId="77777777" w:rsidR="00C975FE" w:rsidRPr="00220238" w:rsidRDefault="00C975FE" w:rsidP="001605BB">
      <w:pPr>
        <w:widowControl w:val="0"/>
        <w:pBdr>
          <w:top w:val="single" w:sz="4" w:space="1" w:color="auto"/>
          <w:left w:val="single" w:sz="4" w:space="4" w:color="auto"/>
          <w:bottom w:val="single" w:sz="4" w:space="1" w:color="auto"/>
          <w:right w:val="single" w:sz="4" w:space="4" w:color="auto"/>
        </w:pBdr>
        <w:tabs>
          <w:tab w:val="clear" w:pos="567"/>
        </w:tabs>
      </w:pPr>
    </w:p>
    <w:p w14:paraId="41282DC2" w14:textId="77777777" w:rsidR="00C975FE" w:rsidRDefault="00C975FE" w:rsidP="001605BB">
      <w:pPr>
        <w:pStyle w:val="Dnex1"/>
        <w:rPr>
          <w:vanish w:val="0"/>
          <w:lang w:val="en-US"/>
        </w:rPr>
      </w:pPr>
      <w:r w:rsidRPr="00220238">
        <w:rPr>
          <w:vanish w:val="0"/>
        </w:rPr>
        <w:t>For more information, see the European Medicines Agency’s website:</w:t>
      </w:r>
      <w:r w:rsidRPr="00220238">
        <w:rPr>
          <w:vanish w:val="0"/>
          <w:lang w:val="en-GB"/>
        </w:rPr>
        <w:t xml:space="preserve"> </w:t>
      </w:r>
      <w:hyperlink w:history="1">
        <w:r w:rsidRPr="007B01CC">
          <w:rPr>
            <w:rStyle w:val="Hyperlink"/>
          </w:rPr>
          <w:t>https://www.ema.europa.eu/en/medicines/human/EPAR/kanjinti</w:t>
        </w:r>
      </w:hyperlink>
    </w:p>
    <w:p w14:paraId="79E0AA2D" w14:textId="17B6A8DE" w:rsidR="00925686" w:rsidRPr="006128F6" w:rsidRDefault="00E82D50" w:rsidP="001605BB">
      <w:pPr>
        <w:pBdr>
          <w:top w:val="single" w:sz="4" w:space="1" w:color="auto"/>
          <w:left w:val="single" w:sz="4" w:space="4" w:color="auto"/>
          <w:bottom w:val="single" w:sz="4" w:space="1" w:color="auto"/>
          <w:right w:val="single" w:sz="4" w:space="4" w:color="auto"/>
        </w:pBdr>
        <w:spacing w:line="240" w:lineRule="auto"/>
        <w:outlineLvl w:val="0"/>
        <w:rPr>
          <w:b/>
        </w:rPr>
      </w:pPr>
      <w:hyperlink r:id="rId12" w:history="1">
        <w:r w:rsidRPr="007B01CC">
          <w:rPr>
            <w:rStyle w:val="Hyperlink"/>
            <w:lang w:val="en-US"/>
          </w:rPr>
          <w:t>https://www.ema.europa.eu/en/medicines/human/EPAR/kanjinti</w:t>
        </w:r>
      </w:hyperlink>
    </w:p>
    <w:p w14:paraId="3AED8964" w14:textId="77777777" w:rsidR="00925686" w:rsidRPr="006128F6" w:rsidRDefault="00925686" w:rsidP="006128F6">
      <w:pPr>
        <w:spacing w:line="240" w:lineRule="auto"/>
        <w:outlineLvl w:val="0"/>
        <w:rPr>
          <w:b/>
        </w:rPr>
      </w:pPr>
    </w:p>
    <w:p w14:paraId="45BCA3B5" w14:textId="77777777" w:rsidR="00925686" w:rsidRPr="006128F6" w:rsidRDefault="00925686" w:rsidP="006128F6">
      <w:pPr>
        <w:spacing w:line="240" w:lineRule="auto"/>
        <w:outlineLvl w:val="0"/>
        <w:rPr>
          <w:b/>
        </w:rPr>
      </w:pPr>
    </w:p>
    <w:p w14:paraId="70E1438C" w14:textId="77777777" w:rsidR="00925686" w:rsidRPr="006128F6" w:rsidRDefault="00925686" w:rsidP="006128F6">
      <w:pPr>
        <w:spacing w:line="240" w:lineRule="auto"/>
        <w:outlineLvl w:val="0"/>
        <w:rPr>
          <w:b/>
          <w:szCs w:val="22"/>
        </w:rPr>
      </w:pPr>
    </w:p>
    <w:p w14:paraId="0CE9482D" w14:textId="77777777" w:rsidR="00925686" w:rsidRPr="006128F6" w:rsidRDefault="00925686" w:rsidP="006128F6">
      <w:pPr>
        <w:spacing w:line="240" w:lineRule="auto"/>
        <w:outlineLvl w:val="0"/>
        <w:rPr>
          <w:b/>
          <w:szCs w:val="22"/>
        </w:rPr>
      </w:pPr>
    </w:p>
    <w:p w14:paraId="6C8292A1" w14:textId="77777777" w:rsidR="00925686" w:rsidRPr="006128F6" w:rsidRDefault="00925686" w:rsidP="006128F6">
      <w:pPr>
        <w:spacing w:line="240" w:lineRule="auto"/>
        <w:outlineLvl w:val="0"/>
        <w:rPr>
          <w:b/>
          <w:szCs w:val="22"/>
        </w:rPr>
      </w:pPr>
    </w:p>
    <w:p w14:paraId="684011BD" w14:textId="77777777" w:rsidR="00925686" w:rsidRPr="006128F6" w:rsidRDefault="00925686" w:rsidP="006128F6">
      <w:pPr>
        <w:spacing w:line="240" w:lineRule="auto"/>
        <w:outlineLvl w:val="0"/>
        <w:rPr>
          <w:b/>
          <w:szCs w:val="22"/>
        </w:rPr>
      </w:pPr>
    </w:p>
    <w:p w14:paraId="7CF5652F" w14:textId="77777777" w:rsidR="00925686" w:rsidRPr="006128F6" w:rsidRDefault="00925686" w:rsidP="006128F6">
      <w:pPr>
        <w:spacing w:line="240" w:lineRule="auto"/>
        <w:outlineLvl w:val="0"/>
        <w:rPr>
          <w:b/>
          <w:szCs w:val="22"/>
        </w:rPr>
      </w:pPr>
    </w:p>
    <w:p w14:paraId="6D37C0FF" w14:textId="77777777" w:rsidR="00925686" w:rsidRPr="006128F6" w:rsidRDefault="00925686" w:rsidP="006128F6">
      <w:pPr>
        <w:spacing w:line="240" w:lineRule="auto"/>
        <w:outlineLvl w:val="0"/>
        <w:rPr>
          <w:b/>
          <w:szCs w:val="22"/>
        </w:rPr>
      </w:pPr>
    </w:p>
    <w:p w14:paraId="0EF3D978" w14:textId="77777777" w:rsidR="00925686" w:rsidRPr="006128F6" w:rsidRDefault="00925686" w:rsidP="006128F6">
      <w:pPr>
        <w:spacing w:line="240" w:lineRule="auto"/>
        <w:outlineLvl w:val="0"/>
        <w:rPr>
          <w:b/>
          <w:szCs w:val="22"/>
        </w:rPr>
      </w:pPr>
    </w:p>
    <w:p w14:paraId="3BEA9A8C" w14:textId="77777777" w:rsidR="00925686" w:rsidRPr="006128F6" w:rsidRDefault="00925686" w:rsidP="006128F6">
      <w:pPr>
        <w:spacing w:line="240" w:lineRule="auto"/>
        <w:outlineLvl w:val="0"/>
        <w:rPr>
          <w:b/>
          <w:szCs w:val="22"/>
        </w:rPr>
      </w:pPr>
    </w:p>
    <w:p w14:paraId="3237D16A" w14:textId="77777777" w:rsidR="00925686" w:rsidRPr="006128F6" w:rsidRDefault="00925686" w:rsidP="006128F6">
      <w:pPr>
        <w:spacing w:line="240" w:lineRule="auto"/>
        <w:outlineLvl w:val="0"/>
        <w:rPr>
          <w:b/>
          <w:szCs w:val="22"/>
        </w:rPr>
      </w:pPr>
    </w:p>
    <w:p w14:paraId="2269A035" w14:textId="77777777" w:rsidR="00925686" w:rsidRPr="006128F6" w:rsidRDefault="00925686" w:rsidP="006128F6">
      <w:pPr>
        <w:spacing w:line="240" w:lineRule="auto"/>
        <w:outlineLvl w:val="0"/>
        <w:rPr>
          <w:b/>
          <w:szCs w:val="22"/>
        </w:rPr>
      </w:pPr>
    </w:p>
    <w:p w14:paraId="4933DCC8" w14:textId="77777777" w:rsidR="00925686" w:rsidRPr="006128F6" w:rsidRDefault="00925686" w:rsidP="006128F6">
      <w:pPr>
        <w:spacing w:line="240" w:lineRule="auto"/>
        <w:outlineLvl w:val="0"/>
        <w:rPr>
          <w:b/>
          <w:szCs w:val="22"/>
        </w:rPr>
      </w:pPr>
    </w:p>
    <w:p w14:paraId="65A9C217" w14:textId="77777777" w:rsidR="00925686" w:rsidRPr="006128F6" w:rsidRDefault="00925686" w:rsidP="006128F6">
      <w:pPr>
        <w:spacing w:line="240" w:lineRule="auto"/>
        <w:outlineLvl w:val="0"/>
        <w:rPr>
          <w:b/>
          <w:szCs w:val="22"/>
        </w:rPr>
      </w:pPr>
    </w:p>
    <w:p w14:paraId="3C87D99A" w14:textId="77777777" w:rsidR="00925686" w:rsidRPr="006128F6" w:rsidRDefault="00925686" w:rsidP="006128F6">
      <w:pPr>
        <w:spacing w:line="240" w:lineRule="auto"/>
        <w:outlineLvl w:val="0"/>
        <w:rPr>
          <w:b/>
          <w:szCs w:val="22"/>
        </w:rPr>
      </w:pPr>
    </w:p>
    <w:p w14:paraId="42B3BC57" w14:textId="77777777" w:rsidR="00925686" w:rsidRPr="006128F6" w:rsidRDefault="00925686" w:rsidP="006128F6">
      <w:pPr>
        <w:spacing w:line="240" w:lineRule="auto"/>
        <w:outlineLvl w:val="0"/>
        <w:rPr>
          <w:b/>
        </w:rPr>
      </w:pPr>
    </w:p>
    <w:p w14:paraId="044D35D1" w14:textId="77777777" w:rsidR="00925686" w:rsidRPr="006128F6" w:rsidRDefault="00925686" w:rsidP="006128F6">
      <w:pPr>
        <w:spacing w:line="240" w:lineRule="auto"/>
        <w:outlineLvl w:val="0"/>
        <w:rPr>
          <w:b/>
        </w:rPr>
      </w:pPr>
    </w:p>
    <w:p w14:paraId="21164F18" w14:textId="77777777" w:rsidR="00925686" w:rsidRPr="006128F6" w:rsidRDefault="00925686" w:rsidP="006128F6">
      <w:pPr>
        <w:spacing w:line="240" w:lineRule="auto"/>
        <w:outlineLvl w:val="0"/>
        <w:rPr>
          <w:b/>
        </w:rPr>
      </w:pPr>
    </w:p>
    <w:p w14:paraId="431BB076" w14:textId="77777777" w:rsidR="00925686" w:rsidRPr="006128F6" w:rsidRDefault="00925686" w:rsidP="006128F6">
      <w:pPr>
        <w:spacing w:line="240" w:lineRule="auto"/>
        <w:jc w:val="center"/>
        <w:outlineLvl w:val="0"/>
      </w:pPr>
      <w:r w:rsidRPr="006128F6">
        <w:rPr>
          <w:b/>
        </w:rPr>
        <w:t>ANNEX I</w:t>
      </w:r>
    </w:p>
    <w:p w14:paraId="184D8167" w14:textId="77777777" w:rsidR="00925686" w:rsidRPr="006128F6" w:rsidRDefault="00925686" w:rsidP="006128F6">
      <w:pPr>
        <w:spacing w:line="240" w:lineRule="auto"/>
        <w:jc w:val="center"/>
        <w:outlineLvl w:val="0"/>
      </w:pPr>
    </w:p>
    <w:p w14:paraId="7069FA6C" w14:textId="77777777" w:rsidR="00925686" w:rsidRPr="006128F6" w:rsidRDefault="00925686" w:rsidP="006128F6">
      <w:pPr>
        <w:pStyle w:val="TitleA"/>
      </w:pPr>
      <w:r w:rsidRPr="006128F6">
        <w:t>SUMMARY OF PRODUCT CHARACTERISTICS</w:t>
      </w:r>
    </w:p>
    <w:p w14:paraId="2CB8EF4E" w14:textId="77777777" w:rsidR="00E37387" w:rsidRPr="006128F6" w:rsidRDefault="00E37387" w:rsidP="006128F6">
      <w:pPr>
        <w:tabs>
          <w:tab w:val="clear" w:pos="567"/>
        </w:tabs>
        <w:autoSpaceDE w:val="0"/>
        <w:autoSpaceDN w:val="0"/>
        <w:adjustRightInd w:val="0"/>
        <w:spacing w:line="240" w:lineRule="auto"/>
        <w:jc w:val="center"/>
        <w:rPr>
          <w:b/>
          <w:bCs/>
          <w:szCs w:val="22"/>
        </w:rPr>
      </w:pPr>
    </w:p>
    <w:p w14:paraId="1D38969B" w14:textId="77777777" w:rsidR="00E37387" w:rsidRPr="006128F6" w:rsidRDefault="00E37387" w:rsidP="006128F6">
      <w:pPr>
        <w:tabs>
          <w:tab w:val="clear" w:pos="567"/>
        </w:tabs>
        <w:autoSpaceDE w:val="0"/>
        <w:autoSpaceDN w:val="0"/>
        <w:adjustRightInd w:val="0"/>
        <w:spacing w:line="240" w:lineRule="auto"/>
        <w:jc w:val="center"/>
        <w:rPr>
          <w:b/>
          <w:bCs/>
          <w:szCs w:val="22"/>
        </w:rPr>
      </w:pPr>
    </w:p>
    <w:p w14:paraId="56DD7828" w14:textId="56493EA6" w:rsidR="00925686" w:rsidRPr="006128F6" w:rsidRDefault="00925686" w:rsidP="006128F6">
      <w:pPr>
        <w:suppressAutoHyphens/>
        <w:spacing w:line="240" w:lineRule="auto"/>
        <w:ind w:left="567" w:hanging="567"/>
        <w:rPr>
          <w:szCs w:val="22"/>
        </w:rPr>
      </w:pPr>
      <w:r w:rsidRPr="006128F6">
        <w:br w:type="page"/>
      </w:r>
      <w:r w:rsidRPr="006128F6">
        <w:rPr>
          <w:b/>
          <w:szCs w:val="22"/>
        </w:rPr>
        <w:lastRenderedPageBreak/>
        <w:t>1.</w:t>
      </w:r>
      <w:r w:rsidRPr="006128F6">
        <w:rPr>
          <w:b/>
          <w:szCs w:val="22"/>
        </w:rPr>
        <w:tab/>
        <w:t>NAME OF THE MEDICINAL PRODUCT</w:t>
      </w:r>
    </w:p>
    <w:p w14:paraId="0957717F" w14:textId="77777777" w:rsidR="00925686" w:rsidRPr="006128F6" w:rsidRDefault="00925686" w:rsidP="006128F6">
      <w:pPr>
        <w:spacing w:line="240" w:lineRule="auto"/>
        <w:rPr>
          <w:iCs/>
          <w:szCs w:val="22"/>
        </w:rPr>
      </w:pPr>
    </w:p>
    <w:p w14:paraId="7AA9DC3E" w14:textId="45708FF6" w:rsidR="00E80638" w:rsidRPr="006128F6" w:rsidRDefault="008E0EE9" w:rsidP="006128F6">
      <w:pPr>
        <w:autoSpaceDE w:val="0"/>
        <w:autoSpaceDN w:val="0"/>
        <w:adjustRightInd w:val="0"/>
        <w:spacing w:line="240" w:lineRule="auto"/>
        <w:rPr>
          <w:color w:val="000000"/>
        </w:rPr>
      </w:pPr>
      <w:r w:rsidRPr="006128F6">
        <w:rPr>
          <w:color w:val="000000"/>
        </w:rPr>
        <w:t>KANJINTI</w:t>
      </w:r>
      <w:r w:rsidR="00FE5D33" w:rsidRPr="006128F6">
        <w:rPr>
          <w:color w:val="000000"/>
        </w:rPr>
        <w:t xml:space="preserve"> </w:t>
      </w:r>
      <w:r w:rsidR="00E80638" w:rsidRPr="006128F6">
        <w:rPr>
          <w:color w:val="000000"/>
        </w:rPr>
        <w:t>150 mg powder for concentrate for solution for infusion</w:t>
      </w:r>
    </w:p>
    <w:p w14:paraId="61731ED2" w14:textId="5C22F6E8" w:rsidR="00700533" w:rsidRPr="006128F6" w:rsidRDefault="008E0EE9" w:rsidP="006128F6">
      <w:pPr>
        <w:autoSpaceDE w:val="0"/>
        <w:autoSpaceDN w:val="0"/>
        <w:adjustRightInd w:val="0"/>
        <w:spacing w:line="240" w:lineRule="auto"/>
        <w:rPr>
          <w:color w:val="000000"/>
        </w:rPr>
      </w:pPr>
      <w:r w:rsidRPr="006128F6">
        <w:rPr>
          <w:color w:val="000000"/>
        </w:rPr>
        <w:t>KANJINTI</w:t>
      </w:r>
      <w:r w:rsidR="00700533" w:rsidRPr="006128F6">
        <w:rPr>
          <w:color w:val="000000"/>
        </w:rPr>
        <w:t xml:space="preserve"> 4</w:t>
      </w:r>
      <w:r w:rsidR="00B02181">
        <w:rPr>
          <w:color w:val="000000"/>
        </w:rPr>
        <w:t>2</w:t>
      </w:r>
      <w:r w:rsidR="00700533" w:rsidRPr="006128F6">
        <w:rPr>
          <w:color w:val="000000"/>
        </w:rPr>
        <w:t>0 mg powder for concentrate for solution for infusion</w:t>
      </w:r>
    </w:p>
    <w:p w14:paraId="18725880" w14:textId="77777777" w:rsidR="00925686" w:rsidRPr="006128F6" w:rsidRDefault="00925686" w:rsidP="006128F6">
      <w:pPr>
        <w:spacing w:line="240" w:lineRule="auto"/>
        <w:rPr>
          <w:iCs/>
          <w:szCs w:val="22"/>
        </w:rPr>
      </w:pPr>
    </w:p>
    <w:p w14:paraId="75B9E3CA" w14:textId="77777777" w:rsidR="000E4CEB" w:rsidRPr="006128F6" w:rsidRDefault="000E4CEB" w:rsidP="006128F6">
      <w:pPr>
        <w:spacing w:line="240" w:lineRule="auto"/>
        <w:rPr>
          <w:iCs/>
          <w:szCs w:val="22"/>
        </w:rPr>
      </w:pPr>
    </w:p>
    <w:p w14:paraId="7764AC8C" w14:textId="77777777" w:rsidR="00925686" w:rsidRPr="006128F6" w:rsidRDefault="00925686" w:rsidP="006128F6">
      <w:pPr>
        <w:suppressAutoHyphens/>
        <w:spacing w:line="240" w:lineRule="auto"/>
        <w:ind w:left="567" w:hanging="567"/>
        <w:rPr>
          <w:szCs w:val="22"/>
        </w:rPr>
      </w:pPr>
      <w:r w:rsidRPr="006128F6">
        <w:rPr>
          <w:b/>
          <w:szCs w:val="22"/>
        </w:rPr>
        <w:t>2.</w:t>
      </w:r>
      <w:r w:rsidRPr="006128F6">
        <w:rPr>
          <w:b/>
          <w:szCs w:val="22"/>
        </w:rPr>
        <w:tab/>
        <w:t>QUALITATIVE AND QUANTITATIVE COMPOSITION</w:t>
      </w:r>
    </w:p>
    <w:p w14:paraId="6C3C73EA" w14:textId="77777777" w:rsidR="00925686" w:rsidRPr="006128F6" w:rsidRDefault="00925686" w:rsidP="006128F6">
      <w:pPr>
        <w:spacing w:line="240" w:lineRule="auto"/>
        <w:rPr>
          <w:iCs/>
          <w:szCs w:val="22"/>
        </w:rPr>
      </w:pPr>
    </w:p>
    <w:p w14:paraId="6637B7FD" w14:textId="43D5122D" w:rsidR="00700533" w:rsidRPr="006128F6" w:rsidRDefault="008E0EE9" w:rsidP="006128F6">
      <w:pPr>
        <w:autoSpaceDE w:val="0"/>
        <w:autoSpaceDN w:val="0"/>
        <w:adjustRightInd w:val="0"/>
        <w:spacing w:line="240" w:lineRule="auto"/>
        <w:rPr>
          <w:color w:val="000000"/>
          <w:u w:val="single"/>
        </w:rPr>
      </w:pPr>
      <w:r w:rsidRPr="006128F6">
        <w:rPr>
          <w:color w:val="000000"/>
          <w:u w:val="single"/>
        </w:rPr>
        <w:t>KANJINTI</w:t>
      </w:r>
      <w:r w:rsidR="00700533" w:rsidRPr="006128F6">
        <w:rPr>
          <w:color w:val="000000"/>
          <w:u w:val="single"/>
        </w:rPr>
        <w:t xml:space="preserve"> 150 mg powder for concentrate for solution for infusion</w:t>
      </w:r>
    </w:p>
    <w:p w14:paraId="1B8ACC41" w14:textId="77777777" w:rsidR="00C067EC" w:rsidRDefault="00C067EC" w:rsidP="006128F6">
      <w:pPr>
        <w:autoSpaceDE w:val="0"/>
        <w:autoSpaceDN w:val="0"/>
        <w:adjustRightInd w:val="0"/>
        <w:spacing w:line="240" w:lineRule="auto"/>
        <w:rPr>
          <w:color w:val="000000"/>
        </w:rPr>
      </w:pPr>
    </w:p>
    <w:p w14:paraId="029A58FA" w14:textId="77777777" w:rsidR="00E80638" w:rsidRPr="006128F6" w:rsidRDefault="00E80638" w:rsidP="006128F6">
      <w:pPr>
        <w:autoSpaceDE w:val="0"/>
        <w:autoSpaceDN w:val="0"/>
        <w:adjustRightInd w:val="0"/>
        <w:spacing w:line="240" w:lineRule="auto"/>
        <w:rPr>
          <w:color w:val="000000"/>
        </w:rPr>
      </w:pPr>
      <w:r w:rsidRPr="006128F6">
        <w:rPr>
          <w:color w:val="000000"/>
        </w:rPr>
        <w:t>One vial contains 150 mg of trastuzumab, a humanised IgG1 monoclonal antibody produced by mammalian (Chinese hamster ovary) cell suspension culture and purified by affinity and ion exchange chromatography including specific viral inactivation and removal procedures.</w:t>
      </w:r>
    </w:p>
    <w:p w14:paraId="76543028" w14:textId="77777777" w:rsidR="00E80638" w:rsidRPr="006128F6" w:rsidRDefault="00E80638" w:rsidP="006128F6">
      <w:pPr>
        <w:autoSpaceDE w:val="0"/>
        <w:autoSpaceDN w:val="0"/>
        <w:adjustRightInd w:val="0"/>
        <w:spacing w:line="240" w:lineRule="auto"/>
        <w:rPr>
          <w:color w:val="000000"/>
        </w:rPr>
      </w:pPr>
    </w:p>
    <w:p w14:paraId="16C8575C" w14:textId="4466FB5F" w:rsidR="00700533" w:rsidRPr="006128F6" w:rsidRDefault="008E0EE9" w:rsidP="006128F6">
      <w:pPr>
        <w:autoSpaceDE w:val="0"/>
        <w:autoSpaceDN w:val="0"/>
        <w:adjustRightInd w:val="0"/>
        <w:spacing w:line="240" w:lineRule="auto"/>
        <w:rPr>
          <w:color w:val="000000"/>
          <w:u w:val="single"/>
        </w:rPr>
      </w:pPr>
      <w:r w:rsidRPr="006128F6">
        <w:rPr>
          <w:color w:val="000000"/>
          <w:u w:val="single"/>
        </w:rPr>
        <w:t>KANJINTI</w:t>
      </w:r>
      <w:r w:rsidR="00700533" w:rsidRPr="006128F6">
        <w:rPr>
          <w:color w:val="000000"/>
          <w:u w:val="single"/>
        </w:rPr>
        <w:t xml:space="preserve"> 4</w:t>
      </w:r>
      <w:r w:rsidR="00B02181">
        <w:rPr>
          <w:color w:val="000000"/>
          <w:u w:val="single"/>
        </w:rPr>
        <w:t>2</w:t>
      </w:r>
      <w:r w:rsidR="00700533" w:rsidRPr="006128F6">
        <w:rPr>
          <w:color w:val="000000"/>
          <w:u w:val="single"/>
        </w:rPr>
        <w:t>0 mg powder for concentrate for solution for infusion</w:t>
      </w:r>
    </w:p>
    <w:p w14:paraId="36CA9ACD" w14:textId="77777777" w:rsidR="00C067EC" w:rsidRDefault="00C067EC" w:rsidP="006128F6">
      <w:pPr>
        <w:autoSpaceDE w:val="0"/>
        <w:autoSpaceDN w:val="0"/>
        <w:adjustRightInd w:val="0"/>
        <w:spacing w:line="240" w:lineRule="auto"/>
        <w:rPr>
          <w:color w:val="000000"/>
        </w:rPr>
      </w:pPr>
    </w:p>
    <w:p w14:paraId="1ECC3353" w14:textId="3DC6443A" w:rsidR="00700533" w:rsidRPr="006128F6" w:rsidRDefault="00850AB5" w:rsidP="006128F6">
      <w:pPr>
        <w:autoSpaceDE w:val="0"/>
        <w:autoSpaceDN w:val="0"/>
        <w:adjustRightInd w:val="0"/>
        <w:spacing w:line="240" w:lineRule="auto"/>
        <w:rPr>
          <w:color w:val="000000"/>
        </w:rPr>
      </w:pPr>
      <w:r w:rsidRPr="006128F6">
        <w:rPr>
          <w:color w:val="000000"/>
        </w:rPr>
        <w:t>One vial contains 4</w:t>
      </w:r>
      <w:r w:rsidR="00B02181">
        <w:rPr>
          <w:color w:val="000000"/>
        </w:rPr>
        <w:t>2</w:t>
      </w:r>
      <w:r w:rsidR="00700533" w:rsidRPr="006128F6">
        <w:rPr>
          <w:color w:val="000000"/>
        </w:rPr>
        <w:t>0 mg of trastuzumab, a humanised IgG1 monoclonal antibody produced by mammalian (Chinese hamster ovary) cell suspension culture and purified by affinity and ion exchange chromatography including specific viral inactivation and removal procedures.</w:t>
      </w:r>
    </w:p>
    <w:p w14:paraId="1AD9B4E5" w14:textId="77777777" w:rsidR="005613F7" w:rsidRPr="006128F6" w:rsidRDefault="005613F7" w:rsidP="006128F6">
      <w:pPr>
        <w:autoSpaceDE w:val="0"/>
        <w:autoSpaceDN w:val="0"/>
        <w:adjustRightInd w:val="0"/>
        <w:spacing w:line="240" w:lineRule="auto"/>
        <w:rPr>
          <w:color w:val="000000"/>
        </w:rPr>
      </w:pPr>
    </w:p>
    <w:p w14:paraId="2CFD8272" w14:textId="6C26A271" w:rsidR="00E80638" w:rsidRPr="006128F6" w:rsidRDefault="00E80638" w:rsidP="006128F6">
      <w:pPr>
        <w:autoSpaceDE w:val="0"/>
        <w:autoSpaceDN w:val="0"/>
        <w:adjustRightInd w:val="0"/>
        <w:spacing w:line="240" w:lineRule="auto"/>
        <w:rPr>
          <w:color w:val="000000"/>
        </w:rPr>
      </w:pPr>
      <w:r w:rsidRPr="006128F6">
        <w:rPr>
          <w:color w:val="000000"/>
        </w:rPr>
        <w:t xml:space="preserve">The reconstituted </w:t>
      </w:r>
      <w:r w:rsidR="008E0EE9" w:rsidRPr="006128F6">
        <w:rPr>
          <w:color w:val="000000"/>
        </w:rPr>
        <w:t>KANJINTI</w:t>
      </w:r>
      <w:r w:rsidR="004138B6" w:rsidRPr="006128F6">
        <w:rPr>
          <w:color w:val="000000"/>
        </w:rPr>
        <w:t xml:space="preserve"> </w:t>
      </w:r>
      <w:r w:rsidRPr="006128F6">
        <w:rPr>
          <w:color w:val="000000"/>
        </w:rPr>
        <w:t>solution contains 21 mg/mL of trastuzumab.</w:t>
      </w:r>
    </w:p>
    <w:p w14:paraId="14820D4F" w14:textId="77777777" w:rsidR="00E80638" w:rsidRPr="006128F6" w:rsidRDefault="00E80638" w:rsidP="006128F6">
      <w:pPr>
        <w:autoSpaceDE w:val="0"/>
        <w:autoSpaceDN w:val="0"/>
        <w:adjustRightInd w:val="0"/>
        <w:spacing w:line="240" w:lineRule="auto"/>
        <w:rPr>
          <w:color w:val="000000"/>
        </w:rPr>
      </w:pPr>
    </w:p>
    <w:p w14:paraId="5C454486" w14:textId="7A34414E" w:rsidR="00E80638" w:rsidRPr="006128F6" w:rsidRDefault="00E80638" w:rsidP="006128F6">
      <w:pPr>
        <w:autoSpaceDE w:val="0"/>
        <w:autoSpaceDN w:val="0"/>
        <w:adjustRightInd w:val="0"/>
        <w:spacing w:line="240" w:lineRule="auto"/>
        <w:rPr>
          <w:color w:val="000000"/>
        </w:rPr>
      </w:pPr>
      <w:r w:rsidRPr="006128F6">
        <w:rPr>
          <w:color w:val="000000"/>
        </w:rPr>
        <w:t xml:space="preserve">For </w:t>
      </w:r>
      <w:r w:rsidR="00EE0352">
        <w:rPr>
          <w:color w:val="000000"/>
        </w:rPr>
        <w:t>the</w:t>
      </w:r>
      <w:r w:rsidRPr="006128F6">
        <w:rPr>
          <w:color w:val="000000"/>
        </w:rPr>
        <w:t xml:space="preserve"> full l</w:t>
      </w:r>
      <w:r w:rsidR="001C2357" w:rsidRPr="006128F6">
        <w:rPr>
          <w:color w:val="000000"/>
        </w:rPr>
        <w:t>ist of excipients, see section </w:t>
      </w:r>
      <w:r w:rsidRPr="006128F6">
        <w:rPr>
          <w:color w:val="000000"/>
        </w:rPr>
        <w:t>6.1.</w:t>
      </w:r>
    </w:p>
    <w:p w14:paraId="6862A4B1" w14:textId="77777777" w:rsidR="00925686" w:rsidRPr="006128F6" w:rsidRDefault="00925686" w:rsidP="006128F6">
      <w:pPr>
        <w:spacing w:line="240" w:lineRule="auto"/>
        <w:rPr>
          <w:szCs w:val="22"/>
        </w:rPr>
      </w:pPr>
    </w:p>
    <w:p w14:paraId="2B54F63D" w14:textId="77777777" w:rsidR="00925686" w:rsidRPr="006128F6" w:rsidRDefault="00925686" w:rsidP="006128F6">
      <w:pPr>
        <w:spacing w:line="240" w:lineRule="auto"/>
        <w:rPr>
          <w:szCs w:val="22"/>
        </w:rPr>
      </w:pPr>
    </w:p>
    <w:p w14:paraId="75775720" w14:textId="77777777" w:rsidR="00E37387" w:rsidRPr="006128F6" w:rsidRDefault="00925686" w:rsidP="006128F6">
      <w:pPr>
        <w:suppressAutoHyphens/>
        <w:spacing w:line="240" w:lineRule="auto"/>
        <w:ind w:left="567" w:hanging="567"/>
        <w:rPr>
          <w:b/>
          <w:caps/>
          <w:szCs w:val="22"/>
        </w:rPr>
      </w:pPr>
      <w:r w:rsidRPr="006128F6">
        <w:rPr>
          <w:b/>
          <w:szCs w:val="22"/>
        </w:rPr>
        <w:t>3.</w:t>
      </w:r>
      <w:r w:rsidRPr="006128F6">
        <w:rPr>
          <w:b/>
          <w:szCs w:val="22"/>
        </w:rPr>
        <w:tab/>
        <w:t>PHARMACEUTICAL FORM</w:t>
      </w:r>
    </w:p>
    <w:p w14:paraId="7E566613" w14:textId="77777777" w:rsidR="00925686" w:rsidRPr="006128F6" w:rsidRDefault="00925686" w:rsidP="006128F6">
      <w:pPr>
        <w:spacing w:line="240" w:lineRule="auto"/>
        <w:rPr>
          <w:szCs w:val="22"/>
        </w:rPr>
      </w:pPr>
    </w:p>
    <w:p w14:paraId="5396E60E" w14:textId="77777777" w:rsidR="00E80638" w:rsidRPr="00CE427E" w:rsidRDefault="00E80638"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Powder for concentrate for solution for infusion.</w:t>
      </w:r>
    </w:p>
    <w:p w14:paraId="5F048A5D" w14:textId="77777777" w:rsidR="00E80638" w:rsidRPr="00CE427E" w:rsidRDefault="00E80638" w:rsidP="006128F6">
      <w:pPr>
        <w:tabs>
          <w:tab w:val="clear" w:pos="567"/>
        </w:tabs>
        <w:autoSpaceDE w:val="0"/>
        <w:autoSpaceDN w:val="0"/>
        <w:adjustRightInd w:val="0"/>
        <w:spacing w:line="240" w:lineRule="auto"/>
        <w:rPr>
          <w:rFonts w:eastAsia="Calibri"/>
          <w:color w:val="000000"/>
          <w:szCs w:val="22"/>
        </w:rPr>
      </w:pPr>
    </w:p>
    <w:p w14:paraId="4C3D0579" w14:textId="77777777" w:rsidR="00E80638" w:rsidRPr="00CE427E" w:rsidRDefault="00E80638"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White to pale yellow lyophilised powder.</w:t>
      </w:r>
    </w:p>
    <w:p w14:paraId="5C07DE2E" w14:textId="77777777" w:rsidR="00925686" w:rsidRPr="006128F6" w:rsidRDefault="00925686" w:rsidP="006128F6">
      <w:pPr>
        <w:spacing w:line="240" w:lineRule="auto"/>
        <w:rPr>
          <w:szCs w:val="22"/>
        </w:rPr>
      </w:pPr>
    </w:p>
    <w:p w14:paraId="34E361C7" w14:textId="77777777" w:rsidR="00925686" w:rsidRPr="006128F6" w:rsidRDefault="00925686" w:rsidP="006128F6">
      <w:pPr>
        <w:spacing w:line="240" w:lineRule="auto"/>
        <w:rPr>
          <w:szCs w:val="22"/>
        </w:rPr>
      </w:pPr>
    </w:p>
    <w:p w14:paraId="122AEBAF" w14:textId="77777777" w:rsidR="00925686" w:rsidRPr="006128F6" w:rsidRDefault="00925686" w:rsidP="006128F6">
      <w:pPr>
        <w:suppressAutoHyphens/>
        <w:spacing w:line="240" w:lineRule="auto"/>
        <w:ind w:left="567" w:hanging="567"/>
        <w:rPr>
          <w:b/>
          <w:caps/>
          <w:szCs w:val="22"/>
        </w:rPr>
      </w:pPr>
      <w:r w:rsidRPr="006128F6">
        <w:rPr>
          <w:b/>
          <w:caps/>
          <w:szCs w:val="22"/>
        </w:rPr>
        <w:t>4.</w:t>
      </w:r>
      <w:r w:rsidRPr="006128F6">
        <w:rPr>
          <w:b/>
          <w:caps/>
          <w:szCs w:val="22"/>
        </w:rPr>
        <w:tab/>
      </w:r>
      <w:r w:rsidRPr="006128F6">
        <w:rPr>
          <w:b/>
          <w:szCs w:val="22"/>
        </w:rPr>
        <w:t>CLINICAL PARTICULARS</w:t>
      </w:r>
    </w:p>
    <w:p w14:paraId="13A04AA1" w14:textId="77777777" w:rsidR="00925686" w:rsidRPr="006128F6" w:rsidRDefault="00925686" w:rsidP="006128F6">
      <w:pPr>
        <w:spacing w:line="240" w:lineRule="auto"/>
        <w:rPr>
          <w:szCs w:val="22"/>
        </w:rPr>
      </w:pPr>
    </w:p>
    <w:p w14:paraId="075BC2DB" w14:textId="77777777" w:rsidR="00925686" w:rsidRPr="006128F6" w:rsidRDefault="00925686" w:rsidP="006128F6">
      <w:pPr>
        <w:spacing w:line="240" w:lineRule="auto"/>
        <w:ind w:left="567" w:hanging="567"/>
        <w:outlineLvl w:val="0"/>
        <w:rPr>
          <w:szCs w:val="22"/>
        </w:rPr>
      </w:pPr>
      <w:r w:rsidRPr="006128F6">
        <w:rPr>
          <w:b/>
          <w:szCs w:val="22"/>
        </w:rPr>
        <w:t>4.1</w:t>
      </w:r>
      <w:r w:rsidRPr="006128F6">
        <w:rPr>
          <w:b/>
          <w:szCs w:val="22"/>
        </w:rPr>
        <w:tab/>
        <w:t>Therapeutic indications</w:t>
      </w:r>
    </w:p>
    <w:p w14:paraId="664F0028" w14:textId="77777777" w:rsidR="00925686" w:rsidRPr="006128F6" w:rsidRDefault="00925686" w:rsidP="006128F6">
      <w:pPr>
        <w:spacing w:line="240" w:lineRule="auto"/>
        <w:rPr>
          <w:szCs w:val="22"/>
        </w:rPr>
      </w:pPr>
    </w:p>
    <w:p w14:paraId="7FC5EBFF" w14:textId="77777777" w:rsidR="00E80638" w:rsidRPr="00CE427E" w:rsidRDefault="00E80638" w:rsidP="006128F6">
      <w:pPr>
        <w:tabs>
          <w:tab w:val="clear" w:pos="567"/>
        </w:tabs>
        <w:autoSpaceDE w:val="0"/>
        <w:autoSpaceDN w:val="0"/>
        <w:adjustRightInd w:val="0"/>
        <w:spacing w:line="240" w:lineRule="auto"/>
        <w:rPr>
          <w:rFonts w:eastAsia="Calibri"/>
          <w:color w:val="000000"/>
          <w:szCs w:val="22"/>
          <w:u w:val="single"/>
        </w:rPr>
      </w:pPr>
      <w:r w:rsidRPr="00CE427E">
        <w:rPr>
          <w:rFonts w:eastAsia="Calibri"/>
          <w:color w:val="000000"/>
          <w:szCs w:val="22"/>
          <w:u w:val="single"/>
        </w:rPr>
        <w:t>Breast cancer</w:t>
      </w:r>
    </w:p>
    <w:p w14:paraId="66FBA44C" w14:textId="77777777" w:rsidR="00E80638" w:rsidRPr="00CE427E" w:rsidRDefault="00E80638" w:rsidP="006128F6">
      <w:pPr>
        <w:tabs>
          <w:tab w:val="clear" w:pos="567"/>
        </w:tabs>
        <w:autoSpaceDE w:val="0"/>
        <w:autoSpaceDN w:val="0"/>
        <w:adjustRightInd w:val="0"/>
        <w:spacing w:line="240" w:lineRule="auto"/>
        <w:rPr>
          <w:rFonts w:eastAsia="Calibri"/>
          <w:color w:val="000000"/>
          <w:szCs w:val="22"/>
          <w:u w:val="single"/>
        </w:rPr>
      </w:pPr>
    </w:p>
    <w:p w14:paraId="5EDAF1D1" w14:textId="77777777" w:rsidR="00E80638" w:rsidRPr="00CE427E" w:rsidRDefault="00E80638" w:rsidP="006128F6">
      <w:pPr>
        <w:tabs>
          <w:tab w:val="clear" w:pos="567"/>
        </w:tabs>
        <w:autoSpaceDE w:val="0"/>
        <w:autoSpaceDN w:val="0"/>
        <w:adjustRightInd w:val="0"/>
        <w:spacing w:line="240" w:lineRule="auto"/>
        <w:rPr>
          <w:rFonts w:eastAsia="Calibri"/>
          <w:i/>
          <w:iCs/>
          <w:color w:val="000000"/>
          <w:szCs w:val="22"/>
          <w:u w:val="single"/>
        </w:rPr>
      </w:pPr>
      <w:r w:rsidRPr="00CE427E">
        <w:rPr>
          <w:rFonts w:eastAsia="Calibri"/>
          <w:i/>
          <w:iCs/>
          <w:color w:val="000000"/>
          <w:szCs w:val="22"/>
          <w:u w:val="single"/>
        </w:rPr>
        <w:t>Metastatic breast cancer</w:t>
      </w:r>
    </w:p>
    <w:p w14:paraId="107BC295" w14:textId="77777777" w:rsidR="00E80638" w:rsidRPr="00CE427E" w:rsidRDefault="00E80638" w:rsidP="006128F6">
      <w:pPr>
        <w:tabs>
          <w:tab w:val="clear" w:pos="567"/>
        </w:tabs>
        <w:autoSpaceDE w:val="0"/>
        <w:autoSpaceDN w:val="0"/>
        <w:adjustRightInd w:val="0"/>
        <w:spacing w:line="240" w:lineRule="auto"/>
        <w:rPr>
          <w:rFonts w:eastAsia="Calibri"/>
          <w:i/>
          <w:iCs/>
          <w:color w:val="000000"/>
          <w:szCs w:val="22"/>
          <w:u w:val="single"/>
        </w:rPr>
      </w:pPr>
    </w:p>
    <w:p w14:paraId="76E497EE" w14:textId="10D09C87" w:rsidR="00E80638" w:rsidRPr="00CE427E" w:rsidRDefault="008E0EE9"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KANJINTI</w:t>
      </w:r>
      <w:r w:rsidR="004138B6" w:rsidRPr="00CE427E">
        <w:rPr>
          <w:rFonts w:eastAsia="Calibri"/>
          <w:color w:val="000000"/>
          <w:szCs w:val="22"/>
        </w:rPr>
        <w:t xml:space="preserve"> </w:t>
      </w:r>
      <w:r w:rsidR="00E80638" w:rsidRPr="00CE427E">
        <w:rPr>
          <w:rFonts w:eastAsia="Calibri"/>
          <w:color w:val="000000"/>
          <w:szCs w:val="22"/>
        </w:rPr>
        <w:t>is indicated for the treatment of adult patients with HER2 positive metastatic breast cancer</w:t>
      </w:r>
      <w:r w:rsidR="00A813AA" w:rsidRPr="00CE427E">
        <w:rPr>
          <w:rFonts w:eastAsia="Calibri"/>
          <w:color w:val="000000"/>
          <w:szCs w:val="22"/>
        </w:rPr>
        <w:t xml:space="preserve"> </w:t>
      </w:r>
      <w:r w:rsidR="00E80638" w:rsidRPr="00CE427E">
        <w:rPr>
          <w:rFonts w:eastAsia="Calibri"/>
          <w:color w:val="000000"/>
          <w:szCs w:val="22"/>
        </w:rPr>
        <w:t>(MBC):</w:t>
      </w:r>
    </w:p>
    <w:p w14:paraId="3AA58271" w14:textId="77777777" w:rsidR="00E80638" w:rsidRPr="00CE427E" w:rsidRDefault="00E80638" w:rsidP="006128F6">
      <w:pPr>
        <w:tabs>
          <w:tab w:val="clear" w:pos="567"/>
        </w:tabs>
        <w:autoSpaceDE w:val="0"/>
        <w:autoSpaceDN w:val="0"/>
        <w:adjustRightInd w:val="0"/>
        <w:spacing w:line="240" w:lineRule="auto"/>
        <w:rPr>
          <w:rFonts w:eastAsia="Calibri"/>
          <w:color w:val="000000"/>
          <w:szCs w:val="22"/>
        </w:rPr>
      </w:pPr>
    </w:p>
    <w:p w14:paraId="7A8A01FD" w14:textId="67CAC892" w:rsidR="00E80638" w:rsidRPr="00CE427E" w:rsidRDefault="00E80638" w:rsidP="006128F6">
      <w:pPr>
        <w:pStyle w:val="ListParagraph"/>
        <w:numPr>
          <w:ilvl w:val="0"/>
          <w:numId w:val="5"/>
        </w:numPr>
        <w:tabs>
          <w:tab w:val="clear" w:pos="567"/>
        </w:tabs>
        <w:autoSpaceDE w:val="0"/>
        <w:autoSpaceDN w:val="0"/>
        <w:adjustRightInd w:val="0"/>
        <w:spacing w:line="240" w:lineRule="auto"/>
        <w:ind w:left="567" w:hanging="567"/>
        <w:rPr>
          <w:rFonts w:eastAsia="Calibri"/>
          <w:color w:val="000000"/>
          <w:szCs w:val="22"/>
        </w:rPr>
      </w:pPr>
      <w:r w:rsidRPr="00CE427E">
        <w:rPr>
          <w:rFonts w:eastAsia="Calibri"/>
          <w:color w:val="000000"/>
          <w:szCs w:val="22"/>
        </w:rPr>
        <w:t>as monotherapy for the treatment of those patients who have received at least two chemotherapy regimens for their metastatic disease. Prior chemotherapy must have included at least an anthracycline and a taxane unless patients are unsuitable for these treatments. Hormone</w:t>
      </w:r>
      <w:r w:rsidR="00F14465" w:rsidRPr="00CE427E">
        <w:rPr>
          <w:rFonts w:eastAsia="Calibri"/>
          <w:color w:val="000000"/>
          <w:szCs w:val="22"/>
        </w:rPr>
        <w:t>-</w:t>
      </w:r>
      <w:r w:rsidRPr="00CE427E">
        <w:rPr>
          <w:rFonts w:eastAsia="Calibri"/>
          <w:color w:val="000000"/>
          <w:szCs w:val="22"/>
        </w:rPr>
        <w:t>receptor positive patients must also have failed hormonal therapy, unless patients are unsuitable for these treatments.</w:t>
      </w:r>
    </w:p>
    <w:p w14:paraId="1B7B380E" w14:textId="77777777" w:rsidR="00224CF8" w:rsidRPr="00CE427E" w:rsidRDefault="00224CF8" w:rsidP="006128F6">
      <w:pPr>
        <w:tabs>
          <w:tab w:val="clear" w:pos="567"/>
        </w:tabs>
        <w:autoSpaceDE w:val="0"/>
        <w:autoSpaceDN w:val="0"/>
        <w:adjustRightInd w:val="0"/>
        <w:spacing w:line="240" w:lineRule="auto"/>
        <w:rPr>
          <w:rFonts w:eastAsia="Calibri"/>
          <w:color w:val="000000"/>
          <w:szCs w:val="22"/>
        </w:rPr>
      </w:pPr>
    </w:p>
    <w:p w14:paraId="61222F5A" w14:textId="77777777" w:rsidR="00E80638" w:rsidRPr="00CE427E" w:rsidRDefault="00E80638" w:rsidP="006128F6">
      <w:pPr>
        <w:pStyle w:val="ListParagraph"/>
        <w:numPr>
          <w:ilvl w:val="0"/>
          <w:numId w:val="5"/>
        </w:numPr>
        <w:tabs>
          <w:tab w:val="clear" w:pos="567"/>
        </w:tabs>
        <w:autoSpaceDE w:val="0"/>
        <w:autoSpaceDN w:val="0"/>
        <w:adjustRightInd w:val="0"/>
        <w:spacing w:line="240" w:lineRule="auto"/>
        <w:ind w:left="567" w:hanging="567"/>
        <w:rPr>
          <w:rFonts w:eastAsia="Calibri"/>
          <w:color w:val="000000"/>
          <w:szCs w:val="22"/>
        </w:rPr>
      </w:pPr>
      <w:r w:rsidRPr="00CE427E">
        <w:rPr>
          <w:rFonts w:eastAsia="Calibri"/>
          <w:color w:val="000000"/>
          <w:szCs w:val="22"/>
        </w:rPr>
        <w:t>in combination with paclitaxel for the treatment of those patients who have not received chemotherapy for their metastatic disease and for whom an anthracycline is not suitable.</w:t>
      </w:r>
    </w:p>
    <w:p w14:paraId="777F675C" w14:textId="77777777" w:rsidR="00224CF8" w:rsidRPr="00CE427E" w:rsidRDefault="00224CF8" w:rsidP="006128F6">
      <w:pPr>
        <w:tabs>
          <w:tab w:val="clear" w:pos="567"/>
        </w:tabs>
        <w:autoSpaceDE w:val="0"/>
        <w:autoSpaceDN w:val="0"/>
        <w:adjustRightInd w:val="0"/>
        <w:spacing w:line="240" w:lineRule="auto"/>
        <w:rPr>
          <w:rFonts w:eastAsia="Calibri"/>
          <w:color w:val="000000"/>
          <w:szCs w:val="22"/>
        </w:rPr>
      </w:pPr>
    </w:p>
    <w:p w14:paraId="6DAD2230" w14:textId="77777777" w:rsidR="00E80638" w:rsidRPr="00CE427E" w:rsidRDefault="00E80638" w:rsidP="006128F6">
      <w:pPr>
        <w:pStyle w:val="ListParagraph"/>
        <w:numPr>
          <w:ilvl w:val="0"/>
          <w:numId w:val="5"/>
        </w:numPr>
        <w:tabs>
          <w:tab w:val="clear" w:pos="567"/>
        </w:tabs>
        <w:autoSpaceDE w:val="0"/>
        <w:autoSpaceDN w:val="0"/>
        <w:adjustRightInd w:val="0"/>
        <w:spacing w:line="240" w:lineRule="auto"/>
        <w:ind w:left="567" w:hanging="567"/>
        <w:rPr>
          <w:rFonts w:eastAsia="Calibri"/>
          <w:color w:val="000000"/>
          <w:szCs w:val="22"/>
        </w:rPr>
      </w:pPr>
      <w:r w:rsidRPr="00CE427E">
        <w:rPr>
          <w:rFonts w:eastAsia="Calibri"/>
          <w:color w:val="000000"/>
          <w:szCs w:val="22"/>
        </w:rPr>
        <w:t>in combination with docetaxel for the treatment of those patients who have not received chemotherapy for their metastatic disease.</w:t>
      </w:r>
    </w:p>
    <w:p w14:paraId="26058FB0" w14:textId="77777777" w:rsidR="00224CF8" w:rsidRPr="00CE427E" w:rsidRDefault="00224CF8" w:rsidP="006128F6">
      <w:pPr>
        <w:tabs>
          <w:tab w:val="clear" w:pos="567"/>
        </w:tabs>
        <w:autoSpaceDE w:val="0"/>
        <w:autoSpaceDN w:val="0"/>
        <w:adjustRightInd w:val="0"/>
        <w:spacing w:line="240" w:lineRule="auto"/>
        <w:rPr>
          <w:rFonts w:eastAsia="Calibri"/>
        </w:rPr>
      </w:pPr>
    </w:p>
    <w:p w14:paraId="3E661D57" w14:textId="77777777" w:rsidR="00E80638" w:rsidRPr="00CE427E" w:rsidRDefault="00E80638" w:rsidP="006128F6">
      <w:pPr>
        <w:pStyle w:val="ListParagraph"/>
        <w:numPr>
          <w:ilvl w:val="0"/>
          <w:numId w:val="5"/>
        </w:numPr>
        <w:tabs>
          <w:tab w:val="clear" w:pos="567"/>
        </w:tabs>
        <w:autoSpaceDE w:val="0"/>
        <w:autoSpaceDN w:val="0"/>
        <w:adjustRightInd w:val="0"/>
        <w:spacing w:line="240" w:lineRule="auto"/>
        <w:ind w:left="567" w:hanging="567"/>
        <w:rPr>
          <w:rFonts w:eastAsia="Calibri"/>
          <w:color w:val="000000"/>
          <w:szCs w:val="22"/>
        </w:rPr>
      </w:pPr>
      <w:r w:rsidRPr="00CE427E">
        <w:rPr>
          <w:rFonts w:eastAsia="Calibri"/>
          <w:color w:val="000000"/>
          <w:szCs w:val="22"/>
        </w:rPr>
        <w:t>in combination with an aromatase inhibitor for the treatment of postmenopausal patients with hormone-receptor positive MBC, not previously treated with trastuzumab.</w:t>
      </w:r>
    </w:p>
    <w:p w14:paraId="6E807A9A" w14:textId="77777777" w:rsidR="00E80638" w:rsidRPr="00CE427E" w:rsidRDefault="00E80638" w:rsidP="006128F6">
      <w:pPr>
        <w:tabs>
          <w:tab w:val="clear" w:pos="567"/>
        </w:tabs>
        <w:autoSpaceDE w:val="0"/>
        <w:autoSpaceDN w:val="0"/>
        <w:adjustRightInd w:val="0"/>
        <w:spacing w:line="240" w:lineRule="auto"/>
        <w:ind w:left="567" w:hanging="567"/>
        <w:rPr>
          <w:rFonts w:eastAsia="Calibri"/>
          <w:color w:val="000000"/>
          <w:szCs w:val="22"/>
        </w:rPr>
      </w:pPr>
    </w:p>
    <w:p w14:paraId="51EC6AA4" w14:textId="026FB36D" w:rsidR="00E80638" w:rsidRPr="00CE427E" w:rsidRDefault="00E80638" w:rsidP="006128F6">
      <w:pPr>
        <w:keepNext/>
        <w:tabs>
          <w:tab w:val="clear" w:pos="567"/>
        </w:tabs>
        <w:autoSpaceDE w:val="0"/>
        <w:autoSpaceDN w:val="0"/>
        <w:adjustRightInd w:val="0"/>
        <w:spacing w:line="240" w:lineRule="auto"/>
        <w:rPr>
          <w:rFonts w:eastAsia="Calibri"/>
          <w:i/>
          <w:iCs/>
          <w:color w:val="000000"/>
          <w:szCs w:val="22"/>
          <w:u w:val="single"/>
        </w:rPr>
      </w:pPr>
      <w:r w:rsidRPr="00CE427E">
        <w:rPr>
          <w:rFonts w:eastAsia="Calibri"/>
          <w:i/>
          <w:iCs/>
          <w:color w:val="000000"/>
          <w:szCs w:val="22"/>
          <w:u w:val="single"/>
        </w:rPr>
        <w:t>Early breast cancer</w:t>
      </w:r>
    </w:p>
    <w:p w14:paraId="75C409CA" w14:textId="77777777" w:rsidR="00E80638" w:rsidRPr="00CE427E" w:rsidRDefault="00E80638" w:rsidP="006128F6">
      <w:pPr>
        <w:keepNext/>
        <w:tabs>
          <w:tab w:val="clear" w:pos="567"/>
        </w:tabs>
        <w:autoSpaceDE w:val="0"/>
        <w:autoSpaceDN w:val="0"/>
        <w:adjustRightInd w:val="0"/>
        <w:spacing w:line="240" w:lineRule="auto"/>
        <w:rPr>
          <w:rFonts w:eastAsia="Calibri"/>
          <w:i/>
          <w:iCs/>
          <w:color w:val="000000"/>
          <w:szCs w:val="22"/>
          <w:u w:val="single"/>
        </w:rPr>
      </w:pPr>
    </w:p>
    <w:p w14:paraId="7CB88004" w14:textId="41BA3E2E" w:rsidR="00E80638" w:rsidRPr="00CE427E" w:rsidRDefault="008E0EE9" w:rsidP="006128F6">
      <w:pPr>
        <w:keepNext/>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KANJINTI</w:t>
      </w:r>
      <w:r w:rsidR="00103D43" w:rsidRPr="00CE427E">
        <w:rPr>
          <w:rFonts w:eastAsia="Calibri"/>
          <w:color w:val="000000"/>
          <w:szCs w:val="22"/>
        </w:rPr>
        <w:t xml:space="preserve"> </w:t>
      </w:r>
      <w:r w:rsidR="00E80638" w:rsidRPr="00CE427E">
        <w:rPr>
          <w:rFonts w:eastAsia="Calibri"/>
          <w:color w:val="000000"/>
          <w:szCs w:val="22"/>
        </w:rPr>
        <w:t>is indicated for the treatment of adult patients with HER2 positive early breast cancer (EBC)</w:t>
      </w:r>
      <w:r w:rsidR="002E02E4" w:rsidRPr="00CE427E">
        <w:rPr>
          <w:rFonts w:eastAsia="Calibri"/>
          <w:color w:val="000000"/>
          <w:szCs w:val="22"/>
        </w:rPr>
        <w:t>:</w:t>
      </w:r>
    </w:p>
    <w:p w14:paraId="4D14208C" w14:textId="77777777" w:rsidR="00E80638" w:rsidRPr="00CE427E" w:rsidRDefault="00E80638" w:rsidP="006128F6">
      <w:pPr>
        <w:tabs>
          <w:tab w:val="clear" w:pos="567"/>
        </w:tabs>
        <w:autoSpaceDE w:val="0"/>
        <w:autoSpaceDN w:val="0"/>
        <w:adjustRightInd w:val="0"/>
        <w:spacing w:line="240" w:lineRule="auto"/>
        <w:rPr>
          <w:rFonts w:eastAsia="Calibri"/>
          <w:color w:val="000000"/>
          <w:szCs w:val="22"/>
        </w:rPr>
      </w:pPr>
    </w:p>
    <w:p w14:paraId="183187E2" w14:textId="77777777" w:rsidR="00E80638" w:rsidRPr="00CE427E" w:rsidRDefault="00E80638" w:rsidP="006128F6">
      <w:pPr>
        <w:pStyle w:val="ListParagraph"/>
        <w:numPr>
          <w:ilvl w:val="0"/>
          <w:numId w:val="5"/>
        </w:numPr>
        <w:tabs>
          <w:tab w:val="clear" w:pos="567"/>
        </w:tabs>
        <w:autoSpaceDE w:val="0"/>
        <w:autoSpaceDN w:val="0"/>
        <w:adjustRightInd w:val="0"/>
        <w:spacing w:line="240" w:lineRule="auto"/>
        <w:ind w:left="567" w:hanging="567"/>
        <w:rPr>
          <w:rFonts w:eastAsia="Calibri"/>
          <w:color w:val="000000"/>
          <w:szCs w:val="22"/>
        </w:rPr>
      </w:pPr>
      <w:r w:rsidRPr="00CE427E">
        <w:rPr>
          <w:rFonts w:eastAsia="Calibri"/>
          <w:color w:val="000000"/>
          <w:szCs w:val="22"/>
        </w:rPr>
        <w:t>following surgery, chemotherapy (neoadjuvant or adjuvant) and radiotherapy (if applicable) (see section 5.1).</w:t>
      </w:r>
    </w:p>
    <w:p w14:paraId="3F36A798" w14:textId="77777777" w:rsidR="00E80638" w:rsidRPr="00CE427E" w:rsidRDefault="00E80638" w:rsidP="006128F6">
      <w:pPr>
        <w:tabs>
          <w:tab w:val="clear" w:pos="567"/>
        </w:tabs>
        <w:autoSpaceDE w:val="0"/>
        <w:autoSpaceDN w:val="0"/>
        <w:adjustRightInd w:val="0"/>
        <w:spacing w:line="240" w:lineRule="auto"/>
        <w:ind w:left="567" w:hanging="567"/>
        <w:rPr>
          <w:rFonts w:eastAsia="Calibri"/>
          <w:color w:val="000000"/>
          <w:szCs w:val="22"/>
        </w:rPr>
      </w:pPr>
    </w:p>
    <w:p w14:paraId="2EC8386E" w14:textId="77777777" w:rsidR="00E80638" w:rsidRPr="00CE427E" w:rsidRDefault="00E80638" w:rsidP="006128F6">
      <w:pPr>
        <w:pStyle w:val="ListParagraph"/>
        <w:numPr>
          <w:ilvl w:val="0"/>
          <w:numId w:val="5"/>
        </w:numPr>
        <w:tabs>
          <w:tab w:val="clear" w:pos="567"/>
        </w:tabs>
        <w:autoSpaceDE w:val="0"/>
        <w:autoSpaceDN w:val="0"/>
        <w:adjustRightInd w:val="0"/>
        <w:spacing w:line="240" w:lineRule="auto"/>
        <w:ind w:left="567" w:hanging="567"/>
        <w:rPr>
          <w:rFonts w:eastAsia="Calibri"/>
          <w:color w:val="000000"/>
          <w:szCs w:val="22"/>
        </w:rPr>
      </w:pPr>
      <w:r w:rsidRPr="00CE427E">
        <w:rPr>
          <w:rFonts w:eastAsia="Calibri"/>
          <w:color w:val="000000"/>
          <w:szCs w:val="22"/>
        </w:rPr>
        <w:t>following adjuvant chemotherapy with doxorubicin and cyclophosphamide, in combination with paclitaxel or docetaxel.</w:t>
      </w:r>
    </w:p>
    <w:p w14:paraId="52298F01" w14:textId="77777777" w:rsidR="00E80638" w:rsidRPr="00CE427E" w:rsidRDefault="00E80638" w:rsidP="006128F6">
      <w:pPr>
        <w:tabs>
          <w:tab w:val="clear" w:pos="567"/>
        </w:tabs>
        <w:autoSpaceDE w:val="0"/>
        <w:autoSpaceDN w:val="0"/>
        <w:adjustRightInd w:val="0"/>
        <w:spacing w:line="240" w:lineRule="auto"/>
        <w:ind w:left="567" w:hanging="567"/>
        <w:rPr>
          <w:rFonts w:eastAsia="Calibri"/>
          <w:color w:val="000000"/>
          <w:szCs w:val="22"/>
        </w:rPr>
      </w:pPr>
    </w:p>
    <w:p w14:paraId="1F5FF84D" w14:textId="77777777" w:rsidR="00E80638" w:rsidRPr="00CE427E" w:rsidRDefault="00E80638" w:rsidP="006128F6">
      <w:pPr>
        <w:pStyle w:val="ListParagraph"/>
        <w:numPr>
          <w:ilvl w:val="0"/>
          <w:numId w:val="5"/>
        </w:numPr>
        <w:tabs>
          <w:tab w:val="clear" w:pos="567"/>
        </w:tabs>
        <w:autoSpaceDE w:val="0"/>
        <w:autoSpaceDN w:val="0"/>
        <w:adjustRightInd w:val="0"/>
        <w:spacing w:line="240" w:lineRule="auto"/>
        <w:ind w:left="567" w:hanging="567"/>
        <w:rPr>
          <w:rFonts w:eastAsia="Calibri"/>
          <w:color w:val="000000"/>
          <w:szCs w:val="22"/>
        </w:rPr>
      </w:pPr>
      <w:r w:rsidRPr="00CE427E">
        <w:rPr>
          <w:rFonts w:eastAsia="Calibri"/>
          <w:color w:val="000000"/>
          <w:szCs w:val="22"/>
        </w:rPr>
        <w:t>in combination with adjuvant chemotherapy consisting of docetaxel and carboplatin.</w:t>
      </w:r>
    </w:p>
    <w:p w14:paraId="3FC55AC5" w14:textId="77777777" w:rsidR="00E80638" w:rsidRPr="00CE427E" w:rsidRDefault="00E80638" w:rsidP="006128F6">
      <w:pPr>
        <w:tabs>
          <w:tab w:val="clear" w:pos="567"/>
        </w:tabs>
        <w:autoSpaceDE w:val="0"/>
        <w:autoSpaceDN w:val="0"/>
        <w:adjustRightInd w:val="0"/>
        <w:spacing w:line="240" w:lineRule="auto"/>
        <w:ind w:left="567" w:hanging="567"/>
        <w:rPr>
          <w:rFonts w:eastAsia="Calibri"/>
          <w:color w:val="000000"/>
          <w:szCs w:val="22"/>
        </w:rPr>
      </w:pPr>
    </w:p>
    <w:p w14:paraId="11380545" w14:textId="3E6B966F" w:rsidR="00E80638" w:rsidRPr="00CE427E" w:rsidRDefault="00E80638" w:rsidP="006128F6">
      <w:pPr>
        <w:pStyle w:val="ListParagraph"/>
        <w:numPr>
          <w:ilvl w:val="0"/>
          <w:numId w:val="5"/>
        </w:numPr>
        <w:tabs>
          <w:tab w:val="clear" w:pos="567"/>
        </w:tabs>
        <w:autoSpaceDE w:val="0"/>
        <w:autoSpaceDN w:val="0"/>
        <w:adjustRightInd w:val="0"/>
        <w:spacing w:line="240" w:lineRule="auto"/>
        <w:ind w:left="567" w:hanging="567"/>
        <w:rPr>
          <w:rFonts w:eastAsia="Calibri"/>
          <w:color w:val="000000"/>
          <w:szCs w:val="22"/>
        </w:rPr>
      </w:pPr>
      <w:r w:rsidRPr="00CE427E">
        <w:rPr>
          <w:rFonts w:eastAsia="Calibri"/>
          <w:color w:val="000000"/>
          <w:szCs w:val="22"/>
        </w:rPr>
        <w:t xml:space="preserve">in combination with neoadjuvant chemotherapy followed by adjuvant </w:t>
      </w:r>
      <w:r w:rsidR="008E0EE9" w:rsidRPr="00CE427E">
        <w:rPr>
          <w:rFonts w:eastAsia="Calibri"/>
          <w:color w:val="000000"/>
          <w:szCs w:val="22"/>
        </w:rPr>
        <w:t>KANJINTI</w:t>
      </w:r>
      <w:r w:rsidRPr="00CE427E">
        <w:rPr>
          <w:rFonts w:eastAsia="Calibri"/>
          <w:color w:val="000000"/>
          <w:szCs w:val="22"/>
        </w:rPr>
        <w:t xml:space="preserve"> therapy, for</w:t>
      </w:r>
      <w:r w:rsidR="00553467" w:rsidRPr="00CE427E">
        <w:rPr>
          <w:rFonts w:eastAsia="Calibri"/>
          <w:color w:val="000000"/>
          <w:szCs w:val="22"/>
        </w:rPr>
        <w:t xml:space="preserve"> </w:t>
      </w:r>
      <w:r w:rsidRPr="00CE427E">
        <w:rPr>
          <w:rFonts w:eastAsia="Calibri"/>
          <w:color w:val="000000"/>
          <w:szCs w:val="22"/>
        </w:rPr>
        <w:t>locally advanced (including inflammatory) disease or tumours &gt; 2 cm in diameter (see sections 4.4 and 5.1).</w:t>
      </w:r>
    </w:p>
    <w:p w14:paraId="2D2EE968" w14:textId="77777777" w:rsidR="00E80638" w:rsidRPr="00CE427E" w:rsidRDefault="00E80638" w:rsidP="006128F6">
      <w:pPr>
        <w:tabs>
          <w:tab w:val="clear" w:pos="567"/>
        </w:tabs>
        <w:autoSpaceDE w:val="0"/>
        <w:autoSpaceDN w:val="0"/>
        <w:adjustRightInd w:val="0"/>
        <w:spacing w:line="240" w:lineRule="auto"/>
        <w:rPr>
          <w:rFonts w:eastAsia="Calibri"/>
          <w:color w:val="000000"/>
          <w:szCs w:val="22"/>
        </w:rPr>
      </w:pPr>
    </w:p>
    <w:p w14:paraId="7BBCFD3D" w14:textId="01988E00" w:rsidR="00E80638" w:rsidRPr="00CE427E" w:rsidRDefault="008E0EE9"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KANJINTI</w:t>
      </w:r>
      <w:r w:rsidR="00E80638" w:rsidRPr="00CE427E">
        <w:rPr>
          <w:rFonts w:eastAsia="Calibri"/>
          <w:color w:val="000000"/>
          <w:szCs w:val="22"/>
        </w:rPr>
        <w:t xml:space="preserve"> should only be used in patients with metastatic or early breast cancer whose tumours have</w:t>
      </w:r>
      <w:r w:rsidR="00553467" w:rsidRPr="00CE427E">
        <w:rPr>
          <w:rFonts w:eastAsia="Calibri"/>
          <w:color w:val="000000"/>
          <w:szCs w:val="22"/>
        </w:rPr>
        <w:t xml:space="preserve"> </w:t>
      </w:r>
      <w:r w:rsidR="00E80638" w:rsidRPr="00CE427E">
        <w:rPr>
          <w:rFonts w:eastAsia="Calibri"/>
          <w:color w:val="000000"/>
          <w:szCs w:val="22"/>
        </w:rPr>
        <w:t>either HER2 overexpression or HER2 gene amplification as determined by an accurate and validated</w:t>
      </w:r>
      <w:r w:rsidR="00553467" w:rsidRPr="00CE427E">
        <w:rPr>
          <w:rFonts w:eastAsia="Calibri"/>
          <w:color w:val="000000"/>
          <w:szCs w:val="22"/>
        </w:rPr>
        <w:t xml:space="preserve"> </w:t>
      </w:r>
      <w:r w:rsidR="00E80638" w:rsidRPr="00CE427E">
        <w:rPr>
          <w:rFonts w:eastAsia="Calibri"/>
          <w:color w:val="000000"/>
          <w:szCs w:val="22"/>
        </w:rPr>
        <w:t>assay (see sections</w:t>
      </w:r>
      <w:r w:rsidR="00553467" w:rsidRPr="00CE427E">
        <w:rPr>
          <w:rFonts w:eastAsia="Calibri"/>
          <w:color w:val="000000"/>
          <w:szCs w:val="22"/>
        </w:rPr>
        <w:t> </w:t>
      </w:r>
      <w:r w:rsidR="00E80638" w:rsidRPr="00CE427E">
        <w:rPr>
          <w:rFonts w:eastAsia="Calibri"/>
          <w:color w:val="000000"/>
          <w:szCs w:val="22"/>
        </w:rPr>
        <w:t>4.4 and 5.1).</w:t>
      </w:r>
    </w:p>
    <w:p w14:paraId="1C4C11C9" w14:textId="77777777" w:rsidR="00553467" w:rsidRPr="00CE427E" w:rsidRDefault="00553467" w:rsidP="006128F6">
      <w:pPr>
        <w:tabs>
          <w:tab w:val="clear" w:pos="567"/>
        </w:tabs>
        <w:autoSpaceDE w:val="0"/>
        <w:autoSpaceDN w:val="0"/>
        <w:adjustRightInd w:val="0"/>
        <w:spacing w:line="240" w:lineRule="auto"/>
        <w:rPr>
          <w:rFonts w:eastAsia="Calibri"/>
          <w:color w:val="000000"/>
          <w:szCs w:val="22"/>
        </w:rPr>
      </w:pPr>
    </w:p>
    <w:p w14:paraId="2D5312FA" w14:textId="77777777" w:rsidR="00E80638" w:rsidRPr="00CE427E" w:rsidRDefault="00E80638" w:rsidP="006128F6">
      <w:pPr>
        <w:tabs>
          <w:tab w:val="clear" w:pos="567"/>
        </w:tabs>
        <w:autoSpaceDE w:val="0"/>
        <w:autoSpaceDN w:val="0"/>
        <w:adjustRightInd w:val="0"/>
        <w:spacing w:line="240" w:lineRule="auto"/>
        <w:rPr>
          <w:rFonts w:eastAsia="Calibri"/>
          <w:i/>
          <w:iCs/>
          <w:color w:val="000000"/>
          <w:szCs w:val="22"/>
          <w:u w:val="single"/>
        </w:rPr>
      </w:pPr>
      <w:r w:rsidRPr="00CE427E">
        <w:rPr>
          <w:rFonts w:eastAsia="Calibri"/>
          <w:i/>
          <w:iCs/>
          <w:color w:val="000000"/>
          <w:szCs w:val="22"/>
          <w:u w:val="single"/>
        </w:rPr>
        <w:t>Metastatic gastric cancer</w:t>
      </w:r>
    </w:p>
    <w:p w14:paraId="670BDB2F" w14:textId="77777777" w:rsidR="00553467" w:rsidRPr="00CE427E" w:rsidRDefault="00553467" w:rsidP="006128F6">
      <w:pPr>
        <w:tabs>
          <w:tab w:val="clear" w:pos="567"/>
        </w:tabs>
        <w:autoSpaceDE w:val="0"/>
        <w:autoSpaceDN w:val="0"/>
        <w:adjustRightInd w:val="0"/>
        <w:spacing w:line="240" w:lineRule="auto"/>
        <w:rPr>
          <w:rFonts w:eastAsia="Calibri"/>
          <w:color w:val="000000"/>
          <w:szCs w:val="22"/>
        </w:rPr>
      </w:pPr>
    </w:p>
    <w:p w14:paraId="4CE47629" w14:textId="3E916C2B" w:rsidR="00E80638" w:rsidRPr="00CE427E" w:rsidRDefault="008E0EE9"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KANJINTI</w:t>
      </w:r>
      <w:r w:rsidR="00E80638" w:rsidRPr="00CE427E">
        <w:rPr>
          <w:rFonts w:eastAsia="Calibri"/>
          <w:color w:val="000000"/>
          <w:szCs w:val="22"/>
        </w:rPr>
        <w:t xml:space="preserve"> in combination with capecitabine or 5-fluorouracil and cisplatin is indicated for the</w:t>
      </w:r>
      <w:r w:rsidR="00553467" w:rsidRPr="00CE427E">
        <w:rPr>
          <w:rFonts w:eastAsia="Calibri"/>
          <w:color w:val="000000"/>
          <w:szCs w:val="22"/>
        </w:rPr>
        <w:t xml:space="preserve"> </w:t>
      </w:r>
      <w:r w:rsidR="00E80638" w:rsidRPr="00CE427E">
        <w:rPr>
          <w:rFonts w:eastAsia="Calibri"/>
          <w:color w:val="000000"/>
          <w:szCs w:val="22"/>
        </w:rPr>
        <w:t>treatment of adult patients with HER2 positive metastatic adenocarcinoma of the stomach or gastroesophageal</w:t>
      </w:r>
      <w:r w:rsidR="00553467" w:rsidRPr="00CE427E">
        <w:rPr>
          <w:rFonts w:eastAsia="Calibri"/>
          <w:color w:val="000000"/>
          <w:szCs w:val="22"/>
        </w:rPr>
        <w:t xml:space="preserve"> </w:t>
      </w:r>
      <w:r w:rsidR="00E80638" w:rsidRPr="00CE427E">
        <w:rPr>
          <w:rFonts w:eastAsia="Calibri"/>
          <w:color w:val="000000"/>
          <w:szCs w:val="22"/>
        </w:rPr>
        <w:t>junction who have not received prior anti-cancer treatment for their metastatic disease.</w:t>
      </w:r>
    </w:p>
    <w:p w14:paraId="7395E5CC" w14:textId="77777777" w:rsidR="00553467" w:rsidRPr="00CE427E" w:rsidRDefault="00553467" w:rsidP="006128F6">
      <w:pPr>
        <w:tabs>
          <w:tab w:val="clear" w:pos="567"/>
        </w:tabs>
        <w:autoSpaceDE w:val="0"/>
        <w:autoSpaceDN w:val="0"/>
        <w:adjustRightInd w:val="0"/>
        <w:spacing w:line="240" w:lineRule="auto"/>
        <w:rPr>
          <w:rFonts w:eastAsia="Calibri"/>
          <w:color w:val="000000"/>
          <w:szCs w:val="22"/>
        </w:rPr>
      </w:pPr>
    </w:p>
    <w:p w14:paraId="589DBA52" w14:textId="2ABAC3BA" w:rsidR="00E80638" w:rsidRPr="00CE427E" w:rsidRDefault="008E0EE9"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KANJINTI</w:t>
      </w:r>
      <w:r w:rsidR="00E80638" w:rsidRPr="00CE427E">
        <w:rPr>
          <w:rFonts w:eastAsia="Calibri"/>
          <w:color w:val="000000"/>
          <w:szCs w:val="22"/>
        </w:rPr>
        <w:t xml:space="preserve"> should only be used in patients with metastatic gastric cancer (MGC) whose tumours have</w:t>
      </w:r>
      <w:r w:rsidR="00553467" w:rsidRPr="00CE427E">
        <w:rPr>
          <w:rFonts w:eastAsia="Calibri"/>
          <w:color w:val="000000"/>
          <w:szCs w:val="22"/>
        </w:rPr>
        <w:t xml:space="preserve"> </w:t>
      </w:r>
      <w:r w:rsidR="00E80638" w:rsidRPr="00CE427E">
        <w:rPr>
          <w:rFonts w:eastAsia="Calibri"/>
          <w:color w:val="000000"/>
          <w:szCs w:val="22"/>
        </w:rPr>
        <w:t>HER2 overexpression as defined by IHC</w:t>
      </w:r>
      <w:r w:rsidR="004F75BE" w:rsidRPr="00CE427E">
        <w:rPr>
          <w:rFonts w:eastAsia="Calibri"/>
          <w:color w:val="000000"/>
          <w:szCs w:val="22"/>
        </w:rPr>
        <w:t xml:space="preserve"> </w:t>
      </w:r>
      <w:r w:rsidR="00E80638" w:rsidRPr="00CE427E">
        <w:rPr>
          <w:rFonts w:eastAsia="Calibri"/>
          <w:color w:val="000000"/>
          <w:szCs w:val="22"/>
        </w:rPr>
        <w:t>2+ and a confirmatory SISH or FISH result, or by an IHC 3+</w:t>
      </w:r>
      <w:r w:rsidR="00553467" w:rsidRPr="00CE427E">
        <w:rPr>
          <w:rFonts w:eastAsia="Calibri"/>
          <w:color w:val="000000"/>
          <w:szCs w:val="22"/>
        </w:rPr>
        <w:t xml:space="preserve"> </w:t>
      </w:r>
      <w:r w:rsidR="00E80638" w:rsidRPr="00CE427E">
        <w:rPr>
          <w:rFonts w:eastAsia="Calibri"/>
          <w:color w:val="000000"/>
          <w:szCs w:val="22"/>
        </w:rPr>
        <w:t>result. Accurate and validated assay methods should be used (see sections 4.4 and 5.1).</w:t>
      </w:r>
    </w:p>
    <w:p w14:paraId="3601B554" w14:textId="77777777" w:rsidR="00925686" w:rsidRPr="006128F6" w:rsidRDefault="00925686" w:rsidP="006128F6">
      <w:pPr>
        <w:spacing w:line="240" w:lineRule="auto"/>
        <w:rPr>
          <w:szCs w:val="22"/>
        </w:rPr>
      </w:pPr>
    </w:p>
    <w:p w14:paraId="7A9633AD" w14:textId="77777777" w:rsidR="00925686" w:rsidRPr="006128F6" w:rsidRDefault="00925686" w:rsidP="005477BB">
      <w:pPr>
        <w:spacing w:line="240" w:lineRule="auto"/>
        <w:ind w:left="567" w:hanging="567"/>
        <w:outlineLvl w:val="0"/>
        <w:rPr>
          <w:b/>
          <w:szCs w:val="22"/>
        </w:rPr>
      </w:pPr>
      <w:r w:rsidRPr="006128F6">
        <w:rPr>
          <w:b/>
          <w:szCs w:val="22"/>
        </w:rPr>
        <w:t>4.2</w:t>
      </w:r>
      <w:r w:rsidRPr="006128F6">
        <w:rPr>
          <w:b/>
          <w:szCs w:val="22"/>
        </w:rPr>
        <w:tab/>
        <w:t>Posology and method of administration</w:t>
      </w:r>
    </w:p>
    <w:p w14:paraId="6F495DB8" w14:textId="77777777" w:rsidR="00925686" w:rsidRPr="006128F6" w:rsidRDefault="00925686" w:rsidP="006128F6">
      <w:pPr>
        <w:spacing w:line="240" w:lineRule="auto"/>
        <w:rPr>
          <w:szCs w:val="22"/>
        </w:rPr>
      </w:pPr>
    </w:p>
    <w:p w14:paraId="6C9D4F02" w14:textId="74DBEFD7" w:rsidR="006333C0" w:rsidRPr="00CE427E" w:rsidRDefault="006333C0"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HER2 testing is mandatory prior to initiation of therapy (see sections</w:t>
      </w:r>
      <w:r w:rsidR="00A813AA" w:rsidRPr="00CE427E">
        <w:rPr>
          <w:rFonts w:eastAsia="Calibri"/>
          <w:color w:val="000000"/>
          <w:szCs w:val="22"/>
        </w:rPr>
        <w:t> </w:t>
      </w:r>
      <w:r w:rsidRPr="00CE427E">
        <w:rPr>
          <w:rFonts w:eastAsia="Calibri"/>
          <w:color w:val="000000"/>
          <w:szCs w:val="22"/>
        </w:rPr>
        <w:t>4.4 and 5.1).</w:t>
      </w:r>
      <w:r w:rsidR="00754BDD" w:rsidRPr="00CE427E">
        <w:rPr>
          <w:rFonts w:eastAsia="Calibri"/>
          <w:color w:val="000000"/>
          <w:szCs w:val="22"/>
        </w:rPr>
        <w:t xml:space="preserve"> </w:t>
      </w:r>
      <w:r w:rsidR="00657E86" w:rsidRPr="00CE427E">
        <w:rPr>
          <w:rFonts w:eastAsia="Calibri"/>
          <w:color w:val="000000"/>
          <w:szCs w:val="22"/>
        </w:rPr>
        <w:t xml:space="preserve">KANJINTI </w:t>
      </w:r>
      <w:r w:rsidRPr="00CE427E">
        <w:rPr>
          <w:rFonts w:eastAsia="Calibri"/>
          <w:color w:val="000000"/>
          <w:szCs w:val="22"/>
        </w:rPr>
        <w:t>treatment should only be initiated by a physician experienced in the administration of cytotoxic chemotherapy (see section 4.4), and should be administered by a healthcare professional only.</w:t>
      </w:r>
    </w:p>
    <w:p w14:paraId="69ECE09B" w14:textId="77777777" w:rsidR="006333C0" w:rsidRPr="00CE427E" w:rsidRDefault="006333C0" w:rsidP="006128F6">
      <w:pPr>
        <w:tabs>
          <w:tab w:val="clear" w:pos="567"/>
        </w:tabs>
        <w:autoSpaceDE w:val="0"/>
        <w:autoSpaceDN w:val="0"/>
        <w:adjustRightInd w:val="0"/>
        <w:spacing w:line="240" w:lineRule="auto"/>
        <w:rPr>
          <w:rFonts w:eastAsia="Calibri"/>
          <w:color w:val="000000"/>
          <w:szCs w:val="22"/>
        </w:rPr>
      </w:pPr>
    </w:p>
    <w:p w14:paraId="3F719544" w14:textId="663AB525" w:rsidR="006333C0" w:rsidRPr="00CE427E" w:rsidRDefault="008E0EE9"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KANJINTI</w:t>
      </w:r>
      <w:r w:rsidR="006333C0" w:rsidRPr="00CE427E">
        <w:rPr>
          <w:rFonts w:eastAsia="Calibri"/>
          <w:color w:val="000000"/>
          <w:szCs w:val="22"/>
        </w:rPr>
        <w:t xml:space="preserve"> </w:t>
      </w:r>
      <w:r w:rsidR="00224CF8" w:rsidRPr="00CE427E">
        <w:rPr>
          <w:rFonts w:eastAsia="Calibri"/>
          <w:color w:val="000000"/>
          <w:szCs w:val="22"/>
        </w:rPr>
        <w:t xml:space="preserve">intravenous formulation is not intended for subcutaneous administration and </w:t>
      </w:r>
      <w:r w:rsidR="006333C0" w:rsidRPr="00CE427E">
        <w:rPr>
          <w:rFonts w:eastAsia="Calibri"/>
          <w:color w:val="000000"/>
          <w:szCs w:val="22"/>
        </w:rPr>
        <w:t>should be administered via an intravenous infusion only.</w:t>
      </w:r>
    </w:p>
    <w:p w14:paraId="03782E52" w14:textId="77777777" w:rsidR="006333C0" w:rsidRPr="00CE427E" w:rsidRDefault="006333C0" w:rsidP="006128F6">
      <w:pPr>
        <w:tabs>
          <w:tab w:val="clear" w:pos="567"/>
        </w:tabs>
        <w:autoSpaceDE w:val="0"/>
        <w:autoSpaceDN w:val="0"/>
        <w:adjustRightInd w:val="0"/>
        <w:spacing w:line="240" w:lineRule="auto"/>
        <w:rPr>
          <w:rFonts w:eastAsia="Calibri"/>
          <w:color w:val="000000"/>
          <w:szCs w:val="22"/>
        </w:rPr>
      </w:pPr>
    </w:p>
    <w:p w14:paraId="3495A062" w14:textId="01AAE4DA" w:rsidR="006333C0" w:rsidRPr="00CE427E" w:rsidRDefault="006333C0"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In order to prevent medication errors it is important to check the vial labels to ensure that the </w:t>
      </w:r>
      <w:r w:rsidR="00EE0352" w:rsidRPr="00CE427E">
        <w:rPr>
          <w:rFonts w:eastAsia="Calibri"/>
          <w:color w:val="000000"/>
          <w:szCs w:val="22"/>
        </w:rPr>
        <w:t>medicinal product</w:t>
      </w:r>
      <w:r w:rsidRPr="00CE427E">
        <w:rPr>
          <w:rFonts w:eastAsia="Calibri"/>
          <w:color w:val="000000"/>
          <w:szCs w:val="22"/>
        </w:rPr>
        <w:t xml:space="preserve"> being prepared and administered is </w:t>
      </w:r>
      <w:r w:rsidR="008E0EE9" w:rsidRPr="00CE427E">
        <w:rPr>
          <w:rFonts w:eastAsia="Calibri"/>
          <w:color w:val="000000"/>
          <w:szCs w:val="22"/>
        </w:rPr>
        <w:t>KANJINTI</w:t>
      </w:r>
      <w:r w:rsidRPr="00CE427E">
        <w:rPr>
          <w:rFonts w:eastAsia="Calibri"/>
          <w:color w:val="000000"/>
          <w:szCs w:val="22"/>
        </w:rPr>
        <w:t xml:space="preserve"> (trastuzumab) and not </w:t>
      </w:r>
      <w:r w:rsidR="0049102A" w:rsidRPr="00CE427E">
        <w:rPr>
          <w:rFonts w:eastAsia="Calibri"/>
          <w:color w:val="000000"/>
          <w:szCs w:val="22"/>
        </w:rPr>
        <w:t xml:space="preserve">another </w:t>
      </w:r>
      <w:r w:rsidRPr="00CE427E">
        <w:rPr>
          <w:rFonts w:eastAsia="Calibri"/>
          <w:color w:val="000000"/>
          <w:szCs w:val="22"/>
        </w:rPr>
        <w:t>trastuzumab</w:t>
      </w:r>
      <w:r w:rsidR="0049102A" w:rsidRPr="00CE427E">
        <w:rPr>
          <w:rFonts w:eastAsia="Calibri"/>
          <w:color w:val="000000"/>
          <w:szCs w:val="22"/>
        </w:rPr>
        <w:t>-containing product (e.g. trastuzumab</w:t>
      </w:r>
      <w:r w:rsidRPr="00CE427E">
        <w:rPr>
          <w:rFonts w:eastAsia="Calibri"/>
          <w:color w:val="000000"/>
          <w:szCs w:val="22"/>
        </w:rPr>
        <w:t xml:space="preserve"> emtansine</w:t>
      </w:r>
      <w:r w:rsidR="0049102A" w:rsidRPr="00CE427E">
        <w:rPr>
          <w:rFonts w:eastAsia="Calibri"/>
          <w:color w:val="000000"/>
          <w:szCs w:val="22"/>
        </w:rPr>
        <w:t xml:space="preserve"> or trastuzumab deruxtecan)</w:t>
      </w:r>
      <w:r w:rsidRPr="00CE427E">
        <w:rPr>
          <w:rFonts w:eastAsia="Calibri"/>
          <w:color w:val="000000"/>
          <w:szCs w:val="22"/>
        </w:rPr>
        <w:t>.</w:t>
      </w:r>
    </w:p>
    <w:p w14:paraId="6B36A9F6" w14:textId="77777777" w:rsidR="006333C0" w:rsidRPr="00CE427E" w:rsidRDefault="006333C0" w:rsidP="006128F6">
      <w:pPr>
        <w:tabs>
          <w:tab w:val="clear" w:pos="567"/>
        </w:tabs>
        <w:autoSpaceDE w:val="0"/>
        <w:autoSpaceDN w:val="0"/>
        <w:adjustRightInd w:val="0"/>
        <w:spacing w:line="240" w:lineRule="auto"/>
        <w:rPr>
          <w:rFonts w:eastAsia="Calibri"/>
          <w:color w:val="000000"/>
          <w:szCs w:val="22"/>
        </w:rPr>
      </w:pPr>
    </w:p>
    <w:p w14:paraId="2B2344D2" w14:textId="77777777" w:rsidR="006333C0" w:rsidRPr="00CE427E" w:rsidRDefault="006333C0" w:rsidP="006128F6">
      <w:pPr>
        <w:keepNext/>
        <w:tabs>
          <w:tab w:val="clear" w:pos="567"/>
        </w:tabs>
        <w:autoSpaceDE w:val="0"/>
        <w:autoSpaceDN w:val="0"/>
        <w:adjustRightInd w:val="0"/>
        <w:spacing w:line="240" w:lineRule="auto"/>
        <w:rPr>
          <w:rFonts w:eastAsia="Calibri"/>
          <w:color w:val="000000"/>
          <w:szCs w:val="22"/>
          <w:u w:val="single"/>
        </w:rPr>
      </w:pPr>
      <w:r w:rsidRPr="00CE427E">
        <w:rPr>
          <w:rFonts w:eastAsia="Calibri"/>
          <w:color w:val="000000"/>
          <w:szCs w:val="22"/>
          <w:u w:val="single"/>
        </w:rPr>
        <w:t>Posology</w:t>
      </w:r>
    </w:p>
    <w:p w14:paraId="0313E8E9" w14:textId="77777777" w:rsidR="006333C0" w:rsidRPr="00CE427E" w:rsidRDefault="006333C0" w:rsidP="006128F6">
      <w:pPr>
        <w:keepNext/>
        <w:tabs>
          <w:tab w:val="clear" w:pos="567"/>
        </w:tabs>
        <w:autoSpaceDE w:val="0"/>
        <w:autoSpaceDN w:val="0"/>
        <w:adjustRightInd w:val="0"/>
        <w:spacing w:line="240" w:lineRule="auto"/>
        <w:rPr>
          <w:rFonts w:eastAsia="Calibri"/>
          <w:color w:val="000000"/>
          <w:szCs w:val="22"/>
        </w:rPr>
      </w:pPr>
    </w:p>
    <w:p w14:paraId="2DDAE419" w14:textId="77777777" w:rsidR="006333C0" w:rsidRPr="00CE427E" w:rsidRDefault="006333C0" w:rsidP="006128F6">
      <w:pPr>
        <w:keepNext/>
        <w:tabs>
          <w:tab w:val="clear" w:pos="567"/>
        </w:tabs>
        <w:autoSpaceDE w:val="0"/>
        <w:autoSpaceDN w:val="0"/>
        <w:adjustRightInd w:val="0"/>
        <w:spacing w:line="240" w:lineRule="auto"/>
        <w:rPr>
          <w:rFonts w:eastAsia="Calibri"/>
          <w:i/>
          <w:iCs/>
          <w:color w:val="000000"/>
          <w:szCs w:val="22"/>
          <w:u w:val="single"/>
        </w:rPr>
      </w:pPr>
      <w:r w:rsidRPr="00CE427E">
        <w:rPr>
          <w:rFonts w:eastAsia="Calibri"/>
          <w:i/>
          <w:iCs/>
          <w:color w:val="000000"/>
          <w:szCs w:val="22"/>
          <w:u w:val="single"/>
        </w:rPr>
        <w:t>Metastatic breast cancer</w:t>
      </w:r>
    </w:p>
    <w:p w14:paraId="416D686E" w14:textId="77777777" w:rsidR="006333C0" w:rsidRPr="00CE427E" w:rsidRDefault="006333C0" w:rsidP="006128F6">
      <w:pPr>
        <w:keepNext/>
        <w:tabs>
          <w:tab w:val="clear" w:pos="567"/>
        </w:tabs>
        <w:autoSpaceDE w:val="0"/>
        <w:autoSpaceDN w:val="0"/>
        <w:adjustRightInd w:val="0"/>
        <w:spacing w:line="240" w:lineRule="auto"/>
        <w:rPr>
          <w:rFonts w:eastAsia="Calibri"/>
          <w:i/>
          <w:iCs/>
          <w:color w:val="000000"/>
          <w:szCs w:val="22"/>
        </w:rPr>
      </w:pPr>
    </w:p>
    <w:p w14:paraId="1D4C0A2C" w14:textId="77777777" w:rsidR="006333C0" w:rsidRPr="00CE427E" w:rsidRDefault="006333C0" w:rsidP="006128F6">
      <w:pPr>
        <w:keepNext/>
        <w:tabs>
          <w:tab w:val="clear" w:pos="567"/>
        </w:tabs>
        <w:autoSpaceDE w:val="0"/>
        <w:autoSpaceDN w:val="0"/>
        <w:adjustRightInd w:val="0"/>
        <w:spacing w:line="240" w:lineRule="auto"/>
        <w:rPr>
          <w:rFonts w:eastAsia="Calibri"/>
          <w:i/>
          <w:iCs/>
          <w:color w:val="000000"/>
          <w:szCs w:val="22"/>
        </w:rPr>
      </w:pPr>
      <w:r w:rsidRPr="00CE427E">
        <w:rPr>
          <w:rFonts w:eastAsia="Calibri"/>
          <w:i/>
          <w:iCs/>
          <w:color w:val="000000"/>
          <w:szCs w:val="22"/>
        </w:rPr>
        <w:t>Three-weekly schedule</w:t>
      </w:r>
    </w:p>
    <w:p w14:paraId="092EF508" w14:textId="77777777" w:rsidR="006333C0" w:rsidRPr="00CE427E" w:rsidRDefault="006333C0" w:rsidP="006128F6">
      <w:pPr>
        <w:keepNext/>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The recommended initial loading dose is 8 mg/kg body weight. The recommended maintenance dose at three</w:t>
      </w:r>
      <w:r w:rsidRPr="00CE427E">
        <w:rPr>
          <w:rFonts w:eastAsia="Calibri"/>
          <w:color w:val="000000"/>
          <w:szCs w:val="22"/>
        </w:rPr>
        <w:noBreakHyphen/>
        <w:t>weekly intervals is 6 mg/kg body weight, beginning three weeks after the loading dose.</w:t>
      </w:r>
    </w:p>
    <w:p w14:paraId="697AEC7A" w14:textId="77777777" w:rsidR="006333C0" w:rsidRPr="00CE427E" w:rsidRDefault="006333C0" w:rsidP="006128F6">
      <w:pPr>
        <w:tabs>
          <w:tab w:val="clear" w:pos="567"/>
        </w:tabs>
        <w:autoSpaceDE w:val="0"/>
        <w:autoSpaceDN w:val="0"/>
        <w:adjustRightInd w:val="0"/>
        <w:spacing w:line="240" w:lineRule="auto"/>
        <w:rPr>
          <w:rFonts w:eastAsia="Calibri"/>
          <w:i/>
          <w:iCs/>
          <w:color w:val="000000"/>
          <w:szCs w:val="22"/>
        </w:rPr>
      </w:pPr>
    </w:p>
    <w:p w14:paraId="2BCEE37B" w14:textId="77777777" w:rsidR="006333C0" w:rsidRPr="00CE427E" w:rsidRDefault="006333C0" w:rsidP="00181EDC">
      <w:pPr>
        <w:keepNext/>
        <w:tabs>
          <w:tab w:val="clear" w:pos="567"/>
        </w:tabs>
        <w:autoSpaceDE w:val="0"/>
        <w:autoSpaceDN w:val="0"/>
        <w:adjustRightInd w:val="0"/>
        <w:spacing w:line="240" w:lineRule="auto"/>
        <w:rPr>
          <w:rFonts w:eastAsia="Calibri"/>
          <w:i/>
          <w:iCs/>
          <w:color w:val="000000"/>
          <w:szCs w:val="22"/>
        </w:rPr>
      </w:pPr>
      <w:r w:rsidRPr="00CE427E">
        <w:rPr>
          <w:rFonts w:eastAsia="Calibri"/>
          <w:i/>
          <w:iCs/>
          <w:color w:val="000000"/>
          <w:szCs w:val="22"/>
        </w:rPr>
        <w:lastRenderedPageBreak/>
        <w:t>Weekly schedule</w:t>
      </w:r>
    </w:p>
    <w:p w14:paraId="3AF9B363" w14:textId="063F94A9" w:rsidR="006333C0" w:rsidRPr="00CE427E" w:rsidRDefault="006333C0" w:rsidP="00181EDC">
      <w:pPr>
        <w:keepNext/>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The recommended initial loading dose of </w:t>
      </w:r>
      <w:r w:rsidR="008E0EE9" w:rsidRPr="00CE427E">
        <w:rPr>
          <w:rFonts w:eastAsia="Calibri"/>
          <w:color w:val="000000"/>
          <w:szCs w:val="22"/>
        </w:rPr>
        <w:t>KANJINTI</w:t>
      </w:r>
      <w:r w:rsidRPr="00CE427E">
        <w:rPr>
          <w:rFonts w:eastAsia="Calibri"/>
          <w:color w:val="000000"/>
          <w:szCs w:val="22"/>
        </w:rPr>
        <w:t xml:space="preserve"> is 4 mg/kg body weight. The recommended weekly maintenance dose of </w:t>
      </w:r>
      <w:r w:rsidR="008E0EE9" w:rsidRPr="00CE427E">
        <w:rPr>
          <w:rFonts w:eastAsia="Calibri"/>
          <w:color w:val="000000"/>
          <w:szCs w:val="22"/>
        </w:rPr>
        <w:t>KANJINTI</w:t>
      </w:r>
      <w:r w:rsidRPr="00CE427E">
        <w:rPr>
          <w:rFonts w:eastAsia="Calibri"/>
          <w:color w:val="000000"/>
          <w:szCs w:val="22"/>
        </w:rPr>
        <w:t xml:space="preserve"> is 2 mg/kg body weight, beginning one week after the loading dose.</w:t>
      </w:r>
    </w:p>
    <w:p w14:paraId="18639E4E" w14:textId="77777777" w:rsidR="006333C0" w:rsidRPr="00CE427E" w:rsidRDefault="006333C0" w:rsidP="006128F6">
      <w:pPr>
        <w:tabs>
          <w:tab w:val="clear" w:pos="567"/>
        </w:tabs>
        <w:autoSpaceDE w:val="0"/>
        <w:autoSpaceDN w:val="0"/>
        <w:adjustRightInd w:val="0"/>
        <w:spacing w:line="240" w:lineRule="auto"/>
        <w:rPr>
          <w:rFonts w:eastAsia="Calibri"/>
          <w:color w:val="000000"/>
          <w:szCs w:val="22"/>
        </w:rPr>
      </w:pPr>
    </w:p>
    <w:p w14:paraId="40BCD8CC" w14:textId="77777777" w:rsidR="006333C0" w:rsidRPr="00CE427E" w:rsidRDefault="006333C0" w:rsidP="006128F6">
      <w:pPr>
        <w:tabs>
          <w:tab w:val="clear" w:pos="567"/>
        </w:tabs>
        <w:autoSpaceDE w:val="0"/>
        <w:autoSpaceDN w:val="0"/>
        <w:adjustRightInd w:val="0"/>
        <w:spacing w:line="240" w:lineRule="auto"/>
        <w:rPr>
          <w:rFonts w:eastAsia="Calibri"/>
          <w:i/>
          <w:iCs/>
          <w:color w:val="000000"/>
          <w:szCs w:val="22"/>
        </w:rPr>
      </w:pPr>
      <w:r w:rsidRPr="00CE427E">
        <w:rPr>
          <w:rFonts w:eastAsia="Calibri"/>
          <w:i/>
          <w:iCs/>
          <w:color w:val="000000"/>
          <w:szCs w:val="22"/>
        </w:rPr>
        <w:t>Administration in combination with paclitaxel or docetaxel</w:t>
      </w:r>
    </w:p>
    <w:p w14:paraId="27D5E85F" w14:textId="52F549BC" w:rsidR="006333C0" w:rsidRPr="00CE427E" w:rsidRDefault="006333C0"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In the pivotal </w:t>
      </w:r>
      <w:r w:rsidR="004A5EE5">
        <w:rPr>
          <w:rFonts w:eastAsia="Calibri"/>
          <w:color w:val="000000"/>
          <w:szCs w:val="22"/>
        </w:rPr>
        <w:t>studie</w:t>
      </w:r>
      <w:r w:rsidRPr="00CE427E">
        <w:rPr>
          <w:rFonts w:eastAsia="Calibri"/>
          <w:color w:val="000000"/>
          <w:szCs w:val="22"/>
        </w:rPr>
        <w:t xml:space="preserve">s (H0648g, M77001), paclitaxel or docetaxel was administered the day following the first dose of </w:t>
      </w:r>
      <w:r w:rsidR="007910C1" w:rsidRPr="00CE427E">
        <w:rPr>
          <w:rFonts w:eastAsia="Calibri"/>
          <w:color w:val="000000"/>
          <w:szCs w:val="22"/>
        </w:rPr>
        <w:t>trastuzumab</w:t>
      </w:r>
      <w:r w:rsidRPr="00CE427E">
        <w:rPr>
          <w:rFonts w:eastAsia="Calibri"/>
          <w:color w:val="000000"/>
          <w:szCs w:val="22"/>
        </w:rPr>
        <w:t xml:space="preserve"> (for dose, see the Summary of Product Characteristics (SmPC) for paclitaxel or docetaxel) and immediately after the subsequent doses of </w:t>
      </w:r>
      <w:r w:rsidR="007910C1" w:rsidRPr="00CE427E">
        <w:rPr>
          <w:rFonts w:eastAsia="Calibri"/>
          <w:color w:val="000000"/>
          <w:szCs w:val="22"/>
        </w:rPr>
        <w:t>trastuzumab</w:t>
      </w:r>
      <w:r w:rsidRPr="00CE427E">
        <w:rPr>
          <w:rFonts w:eastAsia="Calibri"/>
          <w:color w:val="000000"/>
          <w:szCs w:val="22"/>
        </w:rPr>
        <w:t xml:space="preserve"> if the preceding dose of </w:t>
      </w:r>
      <w:r w:rsidR="007910C1" w:rsidRPr="00CE427E">
        <w:rPr>
          <w:rFonts w:eastAsia="Calibri"/>
          <w:color w:val="000000"/>
          <w:szCs w:val="22"/>
        </w:rPr>
        <w:t>trastuzumab</w:t>
      </w:r>
      <w:r w:rsidR="005613F7" w:rsidRPr="00CE427E">
        <w:rPr>
          <w:rFonts w:eastAsia="Calibri"/>
          <w:color w:val="000000"/>
          <w:szCs w:val="22"/>
        </w:rPr>
        <w:t xml:space="preserve"> </w:t>
      </w:r>
      <w:r w:rsidRPr="00CE427E">
        <w:rPr>
          <w:rFonts w:eastAsia="Calibri"/>
          <w:color w:val="000000"/>
          <w:szCs w:val="22"/>
        </w:rPr>
        <w:t>was well tolerated.</w:t>
      </w:r>
    </w:p>
    <w:p w14:paraId="54404B51" w14:textId="77777777" w:rsidR="006333C0" w:rsidRPr="00CE427E" w:rsidRDefault="006333C0" w:rsidP="006128F6">
      <w:pPr>
        <w:tabs>
          <w:tab w:val="clear" w:pos="567"/>
        </w:tabs>
        <w:autoSpaceDE w:val="0"/>
        <w:autoSpaceDN w:val="0"/>
        <w:adjustRightInd w:val="0"/>
        <w:spacing w:line="240" w:lineRule="auto"/>
        <w:rPr>
          <w:rFonts w:eastAsia="Calibri"/>
          <w:i/>
          <w:iCs/>
          <w:color w:val="000000"/>
          <w:szCs w:val="22"/>
        </w:rPr>
      </w:pPr>
    </w:p>
    <w:p w14:paraId="41965537" w14:textId="77777777" w:rsidR="006333C0" w:rsidRPr="00CE427E" w:rsidRDefault="006333C0" w:rsidP="006128F6">
      <w:pPr>
        <w:tabs>
          <w:tab w:val="clear" w:pos="567"/>
        </w:tabs>
        <w:autoSpaceDE w:val="0"/>
        <w:autoSpaceDN w:val="0"/>
        <w:adjustRightInd w:val="0"/>
        <w:spacing w:line="240" w:lineRule="auto"/>
        <w:rPr>
          <w:rFonts w:eastAsia="Calibri"/>
          <w:i/>
          <w:iCs/>
          <w:color w:val="000000"/>
          <w:szCs w:val="22"/>
        </w:rPr>
      </w:pPr>
      <w:r w:rsidRPr="00CE427E">
        <w:rPr>
          <w:rFonts w:eastAsia="Calibri"/>
          <w:i/>
          <w:iCs/>
          <w:color w:val="000000"/>
          <w:szCs w:val="22"/>
        </w:rPr>
        <w:t>Administration in combination with an aromatase inhibitor</w:t>
      </w:r>
    </w:p>
    <w:p w14:paraId="3F50034F" w14:textId="271A8C90" w:rsidR="006333C0" w:rsidRPr="00CE427E" w:rsidRDefault="006333C0"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In the pivotal </w:t>
      </w:r>
      <w:r w:rsidR="004A5EE5">
        <w:rPr>
          <w:rFonts w:eastAsia="Calibri"/>
          <w:color w:val="000000"/>
          <w:szCs w:val="22"/>
        </w:rPr>
        <w:t>stud</w:t>
      </w:r>
      <w:r w:rsidR="00731150">
        <w:rPr>
          <w:rFonts w:eastAsia="Calibri"/>
          <w:color w:val="000000"/>
          <w:szCs w:val="22"/>
        </w:rPr>
        <w:t>y</w:t>
      </w:r>
      <w:r w:rsidR="004A5EE5" w:rsidRPr="00CE427E">
        <w:rPr>
          <w:rFonts w:eastAsia="Calibri"/>
          <w:color w:val="000000"/>
          <w:szCs w:val="22"/>
        </w:rPr>
        <w:t xml:space="preserve"> </w:t>
      </w:r>
      <w:r w:rsidRPr="00CE427E">
        <w:rPr>
          <w:rFonts w:eastAsia="Calibri"/>
          <w:color w:val="000000"/>
          <w:szCs w:val="22"/>
        </w:rPr>
        <w:t xml:space="preserve">(BO16216) </w:t>
      </w:r>
      <w:r w:rsidR="007910C1" w:rsidRPr="00CE427E">
        <w:rPr>
          <w:rFonts w:eastAsia="Calibri"/>
          <w:color w:val="000000"/>
          <w:szCs w:val="22"/>
        </w:rPr>
        <w:t>trastuzumab</w:t>
      </w:r>
      <w:r w:rsidRPr="00CE427E">
        <w:rPr>
          <w:rFonts w:eastAsia="Calibri"/>
          <w:color w:val="000000"/>
          <w:szCs w:val="22"/>
        </w:rPr>
        <w:t xml:space="preserve"> and anastrozole were administered from day</w:t>
      </w:r>
      <w:r w:rsidR="00A813AA" w:rsidRPr="00CE427E">
        <w:rPr>
          <w:rFonts w:eastAsia="Calibri"/>
          <w:color w:val="000000"/>
          <w:szCs w:val="22"/>
        </w:rPr>
        <w:t> </w:t>
      </w:r>
      <w:r w:rsidRPr="00CE427E">
        <w:rPr>
          <w:rFonts w:eastAsia="Calibri"/>
          <w:color w:val="000000"/>
          <w:szCs w:val="22"/>
        </w:rPr>
        <w:t xml:space="preserve">1. There were no restrictions on the relative timing of </w:t>
      </w:r>
      <w:r w:rsidR="007910C1" w:rsidRPr="00CE427E">
        <w:rPr>
          <w:rFonts w:eastAsia="Calibri"/>
          <w:color w:val="000000"/>
          <w:szCs w:val="22"/>
        </w:rPr>
        <w:t>trastuzumab</w:t>
      </w:r>
      <w:r w:rsidRPr="00CE427E">
        <w:rPr>
          <w:rFonts w:eastAsia="Calibri"/>
          <w:color w:val="000000"/>
          <w:szCs w:val="22"/>
        </w:rPr>
        <w:t xml:space="preserve"> and anastrozole at administration (for dose, see the SmPC for anastrozole or other aromatase inhibitors).</w:t>
      </w:r>
    </w:p>
    <w:p w14:paraId="7B9BCFDA" w14:textId="77777777" w:rsidR="006333C0" w:rsidRPr="00CE427E" w:rsidRDefault="006333C0" w:rsidP="006128F6">
      <w:pPr>
        <w:tabs>
          <w:tab w:val="clear" w:pos="567"/>
        </w:tabs>
        <w:autoSpaceDE w:val="0"/>
        <w:autoSpaceDN w:val="0"/>
        <w:adjustRightInd w:val="0"/>
        <w:spacing w:line="240" w:lineRule="auto"/>
        <w:rPr>
          <w:rFonts w:eastAsia="Calibri"/>
          <w:i/>
          <w:iCs/>
          <w:color w:val="000000"/>
          <w:szCs w:val="22"/>
        </w:rPr>
      </w:pPr>
    </w:p>
    <w:p w14:paraId="2381DC74" w14:textId="35553193" w:rsidR="006333C0" w:rsidRPr="00CE427E" w:rsidRDefault="006333C0" w:rsidP="006128F6">
      <w:pPr>
        <w:tabs>
          <w:tab w:val="clear" w:pos="567"/>
        </w:tabs>
        <w:autoSpaceDE w:val="0"/>
        <w:autoSpaceDN w:val="0"/>
        <w:adjustRightInd w:val="0"/>
        <w:spacing w:line="240" w:lineRule="auto"/>
        <w:rPr>
          <w:rFonts w:eastAsia="Calibri"/>
          <w:i/>
          <w:iCs/>
          <w:color w:val="000000"/>
          <w:szCs w:val="22"/>
          <w:u w:val="single"/>
        </w:rPr>
      </w:pPr>
      <w:r w:rsidRPr="00CE427E">
        <w:rPr>
          <w:rFonts w:eastAsia="Calibri"/>
          <w:i/>
          <w:iCs/>
          <w:color w:val="000000"/>
          <w:szCs w:val="22"/>
          <w:u w:val="single"/>
        </w:rPr>
        <w:t>Early breast cancer</w:t>
      </w:r>
    </w:p>
    <w:p w14:paraId="47F3042A" w14:textId="77777777" w:rsidR="006333C0" w:rsidRPr="00CE427E" w:rsidRDefault="006333C0" w:rsidP="006128F6">
      <w:pPr>
        <w:tabs>
          <w:tab w:val="clear" w:pos="567"/>
        </w:tabs>
        <w:autoSpaceDE w:val="0"/>
        <w:autoSpaceDN w:val="0"/>
        <w:adjustRightInd w:val="0"/>
        <w:spacing w:line="240" w:lineRule="auto"/>
        <w:rPr>
          <w:rFonts w:eastAsia="Calibri"/>
          <w:i/>
          <w:iCs/>
          <w:color w:val="000000"/>
          <w:szCs w:val="22"/>
        </w:rPr>
      </w:pPr>
    </w:p>
    <w:p w14:paraId="50F397AC" w14:textId="77777777" w:rsidR="006333C0" w:rsidRPr="00CE427E" w:rsidRDefault="006333C0" w:rsidP="006128F6">
      <w:pPr>
        <w:tabs>
          <w:tab w:val="clear" w:pos="567"/>
        </w:tabs>
        <w:autoSpaceDE w:val="0"/>
        <w:autoSpaceDN w:val="0"/>
        <w:adjustRightInd w:val="0"/>
        <w:spacing w:line="240" w:lineRule="auto"/>
        <w:rPr>
          <w:rFonts w:eastAsia="Calibri"/>
          <w:i/>
          <w:iCs/>
          <w:color w:val="000000"/>
          <w:szCs w:val="22"/>
        </w:rPr>
      </w:pPr>
      <w:r w:rsidRPr="00CE427E">
        <w:rPr>
          <w:rFonts w:eastAsia="Calibri"/>
          <w:i/>
          <w:iCs/>
          <w:color w:val="000000"/>
          <w:szCs w:val="22"/>
        </w:rPr>
        <w:t>Three</w:t>
      </w:r>
      <w:r w:rsidRPr="00CE427E">
        <w:rPr>
          <w:rFonts w:eastAsia="Calibri"/>
          <w:i/>
          <w:iCs/>
          <w:color w:val="000000"/>
          <w:szCs w:val="22"/>
        </w:rPr>
        <w:noBreakHyphen/>
        <w:t>weekly and weekly schedule</w:t>
      </w:r>
    </w:p>
    <w:p w14:paraId="2C0E8836" w14:textId="63450555" w:rsidR="006333C0" w:rsidRPr="00CE427E" w:rsidRDefault="006333C0"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As a three</w:t>
      </w:r>
      <w:r w:rsidRPr="00CE427E">
        <w:rPr>
          <w:rFonts w:eastAsia="Calibri"/>
          <w:color w:val="000000"/>
          <w:szCs w:val="22"/>
        </w:rPr>
        <w:noBreakHyphen/>
        <w:t xml:space="preserve">weekly regimen the recommended initial loading dose of </w:t>
      </w:r>
      <w:r w:rsidR="008E0EE9" w:rsidRPr="00CE427E">
        <w:rPr>
          <w:rFonts w:eastAsia="Calibri"/>
          <w:color w:val="000000"/>
          <w:szCs w:val="22"/>
        </w:rPr>
        <w:t>KANJINTI</w:t>
      </w:r>
      <w:r w:rsidRPr="00CE427E">
        <w:rPr>
          <w:rFonts w:eastAsia="Calibri"/>
          <w:color w:val="000000"/>
          <w:szCs w:val="22"/>
        </w:rPr>
        <w:t xml:space="preserve"> is 8 mg/kg body weight. The recommended maintenance dose of </w:t>
      </w:r>
      <w:r w:rsidR="008E0EE9" w:rsidRPr="00CE427E">
        <w:rPr>
          <w:rFonts w:eastAsia="Calibri"/>
          <w:color w:val="000000"/>
          <w:szCs w:val="22"/>
        </w:rPr>
        <w:t>KANJINTI</w:t>
      </w:r>
      <w:r w:rsidRPr="00CE427E">
        <w:rPr>
          <w:rFonts w:eastAsia="Calibri"/>
          <w:color w:val="000000"/>
          <w:szCs w:val="22"/>
        </w:rPr>
        <w:t xml:space="preserve"> at three-weekly intervals is 6 mg/kg body weight, beginning three weeks after the loading dose.</w:t>
      </w:r>
    </w:p>
    <w:p w14:paraId="448C5A95" w14:textId="77777777" w:rsidR="006333C0" w:rsidRPr="00CE427E" w:rsidRDefault="006333C0" w:rsidP="006128F6">
      <w:pPr>
        <w:tabs>
          <w:tab w:val="clear" w:pos="567"/>
        </w:tabs>
        <w:autoSpaceDE w:val="0"/>
        <w:autoSpaceDN w:val="0"/>
        <w:adjustRightInd w:val="0"/>
        <w:spacing w:line="240" w:lineRule="auto"/>
        <w:rPr>
          <w:rFonts w:eastAsia="Calibri"/>
          <w:color w:val="000000"/>
          <w:szCs w:val="22"/>
        </w:rPr>
      </w:pPr>
    </w:p>
    <w:p w14:paraId="577BCD3C" w14:textId="77777777" w:rsidR="006333C0" w:rsidRPr="00CE427E" w:rsidRDefault="006333C0"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As a weekly regimen (initial loading dose of 4 mg/kg followed by 2 mg/kg every week) concomitantly with paclitaxel following chemotherapy with doxorubicin and cyclophosphamide. </w:t>
      </w:r>
    </w:p>
    <w:p w14:paraId="437D5F19" w14:textId="77777777" w:rsidR="006333C0" w:rsidRPr="00CE427E" w:rsidRDefault="006333C0" w:rsidP="006128F6">
      <w:pPr>
        <w:tabs>
          <w:tab w:val="clear" w:pos="567"/>
        </w:tabs>
        <w:autoSpaceDE w:val="0"/>
        <w:autoSpaceDN w:val="0"/>
        <w:adjustRightInd w:val="0"/>
        <w:spacing w:line="240" w:lineRule="auto"/>
        <w:rPr>
          <w:rFonts w:eastAsia="Calibri"/>
          <w:color w:val="000000"/>
          <w:szCs w:val="22"/>
        </w:rPr>
      </w:pPr>
    </w:p>
    <w:p w14:paraId="3BB615ED" w14:textId="77777777" w:rsidR="006333C0" w:rsidRPr="00CE427E" w:rsidRDefault="006333C0"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See section 5.1 for chemotherapy combination dosing.</w:t>
      </w:r>
    </w:p>
    <w:p w14:paraId="537408C0" w14:textId="77777777" w:rsidR="006333C0" w:rsidRPr="00CE427E" w:rsidRDefault="006333C0" w:rsidP="006128F6">
      <w:pPr>
        <w:tabs>
          <w:tab w:val="clear" w:pos="567"/>
        </w:tabs>
        <w:autoSpaceDE w:val="0"/>
        <w:autoSpaceDN w:val="0"/>
        <w:adjustRightInd w:val="0"/>
        <w:spacing w:line="240" w:lineRule="auto"/>
        <w:rPr>
          <w:rFonts w:eastAsia="Calibri"/>
          <w:i/>
          <w:iCs/>
          <w:color w:val="000000"/>
          <w:szCs w:val="22"/>
        </w:rPr>
      </w:pPr>
    </w:p>
    <w:p w14:paraId="25809DEB" w14:textId="77777777" w:rsidR="006333C0" w:rsidRPr="00CE427E" w:rsidRDefault="006333C0" w:rsidP="006128F6">
      <w:pPr>
        <w:tabs>
          <w:tab w:val="clear" w:pos="567"/>
        </w:tabs>
        <w:autoSpaceDE w:val="0"/>
        <w:autoSpaceDN w:val="0"/>
        <w:adjustRightInd w:val="0"/>
        <w:spacing w:line="240" w:lineRule="auto"/>
        <w:rPr>
          <w:rFonts w:eastAsia="Calibri"/>
          <w:i/>
          <w:iCs/>
          <w:color w:val="000000"/>
          <w:szCs w:val="22"/>
          <w:u w:val="single"/>
        </w:rPr>
      </w:pPr>
      <w:r w:rsidRPr="00CE427E">
        <w:rPr>
          <w:rFonts w:eastAsia="Calibri"/>
          <w:i/>
          <w:iCs/>
          <w:color w:val="000000"/>
          <w:szCs w:val="22"/>
          <w:u w:val="single"/>
        </w:rPr>
        <w:t>Metastatic gastric cancer</w:t>
      </w:r>
    </w:p>
    <w:p w14:paraId="523716FD" w14:textId="77777777" w:rsidR="006333C0" w:rsidRPr="00CE427E" w:rsidRDefault="006333C0" w:rsidP="006128F6">
      <w:pPr>
        <w:tabs>
          <w:tab w:val="clear" w:pos="567"/>
        </w:tabs>
        <w:autoSpaceDE w:val="0"/>
        <w:autoSpaceDN w:val="0"/>
        <w:adjustRightInd w:val="0"/>
        <w:spacing w:line="240" w:lineRule="auto"/>
        <w:rPr>
          <w:rFonts w:eastAsia="Calibri"/>
          <w:i/>
          <w:iCs/>
          <w:color w:val="000000"/>
          <w:szCs w:val="22"/>
        </w:rPr>
      </w:pPr>
    </w:p>
    <w:p w14:paraId="2679C0DA" w14:textId="77777777" w:rsidR="006333C0" w:rsidRPr="00CE427E" w:rsidRDefault="006333C0" w:rsidP="006128F6">
      <w:pPr>
        <w:tabs>
          <w:tab w:val="clear" w:pos="567"/>
        </w:tabs>
        <w:autoSpaceDE w:val="0"/>
        <w:autoSpaceDN w:val="0"/>
        <w:adjustRightInd w:val="0"/>
        <w:spacing w:line="240" w:lineRule="auto"/>
        <w:rPr>
          <w:rFonts w:eastAsia="Calibri"/>
          <w:i/>
          <w:iCs/>
          <w:color w:val="000000"/>
          <w:szCs w:val="22"/>
        </w:rPr>
      </w:pPr>
      <w:r w:rsidRPr="00CE427E">
        <w:rPr>
          <w:rFonts w:eastAsia="Calibri"/>
          <w:i/>
          <w:iCs/>
          <w:color w:val="000000"/>
          <w:szCs w:val="22"/>
        </w:rPr>
        <w:t>Three</w:t>
      </w:r>
      <w:r w:rsidRPr="00CE427E">
        <w:rPr>
          <w:rFonts w:eastAsia="Calibri"/>
          <w:i/>
          <w:iCs/>
          <w:color w:val="000000"/>
          <w:szCs w:val="22"/>
        </w:rPr>
        <w:noBreakHyphen/>
        <w:t>weekly schedule</w:t>
      </w:r>
    </w:p>
    <w:p w14:paraId="27E835FA" w14:textId="77777777" w:rsidR="006333C0" w:rsidRPr="00CE427E" w:rsidRDefault="006333C0"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The recommended initial loading dose is 8 mg/kg body weight. The recommended maintenance dose at three-weekly intervals is 6 mg/kg body weight, beginning three weeks after the loading dose.</w:t>
      </w:r>
    </w:p>
    <w:p w14:paraId="126B75F0" w14:textId="77777777" w:rsidR="006333C0" w:rsidRPr="00CE427E" w:rsidRDefault="006333C0" w:rsidP="006128F6">
      <w:pPr>
        <w:tabs>
          <w:tab w:val="clear" w:pos="567"/>
        </w:tabs>
        <w:autoSpaceDE w:val="0"/>
        <w:autoSpaceDN w:val="0"/>
        <w:adjustRightInd w:val="0"/>
        <w:spacing w:line="240" w:lineRule="auto"/>
        <w:rPr>
          <w:rFonts w:eastAsia="Calibri"/>
          <w:color w:val="000000"/>
          <w:szCs w:val="22"/>
        </w:rPr>
      </w:pPr>
    </w:p>
    <w:p w14:paraId="3F9841EB" w14:textId="77777777" w:rsidR="006333C0" w:rsidRPr="00CE427E" w:rsidRDefault="006333C0" w:rsidP="006128F6">
      <w:pPr>
        <w:tabs>
          <w:tab w:val="clear" w:pos="567"/>
        </w:tabs>
        <w:autoSpaceDE w:val="0"/>
        <w:autoSpaceDN w:val="0"/>
        <w:adjustRightInd w:val="0"/>
        <w:spacing w:line="240" w:lineRule="auto"/>
        <w:rPr>
          <w:rFonts w:eastAsia="Calibri"/>
          <w:i/>
          <w:color w:val="000000"/>
          <w:szCs w:val="22"/>
          <w:u w:val="single"/>
        </w:rPr>
      </w:pPr>
      <w:r w:rsidRPr="00CE427E">
        <w:rPr>
          <w:rFonts w:eastAsia="Calibri"/>
          <w:i/>
          <w:color w:val="000000"/>
          <w:szCs w:val="22"/>
          <w:u w:val="single"/>
        </w:rPr>
        <w:t>Breast cancer and gastric cancer</w:t>
      </w:r>
    </w:p>
    <w:p w14:paraId="4F25A405" w14:textId="77777777" w:rsidR="006333C0" w:rsidRPr="00CE427E" w:rsidRDefault="006333C0" w:rsidP="006128F6">
      <w:pPr>
        <w:tabs>
          <w:tab w:val="clear" w:pos="567"/>
        </w:tabs>
        <w:autoSpaceDE w:val="0"/>
        <w:autoSpaceDN w:val="0"/>
        <w:adjustRightInd w:val="0"/>
        <w:spacing w:line="240" w:lineRule="auto"/>
        <w:rPr>
          <w:rFonts w:eastAsia="Calibri"/>
          <w:i/>
          <w:iCs/>
          <w:color w:val="000000"/>
          <w:szCs w:val="22"/>
        </w:rPr>
      </w:pPr>
    </w:p>
    <w:p w14:paraId="721230E0" w14:textId="77777777" w:rsidR="006333C0" w:rsidRPr="00CE427E" w:rsidRDefault="006333C0" w:rsidP="006128F6">
      <w:pPr>
        <w:tabs>
          <w:tab w:val="clear" w:pos="567"/>
        </w:tabs>
        <w:autoSpaceDE w:val="0"/>
        <w:autoSpaceDN w:val="0"/>
        <w:adjustRightInd w:val="0"/>
        <w:spacing w:line="240" w:lineRule="auto"/>
        <w:rPr>
          <w:rFonts w:eastAsia="Calibri"/>
          <w:i/>
          <w:iCs/>
          <w:color w:val="000000"/>
          <w:szCs w:val="22"/>
        </w:rPr>
      </w:pPr>
      <w:r w:rsidRPr="00CE427E">
        <w:rPr>
          <w:rFonts w:eastAsia="Calibri"/>
          <w:i/>
          <w:iCs/>
          <w:color w:val="000000"/>
          <w:szCs w:val="22"/>
        </w:rPr>
        <w:t>Duration of treatment</w:t>
      </w:r>
    </w:p>
    <w:p w14:paraId="3EE9F224" w14:textId="69EA8B88" w:rsidR="00A813AA" w:rsidRPr="00CE427E" w:rsidRDefault="006333C0"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Patients with MBC or MGC should be treated with </w:t>
      </w:r>
      <w:r w:rsidR="008E0EE9" w:rsidRPr="00CE427E">
        <w:rPr>
          <w:rFonts w:eastAsia="Calibri"/>
          <w:color w:val="000000"/>
          <w:szCs w:val="22"/>
        </w:rPr>
        <w:t>KANJINTI</w:t>
      </w:r>
      <w:r w:rsidRPr="00CE427E">
        <w:rPr>
          <w:rFonts w:eastAsia="Calibri"/>
          <w:color w:val="000000"/>
          <w:szCs w:val="22"/>
        </w:rPr>
        <w:t xml:space="preserve"> until progression of disease. </w:t>
      </w:r>
    </w:p>
    <w:p w14:paraId="2FFB3728" w14:textId="65F7D1B2" w:rsidR="006333C0" w:rsidRPr="00CE427E" w:rsidRDefault="006333C0"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Patients with EBC should be treated with </w:t>
      </w:r>
      <w:r w:rsidR="008E0EE9" w:rsidRPr="00CE427E">
        <w:rPr>
          <w:rFonts w:eastAsia="Calibri"/>
          <w:color w:val="000000"/>
          <w:szCs w:val="22"/>
        </w:rPr>
        <w:t>KANJINTI</w:t>
      </w:r>
      <w:r w:rsidRPr="00CE427E">
        <w:rPr>
          <w:rFonts w:eastAsia="Calibri"/>
          <w:color w:val="000000"/>
          <w:szCs w:val="22"/>
        </w:rPr>
        <w:t xml:space="preserve"> for 1 year or until disease recurrence, whichever occurs first; extending treatment in EBC beyond one year is not recommended (see section 5.1).</w:t>
      </w:r>
    </w:p>
    <w:p w14:paraId="537FB878" w14:textId="77777777" w:rsidR="006333C0" w:rsidRPr="00CE427E" w:rsidRDefault="006333C0" w:rsidP="006128F6">
      <w:pPr>
        <w:tabs>
          <w:tab w:val="clear" w:pos="567"/>
        </w:tabs>
        <w:autoSpaceDE w:val="0"/>
        <w:autoSpaceDN w:val="0"/>
        <w:adjustRightInd w:val="0"/>
        <w:spacing w:line="240" w:lineRule="auto"/>
        <w:rPr>
          <w:rFonts w:eastAsia="Calibri"/>
          <w:i/>
          <w:iCs/>
          <w:color w:val="000000"/>
          <w:szCs w:val="22"/>
        </w:rPr>
      </w:pPr>
    </w:p>
    <w:p w14:paraId="65D4C39C" w14:textId="77777777" w:rsidR="006333C0" w:rsidRPr="00CE427E" w:rsidRDefault="006333C0" w:rsidP="006128F6">
      <w:pPr>
        <w:tabs>
          <w:tab w:val="clear" w:pos="567"/>
        </w:tabs>
        <w:autoSpaceDE w:val="0"/>
        <w:autoSpaceDN w:val="0"/>
        <w:adjustRightInd w:val="0"/>
        <w:spacing w:line="240" w:lineRule="auto"/>
        <w:rPr>
          <w:rFonts w:eastAsia="Calibri"/>
          <w:i/>
          <w:iCs/>
          <w:color w:val="000000"/>
          <w:szCs w:val="22"/>
        </w:rPr>
      </w:pPr>
      <w:r w:rsidRPr="00CE427E">
        <w:rPr>
          <w:rFonts w:eastAsia="Calibri"/>
          <w:i/>
          <w:iCs/>
          <w:color w:val="000000"/>
          <w:szCs w:val="22"/>
        </w:rPr>
        <w:t>Dose reduction</w:t>
      </w:r>
    </w:p>
    <w:p w14:paraId="2E6126B8" w14:textId="408F2CEE" w:rsidR="006333C0" w:rsidRPr="00CE427E" w:rsidRDefault="006333C0"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No reductions in the dose of </w:t>
      </w:r>
      <w:r w:rsidR="007910C1" w:rsidRPr="00CE427E">
        <w:rPr>
          <w:rFonts w:eastAsia="Calibri"/>
          <w:color w:val="000000"/>
          <w:szCs w:val="22"/>
        </w:rPr>
        <w:t>trastuzumab</w:t>
      </w:r>
      <w:r w:rsidRPr="00CE427E">
        <w:rPr>
          <w:rFonts w:eastAsia="Calibri"/>
          <w:color w:val="000000"/>
          <w:szCs w:val="22"/>
        </w:rPr>
        <w:t xml:space="preserve"> were made during clinical </w:t>
      </w:r>
      <w:r w:rsidR="004A5EE5">
        <w:rPr>
          <w:rFonts w:eastAsia="Calibri"/>
          <w:color w:val="000000"/>
          <w:szCs w:val="22"/>
        </w:rPr>
        <w:t>studie</w:t>
      </w:r>
      <w:r w:rsidRPr="00CE427E">
        <w:rPr>
          <w:rFonts w:eastAsia="Calibri"/>
          <w:color w:val="000000"/>
          <w:szCs w:val="22"/>
        </w:rPr>
        <w:t>s. Patients may continue therapy during periods of reversible, chemotherapy-induced myelosuppression but they should be monitored carefully for complications of neutropenia during this time. Refer to the SmPC for paclitaxel, docetaxel or aromatase inhibitor for information on dose reduction or delays.</w:t>
      </w:r>
    </w:p>
    <w:p w14:paraId="60171BA9" w14:textId="77777777" w:rsidR="006333C0" w:rsidRPr="00CE427E" w:rsidRDefault="006333C0" w:rsidP="006128F6">
      <w:pPr>
        <w:tabs>
          <w:tab w:val="clear" w:pos="567"/>
        </w:tabs>
        <w:autoSpaceDE w:val="0"/>
        <w:autoSpaceDN w:val="0"/>
        <w:adjustRightInd w:val="0"/>
        <w:spacing w:line="240" w:lineRule="auto"/>
        <w:rPr>
          <w:rFonts w:eastAsia="Calibri"/>
          <w:color w:val="000000"/>
          <w:szCs w:val="22"/>
        </w:rPr>
      </w:pPr>
    </w:p>
    <w:p w14:paraId="718D12C9" w14:textId="138BF323" w:rsidR="006333C0" w:rsidRPr="00CE427E" w:rsidRDefault="006333C0"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If left ventricular ejection fraction (LVEF) </w:t>
      </w:r>
      <w:r w:rsidR="00224CF8" w:rsidRPr="00CE427E">
        <w:rPr>
          <w:rFonts w:eastAsia="Calibri"/>
          <w:color w:val="000000"/>
          <w:szCs w:val="22"/>
        </w:rPr>
        <w:t xml:space="preserve">percentage </w:t>
      </w:r>
      <w:r w:rsidRPr="00CE427E">
        <w:rPr>
          <w:rFonts w:eastAsia="Calibri"/>
          <w:color w:val="000000"/>
          <w:szCs w:val="22"/>
        </w:rPr>
        <w:t>drops ≥</w:t>
      </w:r>
      <w:r w:rsidRPr="006128F6">
        <w:rPr>
          <w:rFonts w:eastAsia="TimesNewRomanPSMT"/>
          <w:color w:val="000000"/>
          <w:szCs w:val="22"/>
        </w:rPr>
        <w:t> </w:t>
      </w:r>
      <w:r w:rsidRPr="00CE427E">
        <w:rPr>
          <w:rFonts w:eastAsia="Calibri"/>
          <w:color w:val="000000"/>
          <w:szCs w:val="22"/>
        </w:rPr>
        <w:t>10 points from baseline AND to below 50</w:t>
      </w:r>
      <w:r w:rsidR="000840CF" w:rsidRPr="00CE427E">
        <w:rPr>
          <w:rFonts w:eastAsia="Calibri"/>
          <w:color w:val="000000"/>
          <w:szCs w:val="22"/>
        </w:rPr>
        <w:t>%</w:t>
      </w:r>
      <w:r w:rsidRPr="00CE427E">
        <w:rPr>
          <w:rFonts w:eastAsia="Calibri"/>
          <w:color w:val="000000"/>
          <w:szCs w:val="22"/>
        </w:rPr>
        <w:t xml:space="preserve">, treatment should be suspended and a repeat LVEF assessment performed within approximately 3 weeks. If LVEF has not improved, or </w:t>
      </w:r>
      <w:r w:rsidR="00224CF8" w:rsidRPr="00CE427E">
        <w:rPr>
          <w:rFonts w:eastAsia="Calibri"/>
          <w:color w:val="000000"/>
          <w:szCs w:val="22"/>
        </w:rPr>
        <w:t xml:space="preserve">has </w:t>
      </w:r>
      <w:r w:rsidRPr="00CE427E">
        <w:rPr>
          <w:rFonts w:eastAsia="Calibri"/>
          <w:color w:val="000000"/>
          <w:szCs w:val="22"/>
        </w:rPr>
        <w:t>declined further, or</w:t>
      </w:r>
      <w:r w:rsidR="001B633B" w:rsidRPr="00CE427E">
        <w:rPr>
          <w:rFonts w:eastAsia="Calibri"/>
          <w:color w:val="000000"/>
          <w:szCs w:val="22"/>
        </w:rPr>
        <w:t xml:space="preserve"> if</w:t>
      </w:r>
      <w:r w:rsidRPr="00CE427E">
        <w:rPr>
          <w:rFonts w:eastAsia="Calibri"/>
          <w:color w:val="000000"/>
          <w:szCs w:val="22"/>
        </w:rPr>
        <w:t xml:space="preserve"> symptomatic congestive heart failure (CHF) has developed, discontinuation of </w:t>
      </w:r>
      <w:r w:rsidR="008E0EE9" w:rsidRPr="00CE427E">
        <w:rPr>
          <w:rFonts w:eastAsia="Calibri"/>
          <w:color w:val="000000"/>
          <w:szCs w:val="22"/>
        </w:rPr>
        <w:t>KANJINTI</w:t>
      </w:r>
      <w:r w:rsidRPr="00CE427E">
        <w:rPr>
          <w:rFonts w:eastAsia="Calibri"/>
          <w:color w:val="000000"/>
          <w:szCs w:val="22"/>
        </w:rPr>
        <w:t xml:space="preserve"> should be strongly considered, unless the benefits for the individual patient are deemed to outweigh the risks. All such patients should be referred for assessment by a cardiologist and followed up.</w:t>
      </w:r>
    </w:p>
    <w:p w14:paraId="4C16948B" w14:textId="77777777" w:rsidR="006333C0" w:rsidRPr="00CE427E" w:rsidRDefault="006333C0" w:rsidP="006128F6">
      <w:pPr>
        <w:tabs>
          <w:tab w:val="clear" w:pos="567"/>
        </w:tabs>
        <w:autoSpaceDE w:val="0"/>
        <w:autoSpaceDN w:val="0"/>
        <w:adjustRightInd w:val="0"/>
        <w:spacing w:line="240" w:lineRule="auto"/>
        <w:rPr>
          <w:rFonts w:eastAsia="Calibri"/>
          <w:i/>
          <w:iCs/>
          <w:color w:val="000000"/>
          <w:szCs w:val="22"/>
        </w:rPr>
      </w:pPr>
    </w:p>
    <w:p w14:paraId="194D6527" w14:textId="77777777" w:rsidR="006333C0" w:rsidRPr="00CE427E" w:rsidRDefault="006333C0" w:rsidP="00EA21EE">
      <w:pPr>
        <w:keepNext/>
        <w:keepLines/>
        <w:tabs>
          <w:tab w:val="clear" w:pos="567"/>
        </w:tabs>
        <w:autoSpaceDE w:val="0"/>
        <w:autoSpaceDN w:val="0"/>
        <w:adjustRightInd w:val="0"/>
        <w:spacing w:line="240" w:lineRule="auto"/>
        <w:rPr>
          <w:rFonts w:eastAsia="Calibri"/>
          <w:i/>
          <w:iCs/>
          <w:color w:val="000000"/>
          <w:szCs w:val="22"/>
        </w:rPr>
      </w:pPr>
      <w:r w:rsidRPr="00CE427E">
        <w:rPr>
          <w:rFonts w:eastAsia="Calibri"/>
          <w:i/>
          <w:iCs/>
          <w:color w:val="000000"/>
          <w:szCs w:val="22"/>
        </w:rPr>
        <w:lastRenderedPageBreak/>
        <w:t>Missed doses</w:t>
      </w:r>
    </w:p>
    <w:p w14:paraId="492E35AD" w14:textId="4F26CCEF" w:rsidR="006333C0" w:rsidRPr="00CE427E" w:rsidRDefault="006333C0" w:rsidP="00EA21EE">
      <w:pPr>
        <w:keepNext/>
        <w:keepLines/>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If the patient has missed a dose of </w:t>
      </w:r>
      <w:r w:rsidR="008E0EE9" w:rsidRPr="00CE427E">
        <w:rPr>
          <w:rFonts w:eastAsia="Calibri"/>
          <w:color w:val="000000"/>
          <w:szCs w:val="22"/>
        </w:rPr>
        <w:t>KANJINTI</w:t>
      </w:r>
      <w:r w:rsidRPr="00CE427E">
        <w:rPr>
          <w:rFonts w:eastAsia="Calibri"/>
          <w:color w:val="000000"/>
          <w:szCs w:val="22"/>
        </w:rPr>
        <w:t xml:space="preserve"> by one week or less, then the usual maintenance dose (weekly regimen: 2 mg/kg; three</w:t>
      </w:r>
      <w:r w:rsidR="0059524E" w:rsidRPr="00CE427E">
        <w:rPr>
          <w:rFonts w:eastAsia="Calibri"/>
          <w:color w:val="000000"/>
          <w:szCs w:val="22"/>
        </w:rPr>
        <w:noBreakHyphen/>
      </w:r>
      <w:r w:rsidRPr="00CE427E">
        <w:rPr>
          <w:rFonts w:eastAsia="Calibri"/>
          <w:color w:val="000000"/>
          <w:szCs w:val="22"/>
        </w:rPr>
        <w:t>weekly regimen: 6 mg/kg) should be administered as soon as possible. Do not wait until the next planned cycle. Subsequent maintenance doses should be administered 7 days or 21 days later according to the weekly or three-weekly schedules, respectively.</w:t>
      </w:r>
    </w:p>
    <w:p w14:paraId="0CCE03A5" w14:textId="77777777" w:rsidR="006333C0" w:rsidRPr="00CE427E" w:rsidRDefault="006333C0" w:rsidP="006128F6">
      <w:pPr>
        <w:tabs>
          <w:tab w:val="clear" w:pos="567"/>
        </w:tabs>
        <w:autoSpaceDE w:val="0"/>
        <w:autoSpaceDN w:val="0"/>
        <w:adjustRightInd w:val="0"/>
        <w:spacing w:line="240" w:lineRule="auto"/>
        <w:rPr>
          <w:rFonts w:eastAsia="Calibri"/>
          <w:color w:val="000000"/>
          <w:szCs w:val="22"/>
        </w:rPr>
      </w:pPr>
    </w:p>
    <w:p w14:paraId="566E8398" w14:textId="697D79F4" w:rsidR="006333C0" w:rsidRPr="00CE427E" w:rsidRDefault="006333C0"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If the patient has missed a dose of </w:t>
      </w:r>
      <w:r w:rsidR="008E0EE9" w:rsidRPr="00CE427E">
        <w:rPr>
          <w:rFonts w:eastAsia="Calibri"/>
          <w:color w:val="000000"/>
          <w:szCs w:val="22"/>
        </w:rPr>
        <w:t>KANJINTI</w:t>
      </w:r>
      <w:r w:rsidRPr="00CE427E">
        <w:rPr>
          <w:rFonts w:eastAsia="Calibri"/>
          <w:color w:val="000000"/>
          <w:szCs w:val="22"/>
        </w:rPr>
        <w:t xml:space="preserve"> by more than one week, a re-loading dose of </w:t>
      </w:r>
      <w:r w:rsidR="008E0EE9" w:rsidRPr="00CE427E">
        <w:rPr>
          <w:rFonts w:eastAsia="Calibri"/>
          <w:color w:val="000000"/>
          <w:szCs w:val="22"/>
        </w:rPr>
        <w:t>KANJINTI</w:t>
      </w:r>
      <w:r w:rsidRPr="00CE427E">
        <w:rPr>
          <w:rFonts w:eastAsia="Calibri"/>
          <w:color w:val="000000"/>
          <w:szCs w:val="22"/>
        </w:rPr>
        <w:t xml:space="preserve"> should be administered over approximately 90 minutes (weekly regimen: 4</w:t>
      </w:r>
      <w:r w:rsidR="0059524E" w:rsidRPr="00CE427E">
        <w:rPr>
          <w:rFonts w:eastAsia="Calibri"/>
          <w:color w:val="000000"/>
          <w:szCs w:val="22"/>
        </w:rPr>
        <w:t> </w:t>
      </w:r>
      <w:r w:rsidRPr="00CE427E">
        <w:rPr>
          <w:rFonts w:eastAsia="Calibri"/>
          <w:color w:val="000000"/>
          <w:szCs w:val="22"/>
        </w:rPr>
        <w:t>mg/kg; three</w:t>
      </w:r>
      <w:r w:rsidR="0059524E" w:rsidRPr="00CE427E">
        <w:rPr>
          <w:rFonts w:eastAsia="Calibri"/>
          <w:color w:val="000000"/>
          <w:szCs w:val="22"/>
        </w:rPr>
        <w:noBreakHyphen/>
      </w:r>
      <w:r w:rsidRPr="00CE427E">
        <w:rPr>
          <w:rFonts w:eastAsia="Calibri"/>
          <w:color w:val="000000"/>
          <w:szCs w:val="22"/>
        </w:rPr>
        <w:t xml:space="preserve">weekly regimen: 8 mg/kg) as soon as possible. Subsequent </w:t>
      </w:r>
      <w:r w:rsidR="008E0EE9" w:rsidRPr="00CE427E">
        <w:rPr>
          <w:rFonts w:eastAsia="Calibri"/>
          <w:color w:val="000000"/>
          <w:szCs w:val="22"/>
        </w:rPr>
        <w:t>KANJINTI</w:t>
      </w:r>
      <w:r w:rsidRPr="00CE427E">
        <w:rPr>
          <w:rFonts w:eastAsia="Calibri"/>
          <w:color w:val="000000"/>
          <w:szCs w:val="22"/>
        </w:rPr>
        <w:t xml:space="preserve"> maintenance doses (weekly regimen:</w:t>
      </w:r>
      <w:r w:rsidR="0059524E" w:rsidRPr="00CE427E">
        <w:rPr>
          <w:rFonts w:eastAsia="Calibri"/>
          <w:color w:val="000000"/>
          <w:szCs w:val="22"/>
        </w:rPr>
        <w:t xml:space="preserve"> </w:t>
      </w:r>
      <w:r w:rsidRPr="00CE427E">
        <w:rPr>
          <w:rFonts w:eastAsia="Calibri"/>
          <w:color w:val="000000"/>
          <w:szCs w:val="22"/>
        </w:rPr>
        <w:t>2 mg/kg; three</w:t>
      </w:r>
      <w:r w:rsidR="0059524E" w:rsidRPr="00CE427E">
        <w:rPr>
          <w:rFonts w:eastAsia="Calibri"/>
          <w:color w:val="000000"/>
          <w:szCs w:val="22"/>
        </w:rPr>
        <w:noBreakHyphen/>
      </w:r>
      <w:r w:rsidRPr="00CE427E">
        <w:rPr>
          <w:rFonts w:eastAsia="Calibri"/>
          <w:color w:val="000000"/>
          <w:szCs w:val="22"/>
        </w:rPr>
        <w:t>weekly regimen 6 mg/kg respectively) should be administered 7 days or 21 days later</w:t>
      </w:r>
      <w:r w:rsidR="0059524E" w:rsidRPr="00CE427E">
        <w:rPr>
          <w:rFonts w:eastAsia="Calibri"/>
          <w:color w:val="000000"/>
          <w:szCs w:val="22"/>
        </w:rPr>
        <w:t xml:space="preserve"> </w:t>
      </w:r>
      <w:r w:rsidRPr="00CE427E">
        <w:rPr>
          <w:rFonts w:eastAsia="Calibri"/>
          <w:color w:val="000000"/>
          <w:szCs w:val="22"/>
        </w:rPr>
        <w:t>according to the weekly or three-weekly schedules respectively.</w:t>
      </w:r>
    </w:p>
    <w:p w14:paraId="68BB2FF7" w14:textId="77777777" w:rsidR="006333C0" w:rsidRPr="00CE427E" w:rsidRDefault="006333C0" w:rsidP="006128F6">
      <w:pPr>
        <w:tabs>
          <w:tab w:val="clear" w:pos="567"/>
        </w:tabs>
        <w:autoSpaceDE w:val="0"/>
        <w:autoSpaceDN w:val="0"/>
        <w:adjustRightInd w:val="0"/>
        <w:spacing w:line="240" w:lineRule="auto"/>
        <w:rPr>
          <w:rFonts w:eastAsia="Calibri"/>
          <w:i/>
          <w:iCs/>
          <w:color w:val="000000"/>
          <w:szCs w:val="22"/>
        </w:rPr>
      </w:pPr>
    </w:p>
    <w:p w14:paraId="702BF716" w14:textId="77777777" w:rsidR="006333C0" w:rsidRPr="00CE427E" w:rsidRDefault="006333C0" w:rsidP="006128F6">
      <w:pPr>
        <w:tabs>
          <w:tab w:val="clear" w:pos="567"/>
        </w:tabs>
        <w:autoSpaceDE w:val="0"/>
        <w:autoSpaceDN w:val="0"/>
        <w:adjustRightInd w:val="0"/>
        <w:spacing w:line="240" w:lineRule="auto"/>
        <w:rPr>
          <w:rFonts w:eastAsia="Calibri"/>
          <w:i/>
          <w:iCs/>
          <w:color w:val="000000"/>
          <w:szCs w:val="22"/>
        </w:rPr>
      </w:pPr>
      <w:r w:rsidRPr="00CE427E">
        <w:rPr>
          <w:rFonts w:eastAsia="Calibri"/>
          <w:i/>
          <w:iCs/>
          <w:color w:val="000000"/>
          <w:szCs w:val="22"/>
        </w:rPr>
        <w:t>Special populations</w:t>
      </w:r>
    </w:p>
    <w:p w14:paraId="61B2F775" w14:textId="77777777" w:rsidR="006333C0" w:rsidRPr="00CE427E" w:rsidRDefault="006333C0"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Dedicated pharmacokinetic studies in </w:t>
      </w:r>
      <w:r w:rsidR="00407C54" w:rsidRPr="00CE427E">
        <w:rPr>
          <w:rFonts w:eastAsia="Calibri"/>
          <w:color w:val="000000"/>
          <w:szCs w:val="22"/>
        </w:rPr>
        <w:t xml:space="preserve">the elderly </w:t>
      </w:r>
      <w:r w:rsidRPr="00CE427E">
        <w:rPr>
          <w:rFonts w:eastAsia="Calibri"/>
          <w:color w:val="000000"/>
          <w:szCs w:val="22"/>
        </w:rPr>
        <w:t>and those with renal or hepatic impairment have not been carried out. In a population pharmacokinetic analysis, age and renal impairment were not shown to affect trastuzumab disposition.</w:t>
      </w:r>
    </w:p>
    <w:p w14:paraId="29CC3612" w14:textId="77777777" w:rsidR="006333C0" w:rsidRPr="00CE427E" w:rsidRDefault="006333C0" w:rsidP="006128F6">
      <w:pPr>
        <w:tabs>
          <w:tab w:val="clear" w:pos="567"/>
        </w:tabs>
        <w:autoSpaceDE w:val="0"/>
        <w:autoSpaceDN w:val="0"/>
        <w:adjustRightInd w:val="0"/>
        <w:spacing w:line="240" w:lineRule="auto"/>
        <w:rPr>
          <w:rFonts w:eastAsia="Calibri"/>
          <w:i/>
          <w:iCs/>
          <w:color w:val="000000"/>
          <w:szCs w:val="22"/>
        </w:rPr>
      </w:pPr>
    </w:p>
    <w:p w14:paraId="1A431FF7" w14:textId="77777777" w:rsidR="006333C0" w:rsidRPr="00CE427E" w:rsidRDefault="006333C0" w:rsidP="006128F6">
      <w:pPr>
        <w:tabs>
          <w:tab w:val="clear" w:pos="567"/>
        </w:tabs>
        <w:autoSpaceDE w:val="0"/>
        <w:autoSpaceDN w:val="0"/>
        <w:adjustRightInd w:val="0"/>
        <w:spacing w:line="240" w:lineRule="auto"/>
        <w:rPr>
          <w:rFonts w:eastAsia="Calibri"/>
          <w:i/>
          <w:iCs/>
          <w:color w:val="000000"/>
          <w:szCs w:val="22"/>
        </w:rPr>
      </w:pPr>
      <w:r w:rsidRPr="00CE427E">
        <w:rPr>
          <w:rFonts w:eastAsia="Calibri"/>
          <w:i/>
          <w:iCs/>
          <w:color w:val="000000"/>
          <w:szCs w:val="22"/>
        </w:rPr>
        <w:t>Paediatric population</w:t>
      </w:r>
    </w:p>
    <w:p w14:paraId="1C2E0EE4" w14:textId="77777777" w:rsidR="006333C0" w:rsidRPr="00CE427E" w:rsidRDefault="006333C0"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There is no relevant use of </w:t>
      </w:r>
      <w:r w:rsidR="007910C1" w:rsidRPr="00CE427E">
        <w:rPr>
          <w:rFonts w:eastAsia="Calibri"/>
          <w:color w:val="000000"/>
          <w:szCs w:val="22"/>
        </w:rPr>
        <w:t>trastuzumab</w:t>
      </w:r>
      <w:r w:rsidRPr="00CE427E">
        <w:rPr>
          <w:rFonts w:eastAsia="Calibri"/>
          <w:color w:val="000000"/>
          <w:szCs w:val="22"/>
        </w:rPr>
        <w:t xml:space="preserve"> in the paediatric population.</w:t>
      </w:r>
    </w:p>
    <w:p w14:paraId="2DFDF13C" w14:textId="77777777" w:rsidR="006333C0" w:rsidRPr="00CE427E" w:rsidRDefault="006333C0" w:rsidP="006128F6">
      <w:pPr>
        <w:tabs>
          <w:tab w:val="clear" w:pos="567"/>
        </w:tabs>
        <w:autoSpaceDE w:val="0"/>
        <w:autoSpaceDN w:val="0"/>
        <w:adjustRightInd w:val="0"/>
        <w:spacing w:line="240" w:lineRule="auto"/>
        <w:rPr>
          <w:rFonts w:eastAsia="Calibri"/>
          <w:color w:val="000000"/>
          <w:szCs w:val="22"/>
        </w:rPr>
      </w:pPr>
    </w:p>
    <w:p w14:paraId="021C4B50" w14:textId="77777777" w:rsidR="006333C0" w:rsidRPr="00CE427E" w:rsidRDefault="006333C0" w:rsidP="006128F6">
      <w:pPr>
        <w:tabs>
          <w:tab w:val="clear" w:pos="567"/>
        </w:tabs>
        <w:autoSpaceDE w:val="0"/>
        <w:autoSpaceDN w:val="0"/>
        <w:adjustRightInd w:val="0"/>
        <w:spacing w:line="240" w:lineRule="auto"/>
        <w:rPr>
          <w:rFonts w:eastAsia="Calibri"/>
          <w:color w:val="000000"/>
          <w:szCs w:val="22"/>
          <w:u w:val="single"/>
        </w:rPr>
      </w:pPr>
      <w:r w:rsidRPr="00CE427E">
        <w:rPr>
          <w:rFonts w:eastAsia="Calibri"/>
          <w:color w:val="000000"/>
          <w:szCs w:val="22"/>
          <w:u w:val="single"/>
        </w:rPr>
        <w:t>Method of administration</w:t>
      </w:r>
    </w:p>
    <w:p w14:paraId="1281FE9A" w14:textId="77777777" w:rsidR="006333C0" w:rsidRPr="00CE427E" w:rsidRDefault="006333C0" w:rsidP="006128F6">
      <w:pPr>
        <w:tabs>
          <w:tab w:val="clear" w:pos="567"/>
        </w:tabs>
        <w:autoSpaceDE w:val="0"/>
        <w:autoSpaceDN w:val="0"/>
        <w:adjustRightInd w:val="0"/>
        <w:spacing w:line="240" w:lineRule="auto"/>
        <w:rPr>
          <w:rFonts w:eastAsia="Calibri"/>
          <w:color w:val="000000"/>
          <w:szCs w:val="22"/>
        </w:rPr>
      </w:pPr>
    </w:p>
    <w:p w14:paraId="201118D1" w14:textId="7F09CC57" w:rsidR="006333C0" w:rsidRPr="00CE427E" w:rsidRDefault="00AF7903"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KANJINTI is for intravenous use only. The </w:t>
      </w:r>
      <w:r w:rsidR="006333C0" w:rsidRPr="00CE427E">
        <w:rPr>
          <w:rFonts w:eastAsia="Calibri"/>
          <w:color w:val="000000"/>
          <w:szCs w:val="22"/>
        </w:rPr>
        <w:t>loading dose should be administered as a 90</w:t>
      </w:r>
      <w:r w:rsidR="00AE4F65" w:rsidRPr="00CE427E">
        <w:rPr>
          <w:rFonts w:eastAsia="Calibri"/>
          <w:color w:val="000000"/>
          <w:szCs w:val="22"/>
        </w:rPr>
        <w:noBreakHyphen/>
      </w:r>
      <w:r w:rsidR="006333C0" w:rsidRPr="00CE427E">
        <w:rPr>
          <w:rFonts w:eastAsia="Calibri"/>
          <w:color w:val="000000"/>
          <w:szCs w:val="22"/>
        </w:rPr>
        <w:t xml:space="preserve">minute intravenous infusion. </w:t>
      </w:r>
      <w:r w:rsidR="001B633B" w:rsidRPr="00CE427E">
        <w:rPr>
          <w:rFonts w:eastAsia="Calibri"/>
          <w:color w:val="000000"/>
          <w:szCs w:val="22"/>
        </w:rPr>
        <w:t>Do not a</w:t>
      </w:r>
      <w:r w:rsidR="00AE0CEF" w:rsidRPr="00CE427E">
        <w:rPr>
          <w:rFonts w:eastAsia="Calibri"/>
          <w:color w:val="000000"/>
          <w:szCs w:val="22"/>
        </w:rPr>
        <w:t>dminister</w:t>
      </w:r>
      <w:r w:rsidRPr="00CE427E">
        <w:rPr>
          <w:rFonts w:eastAsia="Calibri"/>
          <w:color w:val="000000"/>
          <w:szCs w:val="22"/>
        </w:rPr>
        <w:t xml:space="preserve"> as an intravenous push or bolus.</w:t>
      </w:r>
      <w:r w:rsidR="006333C0" w:rsidRPr="00CE427E">
        <w:rPr>
          <w:rFonts w:eastAsia="Calibri"/>
          <w:color w:val="000000"/>
          <w:szCs w:val="22"/>
        </w:rPr>
        <w:t xml:space="preserve"> </w:t>
      </w:r>
      <w:r w:rsidR="008E0EE9" w:rsidRPr="00CE427E">
        <w:rPr>
          <w:rFonts w:eastAsia="Calibri"/>
          <w:color w:val="000000"/>
          <w:szCs w:val="22"/>
        </w:rPr>
        <w:t>KANJINTI</w:t>
      </w:r>
      <w:r w:rsidR="006333C0" w:rsidRPr="00CE427E">
        <w:rPr>
          <w:rFonts w:eastAsia="Calibri"/>
          <w:color w:val="000000"/>
          <w:szCs w:val="22"/>
        </w:rPr>
        <w:t xml:space="preserve"> intravenous infusion should be administered by a healthcare provider prepared to manage anaphylaxis and an emergency ki</w:t>
      </w:r>
      <w:r w:rsidR="00AE4F65" w:rsidRPr="00CE427E">
        <w:rPr>
          <w:rFonts w:eastAsia="Calibri"/>
          <w:color w:val="000000"/>
          <w:szCs w:val="22"/>
        </w:rPr>
        <w:t xml:space="preserve">t should be available. </w:t>
      </w:r>
      <w:r w:rsidR="006333C0" w:rsidRPr="00CE427E">
        <w:rPr>
          <w:rFonts w:eastAsia="Calibri"/>
          <w:color w:val="000000"/>
          <w:szCs w:val="22"/>
        </w:rPr>
        <w:t>Patients should be observed for at least six hours after the start of the first infusion and for two hours after the start of the subsequent infusions for symptoms like fever and chills or other infusion</w:t>
      </w:r>
      <w:r w:rsidR="00AE4F65" w:rsidRPr="00CE427E">
        <w:rPr>
          <w:rFonts w:eastAsia="Calibri"/>
          <w:color w:val="000000"/>
          <w:szCs w:val="22"/>
        </w:rPr>
        <w:noBreakHyphen/>
      </w:r>
      <w:r w:rsidR="006333C0" w:rsidRPr="00CE427E">
        <w:rPr>
          <w:rFonts w:eastAsia="Calibri"/>
          <w:color w:val="000000"/>
          <w:szCs w:val="22"/>
        </w:rPr>
        <w:t>related symptoms (see sections 4.4 and 4.8). Interruption or slowing the rate of the infusion may help control such symptoms. The infusion may be resumed when symptoms abate.</w:t>
      </w:r>
    </w:p>
    <w:p w14:paraId="4AF1BD40" w14:textId="77777777" w:rsidR="006333C0" w:rsidRPr="00CE427E" w:rsidRDefault="006333C0" w:rsidP="006128F6">
      <w:pPr>
        <w:tabs>
          <w:tab w:val="clear" w:pos="567"/>
        </w:tabs>
        <w:autoSpaceDE w:val="0"/>
        <w:autoSpaceDN w:val="0"/>
        <w:adjustRightInd w:val="0"/>
        <w:spacing w:line="240" w:lineRule="auto"/>
        <w:rPr>
          <w:rFonts w:eastAsia="Calibri"/>
          <w:color w:val="000000"/>
          <w:szCs w:val="22"/>
        </w:rPr>
      </w:pPr>
    </w:p>
    <w:p w14:paraId="1CC379F7" w14:textId="0DBC7B95" w:rsidR="006333C0" w:rsidRPr="00CE427E" w:rsidRDefault="006333C0"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If the initial loading dose was well tolerated, the subsequent doses can be administered as a 30</w:t>
      </w:r>
      <w:r w:rsidR="00AE4F65" w:rsidRPr="00CE427E">
        <w:rPr>
          <w:rFonts w:eastAsia="Calibri"/>
          <w:color w:val="000000"/>
          <w:szCs w:val="22"/>
        </w:rPr>
        <w:noBreakHyphen/>
      </w:r>
      <w:r w:rsidRPr="00CE427E">
        <w:rPr>
          <w:rFonts w:eastAsia="Calibri"/>
          <w:color w:val="000000"/>
          <w:szCs w:val="22"/>
        </w:rPr>
        <w:t>minute</w:t>
      </w:r>
      <w:r w:rsidR="00661081" w:rsidRPr="00CE427E">
        <w:rPr>
          <w:rFonts w:eastAsia="Calibri"/>
          <w:color w:val="000000"/>
          <w:szCs w:val="22"/>
        </w:rPr>
        <w:t xml:space="preserve"> </w:t>
      </w:r>
      <w:r w:rsidRPr="00CE427E">
        <w:rPr>
          <w:rFonts w:eastAsia="Calibri"/>
          <w:color w:val="000000"/>
          <w:szCs w:val="22"/>
        </w:rPr>
        <w:t>infusion.</w:t>
      </w:r>
    </w:p>
    <w:p w14:paraId="122AC636" w14:textId="77777777" w:rsidR="006333C0" w:rsidRPr="00CE427E" w:rsidRDefault="006333C0" w:rsidP="006128F6">
      <w:pPr>
        <w:tabs>
          <w:tab w:val="clear" w:pos="567"/>
        </w:tabs>
        <w:autoSpaceDE w:val="0"/>
        <w:autoSpaceDN w:val="0"/>
        <w:adjustRightInd w:val="0"/>
        <w:spacing w:line="240" w:lineRule="auto"/>
        <w:rPr>
          <w:rFonts w:eastAsia="Calibri"/>
          <w:color w:val="000000"/>
          <w:szCs w:val="22"/>
        </w:rPr>
      </w:pPr>
    </w:p>
    <w:p w14:paraId="0E02B20E" w14:textId="6BB5A2E4" w:rsidR="006333C0" w:rsidRPr="00CE427E" w:rsidRDefault="006333C0"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For instructions on reconstitution of </w:t>
      </w:r>
      <w:r w:rsidR="008E0EE9" w:rsidRPr="00CE427E">
        <w:rPr>
          <w:rFonts w:eastAsia="Calibri"/>
          <w:color w:val="000000"/>
          <w:szCs w:val="22"/>
        </w:rPr>
        <w:t>KANJINTI</w:t>
      </w:r>
      <w:r w:rsidRPr="00CE427E">
        <w:rPr>
          <w:rFonts w:eastAsia="Calibri"/>
          <w:color w:val="000000"/>
          <w:szCs w:val="22"/>
        </w:rPr>
        <w:t xml:space="preserve"> intravenous formulation before administration, see</w:t>
      </w:r>
      <w:r w:rsidR="00A813AA" w:rsidRPr="00CE427E">
        <w:rPr>
          <w:rFonts w:eastAsia="Calibri"/>
          <w:color w:val="000000"/>
          <w:szCs w:val="22"/>
        </w:rPr>
        <w:t xml:space="preserve"> s</w:t>
      </w:r>
      <w:r w:rsidRPr="00CE427E">
        <w:rPr>
          <w:rFonts w:eastAsia="Calibri"/>
          <w:color w:val="000000"/>
          <w:szCs w:val="22"/>
        </w:rPr>
        <w:t>ection 6.6.</w:t>
      </w:r>
    </w:p>
    <w:p w14:paraId="18756B8D" w14:textId="77777777" w:rsidR="00925686" w:rsidRPr="006128F6" w:rsidRDefault="00925686" w:rsidP="006128F6">
      <w:pPr>
        <w:spacing w:line="240" w:lineRule="auto"/>
        <w:rPr>
          <w:szCs w:val="22"/>
        </w:rPr>
      </w:pPr>
    </w:p>
    <w:p w14:paraId="6BABB6FE" w14:textId="77777777" w:rsidR="00925686" w:rsidRPr="006128F6" w:rsidRDefault="00925686" w:rsidP="006128F6">
      <w:pPr>
        <w:spacing w:line="240" w:lineRule="auto"/>
        <w:ind w:left="567" w:hanging="567"/>
        <w:rPr>
          <w:szCs w:val="22"/>
        </w:rPr>
      </w:pPr>
      <w:r w:rsidRPr="006128F6">
        <w:rPr>
          <w:b/>
          <w:szCs w:val="22"/>
        </w:rPr>
        <w:t>4.3</w:t>
      </w:r>
      <w:r w:rsidRPr="006128F6">
        <w:rPr>
          <w:b/>
          <w:szCs w:val="22"/>
        </w:rPr>
        <w:tab/>
        <w:t>Contraindications</w:t>
      </w:r>
    </w:p>
    <w:p w14:paraId="35982603" w14:textId="77777777" w:rsidR="00925686" w:rsidRPr="006128F6" w:rsidRDefault="00925686" w:rsidP="006128F6">
      <w:pPr>
        <w:spacing w:line="240" w:lineRule="auto"/>
        <w:rPr>
          <w:szCs w:val="22"/>
        </w:rPr>
      </w:pPr>
    </w:p>
    <w:p w14:paraId="28F6FEC2" w14:textId="3A37AAC9" w:rsidR="008A0B3A" w:rsidRPr="00CE427E" w:rsidRDefault="008A0B3A" w:rsidP="006128F6">
      <w:pPr>
        <w:pStyle w:val="ListParagraph"/>
        <w:numPr>
          <w:ilvl w:val="2"/>
          <w:numId w:val="6"/>
        </w:numPr>
        <w:tabs>
          <w:tab w:val="clear" w:pos="567"/>
        </w:tabs>
        <w:autoSpaceDE w:val="0"/>
        <w:autoSpaceDN w:val="0"/>
        <w:adjustRightInd w:val="0"/>
        <w:spacing w:line="240" w:lineRule="auto"/>
        <w:ind w:left="567" w:hanging="567"/>
        <w:rPr>
          <w:rFonts w:eastAsia="Calibri"/>
          <w:color w:val="000000"/>
          <w:szCs w:val="22"/>
        </w:rPr>
      </w:pPr>
      <w:r w:rsidRPr="00CE427E">
        <w:rPr>
          <w:rFonts w:eastAsia="Calibri"/>
          <w:color w:val="000000"/>
          <w:szCs w:val="22"/>
        </w:rPr>
        <w:t>Hypersensitivity to trastuzumab, murine proteins, or to any of the excipients listed in section 6.1</w:t>
      </w:r>
      <w:r w:rsidR="00B127E5">
        <w:rPr>
          <w:rFonts w:eastAsia="Calibri"/>
          <w:color w:val="000000"/>
          <w:szCs w:val="22"/>
        </w:rPr>
        <w:t>.</w:t>
      </w:r>
    </w:p>
    <w:p w14:paraId="26981EC3" w14:textId="77777777" w:rsidR="008A0B3A" w:rsidRPr="00CE427E" w:rsidRDefault="008A0B3A" w:rsidP="006128F6">
      <w:pPr>
        <w:pStyle w:val="ListParagraph"/>
        <w:numPr>
          <w:ilvl w:val="2"/>
          <w:numId w:val="6"/>
        </w:numPr>
        <w:tabs>
          <w:tab w:val="clear" w:pos="567"/>
        </w:tabs>
        <w:autoSpaceDE w:val="0"/>
        <w:autoSpaceDN w:val="0"/>
        <w:adjustRightInd w:val="0"/>
        <w:spacing w:line="240" w:lineRule="auto"/>
        <w:ind w:left="567" w:hanging="567"/>
        <w:rPr>
          <w:rFonts w:eastAsia="Calibri"/>
          <w:color w:val="000000"/>
          <w:szCs w:val="22"/>
        </w:rPr>
      </w:pPr>
      <w:r w:rsidRPr="00CE427E">
        <w:rPr>
          <w:rFonts w:eastAsia="Calibri"/>
          <w:color w:val="000000"/>
          <w:szCs w:val="22"/>
        </w:rPr>
        <w:t>Severe dyspnoea at rest due to complications of advanced malignancy or requi</w:t>
      </w:r>
      <w:r w:rsidR="00C57C42" w:rsidRPr="00CE427E">
        <w:rPr>
          <w:rFonts w:eastAsia="Calibri"/>
          <w:color w:val="000000"/>
          <w:szCs w:val="22"/>
        </w:rPr>
        <w:t xml:space="preserve">ring </w:t>
      </w:r>
      <w:r w:rsidRPr="00CE427E">
        <w:rPr>
          <w:rFonts w:eastAsia="Calibri"/>
          <w:color w:val="000000"/>
          <w:szCs w:val="22"/>
        </w:rPr>
        <w:t>supplementary</w:t>
      </w:r>
      <w:r w:rsidR="00C57C42" w:rsidRPr="006128F6">
        <w:rPr>
          <w:color w:val="000000"/>
        </w:rPr>
        <w:t xml:space="preserve"> oxygen therapy.</w:t>
      </w:r>
    </w:p>
    <w:p w14:paraId="321EE602" w14:textId="77777777" w:rsidR="008A0B3A" w:rsidRPr="00CE427E" w:rsidRDefault="008A0B3A" w:rsidP="006128F6">
      <w:pPr>
        <w:tabs>
          <w:tab w:val="clear" w:pos="567"/>
        </w:tabs>
        <w:autoSpaceDE w:val="0"/>
        <w:autoSpaceDN w:val="0"/>
        <w:adjustRightInd w:val="0"/>
        <w:spacing w:line="240" w:lineRule="auto"/>
        <w:rPr>
          <w:rFonts w:eastAsia="Calibri"/>
          <w:color w:val="000000"/>
          <w:szCs w:val="22"/>
        </w:rPr>
      </w:pPr>
    </w:p>
    <w:p w14:paraId="666ABA42" w14:textId="77777777" w:rsidR="00925686" w:rsidRPr="006128F6" w:rsidRDefault="00925686" w:rsidP="006128F6">
      <w:pPr>
        <w:keepNext/>
        <w:spacing w:line="240" w:lineRule="auto"/>
        <w:ind w:left="567" w:hanging="567"/>
        <w:rPr>
          <w:b/>
          <w:szCs w:val="22"/>
        </w:rPr>
      </w:pPr>
      <w:r w:rsidRPr="006128F6">
        <w:rPr>
          <w:b/>
          <w:szCs w:val="22"/>
        </w:rPr>
        <w:t>4.4</w:t>
      </w:r>
      <w:r w:rsidRPr="006128F6">
        <w:rPr>
          <w:b/>
          <w:szCs w:val="22"/>
        </w:rPr>
        <w:tab/>
        <w:t>Special warnings and precautions for use</w:t>
      </w:r>
    </w:p>
    <w:p w14:paraId="27786685" w14:textId="77777777" w:rsidR="00925686" w:rsidRPr="006128F6" w:rsidRDefault="00925686" w:rsidP="006128F6">
      <w:pPr>
        <w:keepNext/>
        <w:spacing w:line="240" w:lineRule="auto"/>
        <w:ind w:left="567" w:hanging="567"/>
        <w:rPr>
          <w:szCs w:val="22"/>
        </w:rPr>
      </w:pPr>
    </w:p>
    <w:p w14:paraId="18D1717D" w14:textId="77777777" w:rsidR="00D8588A" w:rsidRPr="00CE427E" w:rsidRDefault="00D8588A" w:rsidP="006128F6">
      <w:pPr>
        <w:tabs>
          <w:tab w:val="clear" w:pos="567"/>
        </w:tabs>
        <w:autoSpaceDE w:val="0"/>
        <w:autoSpaceDN w:val="0"/>
        <w:adjustRightInd w:val="0"/>
        <w:spacing w:line="240" w:lineRule="auto"/>
        <w:rPr>
          <w:rFonts w:eastAsia="Calibri"/>
          <w:color w:val="000000"/>
          <w:szCs w:val="22"/>
          <w:u w:val="single"/>
        </w:rPr>
      </w:pPr>
      <w:r w:rsidRPr="00CE427E">
        <w:rPr>
          <w:rFonts w:eastAsia="Calibri"/>
          <w:color w:val="000000"/>
          <w:szCs w:val="22"/>
          <w:u w:val="single"/>
        </w:rPr>
        <w:t xml:space="preserve">Traceability </w:t>
      </w:r>
    </w:p>
    <w:p w14:paraId="641E4AFB" w14:textId="77777777" w:rsidR="00D8588A" w:rsidRPr="00CE427E" w:rsidRDefault="00D8588A" w:rsidP="006128F6">
      <w:pPr>
        <w:tabs>
          <w:tab w:val="clear" w:pos="567"/>
        </w:tabs>
        <w:autoSpaceDE w:val="0"/>
        <w:autoSpaceDN w:val="0"/>
        <w:adjustRightInd w:val="0"/>
        <w:spacing w:line="240" w:lineRule="auto"/>
        <w:rPr>
          <w:rFonts w:eastAsia="Calibri"/>
          <w:color w:val="000000"/>
          <w:szCs w:val="22"/>
        </w:rPr>
      </w:pPr>
    </w:p>
    <w:p w14:paraId="5101CF69" w14:textId="3E8D6E2D" w:rsidR="003433BB" w:rsidRPr="00CE427E" w:rsidRDefault="003433BB"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In order to improve </w:t>
      </w:r>
      <w:r w:rsidR="00D8588A" w:rsidRPr="00CE427E">
        <w:rPr>
          <w:rFonts w:eastAsia="Calibri"/>
          <w:color w:val="000000"/>
          <w:szCs w:val="22"/>
        </w:rPr>
        <w:t xml:space="preserve">the </w:t>
      </w:r>
      <w:r w:rsidRPr="00CE427E">
        <w:rPr>
          <w:rFonts w:eastAsia="Calibri"/>
          <w:color w:val="000000"/>
          <w:szCs w:val="22"/>
        </w:rPr>
        <w:t xml:space="preserve">traceability of biological medicinal products, the trade name </w:t>
      </w:r>
      <w:r w:rsidR="00260F4F" w:rsidRPr="00CE427E">
        <w:rPr>
          <w:rFonts w:eastAsia="Calibri"/>
          <w:color w:val="000000"/>
          <w:szCs w:val="22"/>
        </w:rPr>
        <w:t xml:space="preserve">and the batch number </w:t>
      </w:r>
      <w:r w:rsidRPr="00CE427E">
        <w:rPr>
          <w:rFonts w:eastAsia="Calibri"/>
          <w:color w:val="000000"/>
          <w:szCs w:val="22"/>
        </w:rPr>
        <w:t>of the administered product should be clearly recorded.</w:t>
      </w:r>
    </w:p>
    <w:p w14:paraId="4D7ED9D8" w14:textId="77777777" w:rsidR="003433BB" w:rsidRPr="00CE427E" w:rsidRDefault="003433BB" w:rsidP="006128F6">
      <w:pPr>
        <w:tabs>
          <w:tab w:val="clear" w:pos="567"/>
        </w:tabs>
        <w:autoSpaceDE w:val="0"/>
        <w:autoSpaceDN w:val="0"/>
        <w:adjustRightInd w:val="0"/>
        <w:spacing w:line="240" w:lineRule="auto"/>
        <w:rPr>
          <w:rFonts w:eastAsia="Calibri"/>
          <w:color w:val="000000"/>
          <w:szCs w:val="22"/>
        </w:rPr>
      </w:pPr>
    </w:p>
    <w:p w14:paraId="16780020" w14:textId="77777777" w:rsidR="003433BB" w:rsidRPr="00CE427E" w:rsidRDefault="003433BB"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HER2 testing must be performed in a specialised laboratory which can ensure adequate validation of the testing procedures (see section 5.1).</w:t>
      </w:r>
    </w:p>
    <w:p w14:paraId="14A97823" w14:textId="77777777" w:rsidR="003433BB" w:rsidRPr="00CE427E" w:rsidRDefault="003433BB" w:rsidP="006128F6">
      <w:pPr>
        <w:tabs>
          <w:tab w:val="clear" w:pos="567"/>
        </w:tabs>
        <w:autoSpaceDE w:val="0"/>
        <w:autoSpaceDN w:val="0"/>
        <w:adjustRightInd w:val="0"/>
        <w:spacing w:line="240" w:lineRule="auto"/>
        <w:rPr>
          <w:rFonts w:eastAsia="Calibri"/>
          <w:color w:val="000000"/>
          <w:szCs w:val="22"/>
        </w:rPr>
      </w:pPr>
    </w:p>
    <w:p w14:paraId="44728625" w14:textId="4FBB7E47" w:rsidR="003433BB" w:rsidRPr="00CE427E" w:rsidRDefault="003433BB"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Currently no data from clinical </w:t>
      </w:r>
      <w:r w:rsidR="004A5EE5">
        <w:rPr>
          <w:rFonts w:eastAsia="Calibri"/>
          <w:color w:val="000000"/>
          <w:szCs w:val="22"/>
        </w:rPr>
        <w:t>studie</w:t>
      </w:r>
      <w:r w:rsidRPr="00CE427E">
        <w:rPr>
          <w:rFonts w:eastAsia="Calibri"/>
          <w:color w:val="000000"/>
          <w:szCs w:val="22"/>
        </w:rPr>
        <w:t xml:space="preserve">s are available on re-treatment of patients with previous exposure to </w:t>
      </w:r>
      <w:r w:rsidR="003716B8" w:rsidRPr="00CE427E">
        <w:rPr>
          <w:rFonts w:eastAsia="Calibri"/>
          <w:color w:val="000000"/>
          <w:szCs w:val="22"/>
        </w:rPr>
        <w:t>trastuzumab</w:t>
      </w:r>
      <w:r w:rsidRPr="00CE427E">
        <w:rPr>
          <w:rFonts w:eastAsia="Calibri"/>
          <w:color w:val="000000"/>
          <w:szCs w:val="22"/>
        </w:rPr>
        <w:t xml:space="preserve"> in the adjuvant setting</w:t>
      </w:r>
      <w:r w:rsidRPr="00CE427E">
        <w:rPr>
          <w:rFonts w:eastAsia="Calibri"/>
          <w:bCs/>
          <w:color w:val="000000"/>
          <w:szCs w:val="22"/>
        </w:rPr>
        <w:t>.</w:t>
      </w:r>
    </w:p>
    <w:p w14:paraId="78911274" w14:textId="77777777" w:rsidR="003433BB" w:rsidRPr="00CE427E" w:rsidRDefault="003433BB" w:rsidP="006128F6">
      <w:pPr>
        <w:tabs>
          <w:tab w:val="clear" w:pos="567"/>
        </w:tabs>
        <w:autoSpaceDE w:val="0"/>
        <w:autoSpaceDN w:val="0"/>
        <w:adjustRightInd w:val="0"/>
        <w:spacing w:line="240" w:lineRule="auto"/>
        <w:rPr>
          <w:rFonts w:eastAsia="Calibri"/>
          <w:b/>
          <w:bCs/>
          <w:color w:val="000000"/>
          <w:szCs w:val="22"/>
        </w:rPr>
      </w:pPr>
    </w:p>
    <w:p w14:paraId="707DE440" w14:textId="77777777" w:rsidR="003433BB" w:rsidRPr="00CE427E" w:rsidRDefault="003433BB" w:rsidP="006128F6">
      <w:pPr>
        <w:keepNext/>
        <w:tabs>
          <w:tab w:val="clear" w:pos="567"/>
        </w:tabs>
        <w:autoSpaceDE w:val="0"/>
        <w:autoSpaceDN w:val="0"/>
        <w:adjustRightInd w:val="0"/>
        <w:spacing w:line="240" w:lineRule="auto"/>
        <w:rPr>
          <w:rFonts w:eastAsia="Calibri"/>
          <w:color w:val="000000"/>
          <w:szCs w:val="22"/>
          <w:u w:val="single"/>
        </w:rPr>
      </w:pPr>
      <w:r w:rsidRPr="00CE427E">
        <w:rPr>
          <w:rFonts w:eastAsia="Calibri"/>
          <w:color w:val="000000"/>
          <w:szCs w:val="22"/>
          <w:u w:val="single"/>
        </w:rPr>
        <w:lastRenderedPageBreak/>
        <w:t>Cardiac dysfunction</w:t>
      </w:r>
    </w:p>
    <w:p w14:paraId="28AA4BAF" w14:textId="77777777" w:rsidR="003433BB" w:rsidRPr="00CE427E" w:rsidRDefault="003433BB" w:rsidP="006128F6">
      <w:pPr>
        <w:keepNext/>
        <w:tabs>
          <w:tab w:val="clear" w:pos="567"/>
        </w:tabs>
        <w:autoSpaceDE w:val="0"/>
        <w:autoSpaceDN w:val="0"/>
        <w:adjustRightInd w:val="0"/>
        <w:spacing w:line="240" w:lineRule="auto"/>
        <w:rPr>
          <w:rFonts w:eastAsia="Calibri"/>
          <w:color w:val="000000"/>
          <w:szCs w:val="22"/>
        </w:rPr>
      </w:pPr>
    </w:p>
    <w:p w14:paraId="282649B9" w14:textId="77777777" w:rsidR="003433BB" w:rsidRPr="00CE427E" w:rsidRDefault="003433BB" w:rsidP="006128F6">
      <w:pPr>
        <w:keepNext/>
        <w:tabs>
          <w:tab w:val="clear" w:pos="567"/>
        </w:tabs>
        <w:autoSpaceDE w:val="0"/>
        <w:autoSpaceDN w:val="0"/>
        <w:adjustRightInd w:val="0"/>
        <w:spacing w:line="240" w:lineRule="auto"/>
        <w:rPr>
          <w:rFonts w:eastAsia="Calibri"/>
          <w:i/>
          <w:iCs/>
          <w:color w:val="000000"/>
          <w:szCs w:val="22"/>
          <w:u w:val="single"/>
        </w:rPr>
      </w:pPr>
      <w:r w:rsidRPr="00CE427E">
        <w:rPr>
          <w:rFonts w:eastAsia="Calibri"/>
          <w:i/>
          <w:iCs/>
          <w:color w:val="000000"/>
          <w:szCs w:val="22"/>
          <w:u w:val="single"/>
        </w:rPr>
        <w:t>General considerations</w:t>
      </w:r>
    </w:p>
    <w:p w14:paraId="5FE70D2E" w14:textId="77777777" w:rsidR="003433BB" w:rsidRPr="00CE427E" w:rsidRDefault="003433BB" w:rsidP="006128F6">
      <w:pPr>
        <w:tabs>
          <w:tab w:val="clear" w:pos="567"/>
        </w:tabs>
        <w:autoSpaceDE w:val="0"/>
        <w:autoSpaceDN w:val="0"/>
        <w:adjustRightInd w:val="0"/>
        <w:spacing w:line="240" w:lineRule="auto"/>
        <w:rPr>
          <w:rFonts w:eastAsia="Calibri"/>
          <w:i/>
          <w:iCs/>
          <w:color w:val="000000"/>
          <w:szCs w:val="22"/>
          <w:u w:val="single"/>
        </w:rPr>
      </w:pPr>
    </w:p>
    <w:p w14:paraId="3DF188C9" w14:textId="43BF7D95" w:rsidR="003433BB" w:rsidRPr="00CE427E" w:rsidRDefault="003433BB"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Patients treated with </w:t>
      </w:r>
      <w:r w:rsidR="00AE04CA" w:rsidRPr="00CE427E">
        <w:rPr>
          <w:rFonts w:eastAsia="Calibri"/>
          <w:color w:val="000000"/>
          <w:szCs w:val="22"/>
        </w:rPr>
        <w:t xml:space="preserve">KANJINTI </w:t>
      </w:r>
      <w:r w:rsidRPr="00CE427E">
        <w:rPr>
          <w:rFonts w:eastAsia="Calibri"/>
          <w:color w:val="000000"/>
          <w:szCs w:val="22"/>
        </w:rPr>
        <w:t>are at increased risk for developing CHF (New York Heart Association [NYHA] class II</w:t>
      </w:r>
      <w:r w:rsidRPr="00CE427E">
        <w:rPr>
          <w:rFonts w:eastAsia="Calibri"/>
          <w:color w:val="000000"/>
          <w:szCs w:val="22"/>
        </w:rPr>
        <w:noBreakHyphen/>
        <w:t xml:space="preserve">IV) or asymptomatic cardiac dysfunction. These events have been observed in patients receiving </w:t>
      </w:r>
      <w:r w:rsidR="003716B8" w:rsidRPr="00CE427E">
        <w:rPr>
          <w:rFonts w:eastAsia="Calibri"/>
          <w:color w:val="000000"/>
          <w:szCs w:val="22"/>
        </w:rPr>
        <w:t>trastuzumab</w:t>
      </w:r>
      <w:r w:rsidRPr="00CE427E">
        <w:rPr>
          <w:rFonts w:eastAsia="Calibri"/>
          <w:color w:val="000000"/>
          <w:szCs w:val="22"/>
        </w:rPr>
        <w:t xml:space="preserve"> therapy alone or in combination with paclitaxel or docetaxel, particularly following anthracycline (doxorubicin or epirubicin) containing chemotherapy. These may be moderate to severe and have been associated with death (see section 4.8). In addition, caution should be exercised in treating patients with increased cardiac risk, e.g. hypertension, documented coronary artery disease, CHF, LVEF of &lt; 55</w:t>
      </w:r>
      <w:r w:rsidR="000840CF" w:rsidRPr="00CE427E">
        <w:rPr>
          <w:rFonts w:eastAsia="Calibri"/>
          <w:color w:val="000000"/>
          <w:szCs w:val="22"/>
        </w:rPr>
        <w:t>%</w:t>
      </w:r>
      <w:r w:rsidRPr="00CE427E">
        <w:rPr>
          <w:rFonts w:eastAsia="Calibri"/>
          <w:color w:val="000000"/>
          <w:szCs w:val="22"/>
        </w:rPr>
        <w:t>, older age.</w:t>
      </w:r>
    </w:p>
    <w:p w14:paraId="76195026" w14:textId="77777777" w:rsidR="003433BB" w:rsidRPr="00CE427E" w:rsidRDefault="003433BB" w:rsidP="006128F6">
      <w:pPr>
        <w:tabs>
          <w:tab w:val="clear" w:pos="567"/>
        </w:tabs>
        <w:autoSpaceDE w:val="0"/>
        <w:autoSpaceDN w:val="0"/>
        <w:adjustRightInd w:val="0"/>
        <w:spacing w:line="240" w:lineRule="auto"/>
        <w:rPr>
          <w:rFonts w:eastAsia="Calibri"/>
          <w:color w:val="000000"/>
          <w:szCs w:val="22"/>
        </w:rPr>
      </w:pPr>
    </w:p>
    <w:p w14:paraId="4424A66F" w14:textId="0B389155" w:rsidR="003433BB" w:rsidRPr="00CE427E" w:rsidRDefault="003433BB"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All candidates for treatment with </w:t>
      </w:r>
      <w:r w:rsidR="008E0EE9" w:rsidRPr="00CE427E">
        <w:rPr>
          <w:rFonts w:eastAsia="Calibri"/>
          <w:color w:val="000000"/>
          <w:szCs w:val="22"/>
        </w:rPr>
        <w:t>KANJINTI</w:t>
      </w:r>
      <w:r w:rsidRPr="00CE427E">
        <w:rPr>
          <w:rFonts w:eastAsia="Calibri"/>
          <w:color w:val="000000"/>
          <w:szCs w:val="22"/>
        </w:rPr>
        <w:t xml:space="preserve">, but especially those with prior anthracycline and cyclophosphamide (AC) exposure, should undergo baseline cardiac assessment including history and physical examination, electrocardiogram (ECG), echocardiogram, and/or multigated acquisition (MUGA) scan or magnetic resonance imaging. Monitoring may help to identify patients who develop cardiac dysfunction. Cardiac assessments, as performed at baseline, should be repeated every 3 months during treatment and every 6 months following discontinuation of treatment until 24 months from the last administration of </w:t>
      </w:r>
      <w:r w:rsidR="00AE04CA" w:rsidRPr="00CE427E">
        <w:rPr>
          <w:rFonts w:eastAsia="Calibri"/>
          <w:color w:val="000000"/>
          <w:szCs w:val="22"/>
        </w:rPr>
        <w:t>KANJINTI</w:t>
      </w:r>
      <w:r w:rsidRPr="00CE427E">
        <w:rPr>
          <w:rFonts w:eastAsia="Calibri"/>
          <w:color w:val="000000"/>
          <w:szCs w:val="22"/>
        </w:rPr>
        <w:t xml:space="preserve">. A careful risk-benefit assessment should be made before deciding to treat with </w:t>
      </w:r>
      <w:r w:rsidR="008E0EE9" w:rsidRPr="00CE427E">
        <w:rPr>
          <w:rFonts w:eastAsia="Calibri"/>
          <w:color w:val="000000"/>
          <w:szCs w:val="22"/>
        </w:rPr>
        <w:t>KANJINTI</w:t>
      </w:r>
      <w:r w:rsidRPr="00CE427E">
        <w:rPr>
          <w:rFonts w:eastAsia="Calibri"/>
          <w:color w:val="000000"/>
          <w:szCs w:val="22"/>
        </w:rPr>
        <w:t>.</w:t>
      </w:r>
    </w:p>
    <w:p w14:paraId="4D11C811" w14:textId="77777777" w:rsidR="003433BB" w:rsidRPr="00CE427E" w:rsidRDefault="003433BB" w:rsidP="006128F6">
      <w:pPr>
        <w:tabs>
          <w:tab w:val="clear" w:pos="567"/>
        </w:tabs>
        <w:autoSpaceDE w:val="0"/>
        <w:autoSpaceDN w:val="0"/>
        <w:adjustRightInd w:val="0"/>
        <w:spacing w:line="240" w:lineRule="auto"/>
        <w:rPr>
          <w:rFonts w:eastAsia="Calibri"/>
          <w:color w:val="000000"/>
          <w:szCs w:val="22"/>
        </w:rPr>
      </w:pPr>
    </w:p>
    <w:p w14:paraId="3E35028D" w14:textId="621F42C7" w:rsidR="003433BB" w:rsidRPr="00CE427E" w:rsidRDefault="003433BB"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Trastuzumab may persist in the circulation for up to 7 months after stopping </w:t>
      </w:r>
      <w:r w:rsidR="00AE04CA" w:rsidRPr="00CE427E">
        <w:rPr>
          <w:rFonts w:eastAsia="Calibri"/>
          <w:color w:val="000000"/>
          <w:szCs w:val="22"/>
        </w:rPr>
        <w:t>KANJINTI</w:t>
      </w:r>
      <w:r w:rsidRPr="00CE427E">
        <w:rPr>
          <w:rFonts w:eastAsia="Calibri"/>
          <w:color w:val="000000"/>
          <w:szCs w:val="22"/>
        </w:rPr>
        <w:t xml:space="preserve"> treatment based on population pharmacokinetic analysis of all available data (see section 5.2). Patients who receive anthracyclines after stopping </w:t>
      </w:r>
      <w:r w:rsidR="00AE04CA" w:rsidRPr="00CE427E">
        <w:rPr>
          <w:rFonts w:eastAsia="Calibri"/>
          <w:color w:val="000000"/>
          <w:szCs w:val="22"/>
        </w:rPr>
        <w:t xml:space="preserve">KANJINTI </w:t>
      </w:r>
      <w:r w:rsidRPr="00CE427E">
        <w:rPr>
          <w:rFonts w:eastAsia="Calibri"/>
          <w:color w:val="000000"/>
          <w:szCs w:val="22"/>
        </w:rPr>
        <w:t xml:space="preserve">may possibly be at increased risk of cardiac dysfunction. If possible, physicians should avoid anthracycline-based therapy for up to 7 months after stopping </w:t>
      </w:r>
      <w:r w:rsidR="00AE04CA" w:rsidRPr="00CE427E">
        <w:rPr>
          <w:rFonts w:eastAsia="Calibri"/>
          <w:color w:val="000000"/>
          <w:szCs w:val="22"/>
        </w:rPr>
        <w:t>KANJINTI</w:t>
      </w:r>
      <w:r w:rsidRPr="00CE427E">
        <w:rPr>
          <w:rFonts w:eastAsia="Calibri"/>
          <w:color w:val="000000"/>
          <w:szCs w:val="22"/>
        </w:rPr>
        <w:t>. If anthracyclines are used, the patient’s cardiac function should be monitored carefully.</w:t>
      </w:r>
    </w:p>
    <w:p w14:paraId="12AFB4EA" w14:textId="77777777" w:rsidR="003433BB" w:rsidRPr="00CE427E" w:rsidRDefault="003433BB" w:rsidP="006128F6">
      <w:pPr>
        <w:tabs>
          <w:tab w:val="clear" w:pos="567"/>
        </w:tabs>
        <w:autoSpaceDE w:val="0"/>
        <w:autoSpaceDN w:val="0"/>
        <w:adjustRightInd w:val="0"/>
        <w:spacing w:line="240" w:lineRule="auto"/>
        <w:rPr>
          <w:rFonts w:eastAsia="Calibri"/>
          <w:color w:val="000000"/>
          <w:szCs w:val="22"/>
        </w:rPr>
      </w:pPr>
    </w:p>
    <w:p w14:paraId="79BC38BD" w14:textId="2CBDE83F" w:rsidR="003433BB" w:rsidRPr="00CE427E" w:rsidRDefault="003433BB"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Formal cardiological assessment should be considered in patients in whom there are cardiovascular concerns following baseline screening. In all patients cardiac function should be monitored during treatment (e.g. every 12 weeks). Monitoring may help to identify patients who develop cardiac dysfunction. Patients who develop asymptomatic cardiac dysfunction may benefit from more frequent monitoring (e.g. every 6 </w:t>
      </w:r>
      <w:r w:rsidRPr="00CE427E">
        <w:rPr>
          <w:rFonts w:eastAsia="Calibri"/>
          <w:color w:val="000000"/>
          <w:szCs w:val="22"/>
        </w:rPr>
        <w:noBreakHyphen/>
        <w:t xml:space="preserve"> 8 weeks). If patients have a continued decrease in left ventricular function, but remain asymptomatic, the physician should consider discontinuing therapy if no clinical benefit of </w:t>
      </w:r>
      <w:r w:rsidR="00AE04CA" w:rsidRPr="00CE427E">
        <w:rPr>
          <w:rFonts w:eastAsia="Calibri"/>
          <w:color w:val="000000"/>
          <w:szCs w:val="22"/>
        </w:rPr>
        <w:t xml:space="preserve">KANJINTI </w:t>
      </w:r>
      <w:r w:rsidRPr="00CE427E">
        <w:rPr>
          <w:rFonts w:eastAsia="Calibri"/>
          <w:color w:val="000000"/>
          <w:szCs w:val="22"/>
        </w:rPr>
        <w:t>therapy has been seen.</w:t>
      </w:r>
    </w:p>
    <w:p w14:paraId="44D9B2A8" w14:textId="77777777" w:rsidR="003433BB" w:rsidRPr="00CE427E" w:rsidRDefault="003433BB" w:rsidP="006128F6">
      <w:pPr>
        <w:tabs>
          <w:tab w:val="clear" w:pos="567"/>
        </w:tabs>
        <w:autoSpaceDE w:val="0"/>
        <w:autoSpaceDN w:val="0"/>
        <w:adjustRightInd w:val="0"/>
        <w:spacing w:line="240" w:lineRule="auto"/>
        <w:rPr>
          <w:rFonts w:eastAsia="Calibri"/>
          <w:color w:val="000000"/>
          <w:szCs w:val="22"/>
        </w:rPr>
      </w:pPr>
    </w:p>
    <w:p w14:paraId="6EA7A494" w14:textId="65A87324" w:rsidR="003433BB" w:rsidRPr="00CE427E" w:rsidRDefault="003433BB"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The safety of continuation or resumption of </w:t>
      </w:r>
      <w:r w:rsidR="000A2B17" w:rsidRPr="00CE427E">
        <w:rPr>
          <w:rFonts w:eastAsia="Calibri"/>
          <w:color w:val="000000"/>
          <w:szCs w:val="22"/>
        </w:rPr>
        <w:t>trastuzumab</w:t>
      </w:r>
      <w:r w:rsidRPr="00CE427E">
        <w:rPr>
          <w:rFonts w:eastAsia="Calibri"/>
          <w:color w:val="000000"/>
          <w:szCs w:val="22"/>
        </w:rPr>
        <w:t xml:space="preserve"> in patients who experience cardiac dysfunction has not been prospectively studied. If LVEF </w:t>
      </w:r>
      <w:r w:rsidR="00260F4F" w:rsidRPr="00CE427E">
        <w:rPr>
          <w:rFonts w:eastAsia="Calibri"/>
          <w:color w:val="000000"/>
          <w:szCs w:val="22"/>
        </w:rPr>
        <w:t xml:space="preserve">percentage </w:t>
      </w:r>
      <w:r w:rsidRPr="00CE427E">
        <w:rPr>
          <w:rFonts w:eastAsia="Calibri"/>
          <w:color w:val="000000"/>
          <w:szCs w:val="22"/>
        </w:rPr>
        <w:t>drops ≥ 10 points from baseline AND to below 50</w:t>
      </w:r>
      <w:r w:rsidR="000840CF" w:rsidRPr="00CE427E">
        <w:rPr>
          <w:rFonts w:eastAsia="Calibri"/>
          <w:color w:val="000000"/>
          <w:szCs w:val="22"/>
        </w:rPr>
        <w:t>%</w:t>
      </w:r>
      <w:r w:rsidRPr="00CE427E">
        <w:rPr>
          <w:rFonts w:eastAsia="Calibri"/>
          <w:color w:val="000000"/>
          <w:szCs w:val="22"/>
        </w:rPr>
        <w:t xml:space="preserve">, treatment should be suspended and a repeat LVEF assessment performed within approximately 3 weeks. If LVEF has not improved, or declined further, or symptomatic CHF has developed, discontinuation of </w:t>
      </w:r>
      <w:r w:rsidR="008E0EE9" w:rsidRPr="00CE427E">
        <w:rPr>
          <w:rFonts w:eastAsia="Calibri"/>
          <w:color w:val="000000"/>
          <w:szCs w:val="22"/>
        </w:rPr>
        <w:t>KANJINTI</w:t>
      </w:r>
      <w:r w:rsidRPr="00CE427E">
        <w:rPr>
          <w:rFonts w:eastAsia="Calibri"/>
          <w:color w:val="000000"/>
          <w:szCs w:val="22"/>
        </w:rPr>
        <w:t xml:space="preserve"> should be strongly considered, unless the benefits for the individual patient are deemed to outweigh the risks. All such patients should be referred for assessment by a cardiologist and followed up.</w:t>
      </w:r>
    </w:p>
    <w:p w14:paraId="3061C1E5" w14:textId="77777777" w:rsidR="003433BB" w:rsidRPr="00CE427E" w:rsidRDefault="003433BB" w:rsidP="006128F6">
      <w:pPr>
        <w:tabs>
          <w:tab w:val="clear" w:pos="567"/>
        </w:tabs>
        <w:autoSpaceDE w:val="0"/>
        <w:autoSpaceDN w:val="0"/>
        <w:adjustRightInd w:val="0"/>
        <w:spacing w:line="240" w:lineRule="auto"/>
        <w:rPr>
          <w:rFonts w:eastAsia="Calibri"/>
          <w:color w:val="000000"/>
          <w:szCs w:val="22"/>
        </w:rPr>
      </w:pPr>
    </w:p>
    <w:p w14:paraId="3158390C" w14:textId="66E83F22" w:rsidR="003433BB" w:rsidRPr="00CE427E" w:rsidRDefault="003433BB"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If symptomatic cardiac failure develops during </w:t>
      </w:r>
      <w:r w:rsidR="00AE04CA" w:rsidRPr="00CE427E">
        <w:rPr>
          <w:rFonts w:eastAsia="Calibri"/>
          <w:color w:val="000000"/>
          <w:szCs w:val="22"/>
        </w:rPr>
        <w:t>KANJINTI</w:t>
      </w:r>
      <w:r w:rsidR="00294855" w:rsidRPr="00CE427E">
        <w:rPr>
          <w:rFonts w:eastAsia="Calibri"/>
          <w:color w:val="000000"/>
          <w:szCs w:val="22"/>
        </w:rPr>
        <w:t xml:space="preserve"> </w:t>
      </w:r>
      <w:r w:rsidRPr="00CE427E">
        <w:rPr>
          <w:rFonts w:eastAsia="Calibri"/>
          <w:color w:val="000000"/>
          <w:szCs w:val="22"/>
        </w:rPr>
        <w:t xml:space="preserve">therapy, it should be treated with standard medicinal products for CHF. Most patients who developed CHF or asymptomatic cardiac dysfunction in pivotal </w:t>
      </w:r>
      <w:r w:rsidR="004A5EE5">
        <w:rPr>
          <w:rFonts w:eastAsia="Calibri"/>
          <w:color w:val="000000"/>
          <w:szCs w:val="22"/>
        </w:rPr>
        <w:t>studie</w:t>
      </w:r>
      <w:r w:rsidRPr="00CE427E">
        <w:rPr>
          <w:rFonts w:eastAsia="Calibri"/>
          <w:color w:val="000000"/>
          <w:szCs w:val="22"/>
        </w:rPr>
        <w:t>s improved with standard CHF treatment consisting of an angiotensin</w:t>
      </w:r>
      <w:r w:rsidRPr="00CE427E">
        <w:rPr>
          <w:rFonts w:eastAsia="Calibri"/>
          <w:color w:val="000000"/>
          <w:szCs w:val="22"/>
        </w:rPr>
        <w:noBreakHyphen/>
        <w:t xml:space="preserve">converting enzyme (ACE) inhibitor or angiotensin receptor blocker (ARB) and a beta-blocker. The majority of patients with cardiac symptoms and evidence of a clinical benefit of </w:t>
      </w:r>
      <w:r w:rsidR="000A2B17" w:rsidRPr="00CE427E">
        <w:rPr>
          <w:rFonts w:eastAsia="Calibri"/>
          <w:color w:val="000000"/>
          <w:szCs w:val="22"/>
        </w:rPr>
        <w:t>trastuzumab</w:t>
      </w:r>
      <w:r w:rsidRPr="00CE427E">
        <w:rPr>
          <w:rFonts w:eastAsia="Calibri"/>
          <w:color w:val="000000"/>
          <w:szCs w:val="22"/>
        </w:rPr>
        <w:t xml:space="preserve"> treatment continued on therapy without additional clinical cardiac events.</w:t>
      </w:r>
    </w:p>
    <w:p w14:paraId="20914672" w14:textId="77777777" w:rsidR="003433BB" w:rsidRPr="00CE427E" w:rsidRDefault="003433BB" w:rsidP="006128F6">
      <w:pPr>
        <w:tabs>
          <w:tab w:val="clear" w:pos="567"/>
        </w:tabs>
        <w:autoSpaceDE w:val="0"/>
        <w:autoSpaceDN w:val="0"/>
        <w:adjustRightInd w:val="0"/>
        <w:spacing w:line="240" w:lineRule="auto"/>
        <w:rPr>
          <w:rFonts w:eastAsia="Calibri"/>
          <w:i/>
          <w:iCs/>
          <w:color w:val="000000"/>
          <w:szCs w:val="22"/>
        </w:rPr>
      </w:pPr>
    </w:p>
    <w:p w14:paraId="00484907" w14:textId="77777777" w:rsidR="003433BB" w:rsidRPr="00CE427E" w:rsidRDefault="003433BB" w:rsidP="00EA21EE">
      <w:pPr>
        <w:tabs>
          <w:tab w:val="clear" w:pos="567"/>
        </w:tabs>
        <w:autoSpaceDE w:val="0"/>
        <w:autoSpaceDN w:val="0"/>
        <w:adjustRightInd w:val="0"/>
        <w:spacing w:line="240" w:lineRule="auto"/>
        <w:rPr>
          <w:rFonts w:eastAsia="Calibri"/>
          <w:i/>
          <w:iCs/>
          <w:color w:val="000000"/>
          <w:szCs w:val="22"/>
          <w:u w:val="single"/>
        </w:rPr>
      </w:pPr>
      <w:r w:rsidRPr="00CE427E">
        <w:rPr>
          <w:rFonts w:eastAsia="Calibri"/>
          <w:i/>
          <w:iCs/>
          <w:color w:val="000000"/>
          <w:szCs w:val="22"/>
          <w:u w:val="single"/>
        </w:rPr>
        <w:t>Metastatic breast cancer</w:t>
      </w:r>
    </w:p>
    <w:p w14:paraId="70263B33" w14:textId="77777777" w:rsidR="003433BB" w:rsidRPr="00CE427E" w:rsidRDefault="003433BB" w:rsidP="00EA21EE">
      <w:pPr>
        <w:tabs>
          <w:tab w:val="clear" w:pos="567"/>
        </w:tabs>
        <w:autoSpaceDE w:val="0"/>
        <w:autoSpaceDN w:val="0"/>
        <w:adjustRightInd w:val="0"/>
        <w:spacing w:line="240" w:lineRule="auto"/>
        <w:rPr>
          <w:rFonts w:eastAsia="Calibri"/>
          <w:color w:val="000000"/>
          <w:szCs w:val="22"/>
        </w:rPr>
      </w:pPr>
    </w:p>
    <w:p w14:paraId="05BA136F" w14:textId="44459003" w:rsidR="003433BB" w:rsidRPr="00CE427E" w:rsidRDefault="00AE04CA" w:rsidP="00EA21EE">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KANJINTI</w:t>
      </w:r>
      <w:r w:rsidR="00294855" w:rsidRPr="00CE427E">
        <w:rPr>
          <w:rFonts w:eastAsia="Calibri"/>
          <w:color w:val="000000"/>
          <w:szCs w:val="22"/>
        </w:rPr>
        <w:t xml:space="preserve"> </w:t>
      </w:r>
      <w:r w:rsidR="003433BB" w:rsidRPr="00CE427E">
        <w:rPr>
          <w:rFonts w:eastAsia="Calibri"/>
          <w:color w:val="000000"/>
          <w:szCs w:val="22"/>
        </w:rPr>
        <w:t>and anthracyclines should not be given concurrently in combination in the MBC setting.</w:t>
      </w:r>
    </w:p>
    <w:p w14:paraId="4E884D95" w14:textId="77777777" w:rsidR="003433BB" w:rsidRPr="00CE427E" w:rsidRDefault="003433BB" w:rsidP="00EA21EE">
      <w:pPr>
        <w:tabs>
          <w:tab w:val="clear" w:pos="567"/>
        </w:tabs>
        <w:autoSpaceDE w:val="0"/>
        <w:autoSpaceDN w:val="0"/>
        <w:adjustRightInd w:val="0"/>
        <w:spacing w:line="240" w:lineRule="auto"/>
        <w:rPr>
          <w:rFonts w:eastAsia="Calibri"/>
          <w:color w:val="000000"/>
          <w:szCs w:val="22"/>
        </w:rPr>
      </w:pPr>
    </w:p>
    <w:p w14:paraId="5E15392D" w14:textId="6FD59164" w:rsidR="003433BB" w:rsidRPr="00CE427E" w:rsidRDefault="003433BB" w:rsidP="00EA21EE">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lastRenderedPageBreak/>
        <w:t xml:space="preserve">Patients with MBC who have previously received anthracyclines are also at risk of cardiac dysfunction with </w:t>
      </w:r>
      <w:r w:rsidR="00AE04CA" w:rsidRPr="00CE427E">
        <w:rPr>
          <w:rFonts w:eastAsia="Calibri"/>
          <w:color w:val="000000"/>
          <w:szCs w:val="22"/>
        </w:rPr>
        <w:t>KANJINTI</w:t>
      </w:r>
      <w:r w:rsidR="00294855" w:rsidRPr="00CE427E">
        <w:rPr>
          <w:rFonts w:eastAsia="Calibri"/>
          <w:color w:val="000000"/>
          <w:szCs w:val="22"/>
        </w:rPr>
        <w:t xml:space="preserve"> </w:t>
      </w:r>
      <w:r w:rsidRPr="00CE427E">
        <w:rPr>
          <w:rFonts w:eastAsia="Calibri"/>
          <w:color w:val="000000"/>
          <w:szCs w:val="22"/>
        </w:rPr>
        <w:t xml:space="preserve">treatment, although the risk is lower than with concurrent use of </w:t>
      </w:r>
      <w:r w:rsidR="00AE04CA" w:rsidRPr="00CE427E">
        <w:rPr>
          <w:rFonts w:eastAsia="Calibri"/>
          <w:color w:val="000000"/>
          <w:szCs w:val="22"/>
        </w:rPr>
        <w:t>KANJINTI</w:t>
      </w:r>
      <w:r w:rsidR="00294855" w:rsidRPr="00CE427E">
        <w:rPr>
          <w:rFonts w:eastAsia="Calibri"/>
          <w:color w:val="000000"/>
          <w:szCs w:val="22"/>
        </w:rPr>
        <w:t xml:space="preserve"> </w:t>
      </w:r>
      <w:r w:rsidRPr="00CE427E">
        <w:rPr>
          <w:rFonts w:eastAsia="Calibri"/>
          <w:color w:val="000000"/>
          <w:szCs w:val="22"/>
        </w:rPr>
        <w:t>and anthracyclines</w:t>
      </w:r>
      <w:r w:rsidR="00303A9C" w:rsidRPr="00CE427E">
        <w:rPr>
          <w:rFonts w:eastAsia="Calibri"/>
          <w:color w:val="000000"/>
          <w:szCs w:val="22"/>
        </w:rPr>
        <w:t>.</w:t>
      </w:r>
    </w:p>
    <w:p w14:paraId="6F3F4A56" w14:textId="77777777" w:rsidR="003433BB" w:rsidRPr="00CE427E" w:rsidRDefault="003433BB" w:rsidP="006128F6">
      <w:pPr>
        <w:tabs>
          <w:tab w:val="clear" w:pos="567"/>
        </w:tabs>
        <w:autoSpaceDE w:val="0"/>
        <w:autoSpaceDN w:val="0"/>
        <w:adjustRightInd w:val="0"/>
        <w:spacing w:line="240" w:lineRule="auto"/>
        <w:rPr>
          <w:rFonts w:eastAsia="Calibri"/>
          <w:color w:val="000000"/>
          <w:szCs w:val="22"/>
        </w:rPr>
      </w:pPr>
    </w:p>
    <w:p w14:paraId="6A13C105" w14:textId="77777777" w:rsidR="003433BB" w:rsidRPr="00CE427E" w:rsidRDefault="003433BB" w:rsidP="006128F6">
      <w:pPr>
        <w:tabs>
          <w:tab w:val="clear" w:pos="567"/>
        </w:tabs>
        <w:autoSpaceDE w:val="0"/>
        <w:autoSpaceDN w:val="0"/>
        <w:adjustRightInd w:val="0"/>
        <w:spacing w:line="240" w:lineRule="auto"/>
        <w:rPr>
          <w:rFonts w:eastAsia="Calibri"/>
          <w:i/>
          <w:iCs/>
          <w:color w:val="000000"/>
          <w:szCs w:val="22"/>
          <w:u w:val="single"/>
        </w:rPr>
      </w:pPr>
      <w:r w:rsidRPr="00CE427E">
        <w:rPr>
          <w:rFonts w:eastAsia="Calibri"/>
          <w:i/>
          <w:iCs/>
          <w:color w:val="000000"/>
          <w:szCs w:val="22"/>
          <w:u w:val="single"/>
        </w:rPr>
        <w:t>Early breast cancer</w:t>
      </w:r>
    </w:p>
    <w:p w14:paraId="12E0DFB8" w14:textId="77777777" w:rsidR="003433BB" w:rsidRPr="00CE427E" w:rsidRDefault="003433BB" w:rsidP="006128F6">
      <w:pPr>
        <w:tabs>
          <w:tab w:val="clear" w:pos="567"/>
        </w:tabs>
        <w:autoSpaceDE w:val="0"/>
        <w:autoSpaceDN w:val="0"/>
        <w:adjustRightInd w:val="0"/>
        <w:spacing w:line="240" w:lineRule="auto"/>
        <w:rPr>
          <w:rFonts w:eastAsia="Calibri"/>
          <w:color w:val="000000"/>
          <w:szCs w:val="22"/>
        </w:rPr>
      </w:pPr>
    </w:p>
    <w:p w14:paraId="57F355D5" w14:textId="4A3781D8" w:rsidR="003433BB" w:rsidRPr="00CE427E" w:rsidRDefault="003433BB"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For patients with EBC, cardiac assessments, as performed at baseline, should be repeated every 3 months during treatment and every 6 months following discontinuation of treatment until 24 months from the last administration of </w:t>
      </w:r>
      <w:r w:rsidR="00AE04CA" w:rsidRPr="00CE427E">
        <w:rPr>
          <w:rFonts w:eastAsia="Calibri"/>
          <w:color w:val="000000"/>
          <w:szCs w:val="22"/>
        </w:rPr>
        <w:t>KANJINTI</w:t>
      </w:r>
      <w:r w:rsidRPr="00CE427E">
        <w:rPr>
          <w:rFonts w:eastAsia="Calibri"/>
          <w:color w:val="000000"/>
          <w:szCs w:val="22"/>
        </w:rPr>
        <w:t>. In patients who receive anthracycline</w:t>
      </w:r>
      <w:r w:rsidR="0032436C" w:rsidRPr="00CE427E">
        <w:rPr>
          <w:rFonts w:eastAsia="Calibri"/>
          <w:color w:val="000000"/>
          <w:szCs w:val="22"/>
        </w:rPr>
        <w:t>-</w:t>
      </w:r>
      <w:r w:rsidRPr="00CE427E">
        <w:rPr>
          <w:rFonts w:eastAsia="Calibri"/>
          <w:color w:val="000000"/>
          <w:szCs w:val="22"/>
        </w:rPr>
        <w:t xml:space="preserve">containing chemotherapy further monitoring is recommended, and should occur yearly up to 5 years from the last administration of </w:t>
      </w:r>
      <w:r w:rsidR="00AE04CA" w:rsidRPr="00CE427E">
        <w:rPr>
          <w:rFonts w:eastAsia="Calibri"/>
          <w:color w:val="000000"/>
          <w:szCs w:val="22"/>
        </w:rPr>
        <w:t>KANJINTI</w:t>
      </w:r>
      <w:r w:rsidRPr="00CE427E">
        <w:rPr>
          <w:rFonts w:eastAsia="Calibri"/>
          <w:color w:val="000000"/>
          <w:szCs w:val="22"/>
        </w:rPr>
        <w:t>, or longer if a continuous decrease of LVEF is observed.</w:t>
      </w:r>
    </w:p>
    <w:p w14:paraId="2D30AADD" w14:textId="77777777" w:rsidR="003433BB" w:rsidRPr="00CE427E" w:rsidRDefault="003433BB" w:rsidP="006128F6">
      <w:pPr>
        <w:tabs>
          <w:tab w:val="clear" w:pos="567"/>
        </w:tabs>
        <w:autoSpaceDE w:val="0"/>
        <w:autoSpaceDN w:val="0"/>
        <w:adjustRightInd w:val="0"/>
        <w:spacing w:line="240" w:lineRule="auto"/>
        <w:rPr>
          <w:rFonts w:eastAsia="Calibri"/>
          <w:color w:val="000000"/>
          <w:szCs w:val="22"/>
        </w:rPr>
      </w:pPr>
    </w:p>
    <w:p w14:paraId="3F17BBFF" w14:textId="76CAF748" w:rsidR="003433BB" w:rsidRPr="00CE427E" w:rsidRDefault="003433BB"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Patients with history of myocardial infarction (MI), angina pectoris requiring medical treatment, history of or existing CHF (</w:t>
      </w:r>
      <w:r w:rsidR="004E2671" w:rsidRPr="00CE427E">
        <w:rPr>
          <w:rFonts w:eastAsia="Calibri"/>
          <w:color w:val="000000"/>
          <w:szCs w:val="22"/>
        </w:rPr>
        <w:t xml:space="preserve">NYHA </w:t>
      </w:r>
      <w:r w:rsidR="000729E5" w:rsidRPr="00CE427E">
        <w:rPr>
          <w:rFonts w:eastAsia="Calibri"/>
          <w:color w:val="000000"/>
          <w:szCs w:val="22"/>
        </w:rPr>
        <w:t xml:space="preserve">class </w:t>
      </w:r>
      <w:r w:rsidR="004E2671" w:rsidRPr="00CE427E">
        <w:rPr>
          <w:rFonts w:eastAsia="Calibri"/>
          <w:color w:val="000000"/>
          <w:szCs w:val="22"/>
        </w:rPr>
        <w:t>II – IV</w:t>
      </w:r>
      <w:r w:rsidRPr="00CE427E">
        <w:rPr>
          <w:rFonts w:eastAsia="Calibri"/>
          <w:color w:val="000000"/>
          <w:szCs w:val="22"/>
        </w:rPr>
        <w:t>), LVEF of &lt; 55</w:t>
      </w:r>
      <w:r w:rsidR="000840CF" w:rsidRPr="00CE427E">
        <w:rPr>
          <w:rFonts w:eastAsia="Calibri"/>
          <w:color w:val="000000"/>
          <w:szCs w:val="22"/>
        </w:rPr>
        <w:t>%</w:t>
      </w:r>
      <w:r w:rsidRPr="00CE427E">
        <w:rPr>
          <w:rFonts w:eastAsia="Calibri"/>
          <w:color w:val="000000"/>
          <w:szCs w:val="22"/>
        </w:rPr>
        <w:t>, other cardiomyopathy, cardiac arrhythmia requiring medical treatment, clinically significant cardiac valvular disease, poorly controlled hypertension (hypertension controlled by standard medical treatment eligible), and h</w:t>
      </w:r>
      <w:r w:rsidR="00C4318F" w:rsidRPr="00CE427E">
        <w:rPr>
          <w:rFonts w:eastAsia="Calibri"/>
          <w:color w:val="000000"/>
          <w:szCs w:val="22"/>
        </w:rPr>
        <w:t>a</w:t>
      </w:r>
      <w:r w:rsidRPr="00CE427E">
        <w:rPr>
          <w:rFonts w:eastAsia="Calibri"/>
          <w:color w:val="000000"/>
          <w:szCs w:val="22"/>
        </w:rPr>
        <w:t xml:space="preserve">emodynamic effective pericardial effusion were excluded from adjuvant and neoadjuvant EBC pivotal </w:t>
      </w:r>
      <w:r w:rsidR="004A5EE5">
        <w:rPr>
          <w:rFonts w:eastAsia="Calibri"/>
          <w:color w:val="000000"/>
          <w:szCs w:val="22"/>
        </w:rPr>
        <w:t>studie</w:t>
      </w:r>
      <w:r w:rsidRPr="00CE427E">
        <w:rPr>
          <w:rFonts w:eastAsia="Calibri"/>
          <w:color w:val="000000"/>
          <w:szCs w:val="22"/>
        </w:rPr>
        <w:t xml:space="preserve">s with </w:t>
      </w:r>
      <w:r w:rsidR="000A2B17" w:rsidRPr="00CE427E">
        <w:rPr>
          <w:rFonts w:eastAsia="Calibri"/>
          <w:color w:val="000000"/>
          <w:szCs w:val="22"/>
        </w:rPr>
        <w:t>trastuzumab</w:t>
      </w:r>
      <w:r w:rsidRPr="00CE427E">
        <w:rPr>
          <w:rFonts w:eastAsia="Calibri"/>
          <w:color w:val="000000"/>
          <w:szCs w:val="22"/>
        </w:rPr>
        <w:t xml:space="preserve"> and therefore treatment cannot be recommended in such patients. </w:t>
      </w:r>
    </w:p>
    <w:p w14:paraId="0C940C11" w14:textId="77777777" w:rsidR="003433BB" w:rsidRPr="00CE427E" w:rsidRDefault="003433BB" w:rsidP="006128F6">
      <w:pPr>
        <w:tabs>
          <w:tab w:val="clear" w:pos="567"/>
        </w:tabs>
        <w:autoSpaceDE w:val="0"/>
        <w:autoSpaceDN w:val="0"/>
        <w:adjustRightInd w:val="0"/>
        <w:spacing w:line="240" w:lineRule="auto"/>
        <w:rPr>
          <w:rFonts w:eastAsia="Calibri"/>
          <w:color w:val="000000"/>
          <w:szCs w:val="22"/>
        </w:rPr>
      </w:pPr>
    </w:p>
    <w:p w14:paraId="269FA744" w14:textId="77777777" w:rsidR="003433BB" w:rsidRPr="00CE427E" w:rsidRDefault="003433BB" w:rsidP="006128F6">
      <w:pPr>
        <w:tabs>
          <w:tab w:val="clear" w:pos="567"/>
        </w:tabs>
        <w:autoSpaceDE w:val="0"/>
        <w:autoSpaceDN w:val="0"/>
        <w:adjustRightInd w:val="0"/>
        <w:spacing w:line="240" w:lineRule="auto"/>
        <w:rPr>
          <w:rFonts w:eastAsia="Calibri"/>
          <w:color w:val="000000"/>
          <w:szCs w:val="22"/>
        </w:rPr>
      </w:pPr>
      <w:r w:rsidRPr="00CE427E">
        <w:rPr>
          <w:rFonts w:eastAsia="Calibri"/>
          <w:i/>
          <w:iCs/>
          <w:color w:val="000000"/>
          <w:szCs w:val="22"/>
        </w:rPr>
        <w:t>Adjuvant treatment</w:t>
      </w:r>
    </w:p>
    <w:p w14:paraId="36EDD682" w14:textId="77777777" w:rsidR="00AE04CA" w:rsidRPr="00CE427E" w:rsidRDefault="00AE04CA" w:rsidP="006128F6">
      <w:pPr>
        <w:tabs>
          <w:tab w:val="clear" w:pos="567"/>
        </w:tabs>
        <w:autoSpaceDE w:val="0"/>
        <w:autoSpaceDN w:val="0"/>
        <w:adjustRightInd w:val="0"/>
        <w:spacing w:line="240" w:lineRule="auto"/>
        <w:rPr>
          <w:rFonts w:eastAsia="Calibri"/>
          <w:color w:val="000000"/>
          <w:szCs w:val="22"/>
        </w:rPr>
      </w:pPr>
    </w:p>
    <w:p w14:paraId="284B2B0D" w14:textId="257FE7D6" w:rsidR="003433BB" w:rsidRPr="00CE427E" w:rsidRDefault="00AE04CA"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KANJINTI</w:t>
      </w:r>
      <w:r w:rsidR="001A45A3" w:rsidRPr="00CE427E">
        <w:rPr>
          <w:rFonts w:eastAsia="Calibri"/>
          <w:color w:val="000000"/>
          <w:szCs w:val="22"/>
        </w:rPr>
        <w:t xml:space="preserve"> </w:t>
      </w:r>
      <w:r w:rsidR="003433BB" w:rsidRPr="00CE427E">
        <w:rPr>
          <w:rFonts w:eastAsia="Calibri"/>
          <w:color w:val="000000"/>
          <w:szCs w:val="22"/>
        </w:rPr>
        <w:t>and anthracyclines should not be given concurrently in combination in the adjuvant treatment setting.</w:t>
      </w:r>
    </w:p>
    <w:p w14:paraId="66BF4D4A" w14:textId="77777777" w:rsidR="003433BB" w:rsidRPr="00CE427E" w:rsidRDefault="003433BB" w:rsidP="006128F6">
      <w:pPr>
        <w:tabs>
          <w:tab w:val="clear" w:pos="567"/>
        </w:tabs>
        <w:autoSpaceDE w:val="0"/>
        <w:autoSpaceDN w:val="0"/>
        <w:adjustRightInd w:val="0"/>
        <w:spacing w:line="240" w:lineRule="auto"/>
        <w:rPr>
          <w:rFonts w:eastAsia="Calibri"/>
          <w:color w:val="000000"/>
          <w:szCs w:val="22"/>
        </w:rPr>
      </w:pPr>
    </w:p>
    <w:p w14:paraId="5404F93B" w14:textId="53A2A30E" w:rsidR="003433BB" w:rsidRPr="00CE427E" w:rsidRDefault="003433BB"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In patients with EBC an increase in the incidence of symptomatic and asymptomatic cardiac events was observed when </w:t>
      </w:r>
      <w:r w:rsidR="000A2B17" w:rsidRPr="00CE427E">
        <w:rPr>
          <w:rFonts w:eastAsia="Calibri"/>
          <w:color w:val="000000"/>
          <w:szCs w:val="22"/>
        </w:rPr>
        <w:t>trastuzumab</w:t>
      </w:r>
      <w:r w:rsidRPr="00CE427E">
        <w:rPr>
          <w:rFonts w:eastAsia="Calibri"/>
          <w:color w:val="000000"/>
          <w:szCs w:val="22"/>
        </w:rPr>
        <w:t xml:space="preserve"> was administered after anthracycline</w:t>
      </w:r>
      <w:r w:rsidRPr="00CE427E">
        <w:rPr>
          <w:rFonts w:eastAsia="Calibri"/>
          <w:color w:val="000000"/>
          <w:szCs w:val="22"/>
        </w:rPr>
        <w:noBreakHyphen/>
        <w:t>containing chemotherapy compared to administration with a non</w:t>
      </w:r>
      <w:r w:rsidRPr="00CE427E">
        <w:rPr>
          <w:rFonts w:eastAsia="Calibri"/>
          <w:color w:val="000000"/>
          <w:szCs w:val="22"/>
        </w:rPr>
        <w:noBreakHyphen/>
        <w:t xml:space="preserve">anthracycline regimen of docetaxel and carboplatin and was more marked when </w:t>
      </w:r>
      <w:r w:rsidR="000A2B17" w:rsidRPr="00CE427E">
        <w:rPr>
          <w:rFonts w:eastAsia="Calibri"/>
          <w:color w:val="000000"/>
          <w:szCs w:val="22"/>
        </w:rPr>
        <w:t>trastuzumab</w:t>
      </w:r>
      <w:r w:rsidRPr="00CE427E">
        <w:rPr>
          <w:rFonts w:eastAsia="Calibri"/>
          <w:color w:val="000000"/>
          <w:szCs w:val="22"/>
        </w:rPr>
        <w:t xml:space="preserve"> was administered concurrently with taxanes than when administered sequentially to taxanes. Regardless of the regimen used, most symptomatic cardiac events occurred within the first 18 months. In one of the 3 pivotal studies conducted in which a median follow</w:t>
      </w:r>
      <w:r w:rsidRPr="00CE427E">
        <w:rPr>
          <w:rFonts w:eastAsia="Calibri"/>
          <w:color w:val="000000"/>
          <w:szCs w:val="22"/>
        </w:rPr>
        <w:noBreakHyphen/>
        <w:t>up of 5.5 years was available (BCIRG</w:t>
      </w:r>
      <w:r w:rsidR="004B5AAE" w:rsidRPr="00CE427E">
        <w:rPr>
          <w:rFonts w:eastAsia="Calibri"/>
          <w:color w:val="000000"/>
          <w:szCs w:val="22"/>
        </w:rPr>
        <w:t xml:space="preserve"> </w:t>
      </w:r>
      <w:r w:rsidRPr="00CE427E">
        <w:rPr>
          <w:rFonts w:eastAsia="Calibri"/>
          <w:color w:val="000000"/>
          <w:szCs w:val="22"/>
        </w:rPr>
        <w:t xml:space="preserve">006) a continuous increase in the cumulative rate of symptomatic cardiac or LVEF events was observed in patients who were administered </w:t>
      </w:r>
      <w:r w:rsidR="000A2B17" w:rsidRPr="00CE427E">
        <w:rPr>
          <w:rFonts w:eastAsia="Calibri"/>
          <w:color w:val="000000"/>
          <w:szCs w:val="22"/>
        </w:rPr>
        <w:t>trastuzumab</w:t>
      </w:r>
      <w:r w:rsidRPr="00CE427E">
        <w:rPr>
          <w:rFonts w:eastAsia="Calibri"/>
          <w:color w:val="000000"/>
          <w:szCs w:val="22"/>
        </w:rPr>
        <w:t xml:space="preserve"> concurrently with a taxane following anthracycline therapy up to 2.37</w:t>
      </w:r>
      <w:r w:rsidR="000840CF" w:rsidRPr="00CE427E">
        <w:rPr>
          <w:rFonts w:eastAsia="Calibri"/>
          <w:color w:val="000000"/>
          <w:szCs w:val="22"/>
        </w:rPr>
        <w:t>%</w:t>
      </w:r>
      <w:r w:rsidRPr="00CE427E">
        <w:rPr>
          <w:rFonts w:eastAsia="Calibri"/>
          <w:color w:val="000000"/>
          <w:szCs w:val="22"/>
        </w:rPr>
        <w:t xml:space="preserve"> compared to approximately 1</w:t>
      </w:r>
      <w:r w:rsidR="000840CF" w:rsidRPr="00CE427E">
        <w:rPr>
          <w:rFonts w:eastAsia="Calibri"/>
          <w:color w:val="000000"/>
          <w:szCs w:val="22"/>
        </w:rPr>
        <w:t>%</w:t>
      </w:r>
      <w:r w:rsidRPr="00CE427E">
        <w:rPr>
          <w:rFonts w:eastAsia="Calibri"/>
          <w:color w:val="000000"/>
          <w:szCs w:val="22"/>
        </w:rPr>
        <w:t xml:space="preserve"> in the two comparator arms (anthracycline plus cyclophosphamide followed by taxane and taxane, carboplatin and </w:t>
      </w:r>
      <w:r w:rsidR="000A2B17" w:rsidRPr="00CE427E">
        <w:rPr>
          <w:rFonts w:eastAsia="Calibri"/>
          <w:color w:val="000000"/>
          <w:szCs w:val="22"/>
        </w:rPr>
        <w:t>trastuzumab</w:t>
      </w:r>
      <w:r w:rsidRPr="00CE427E">
        <w:rPr>
          <w:rFonts w:eastAsia="Calibri"/>
          <w:color w:val="000000"/>
          <w:szCs w:val="22"/>
        </w:rPr>
        <w:t>).</w:t>
      </w:r>
    </w:p>
    <w:p w14:paraId="5DDA351B" w14:textId="77777777" w:rsidR="003433BB" w:rsidRPr="00CE427E" w:rsidRDefault="003433BB" w:rsidP="006128F6">
      <w:pPr>
        <w:tabs>
          <w:tab w:val="clear" w:pos="567"/>
        </w:tabs>
        <w:autoSpaceDE w:val="0"/>
        <w:autoSpaceDN w:val="0"/>
        <w:adjustRightInd w:val="0"/>
        <w:spacing w:line="240" w:lineRule="auto"/>
        <w:rPr>
          <w:rFonts w:eastAsia="Calibri"/>
          <w:color w:val="000000"/>
          <w:szCs w:val="22"/>
        </w:rPr>
      </w:pPr>
    </w:p>
    <w:p w14:paraId="1734437F" w14:textId="63F215F5" w:rsidR="003433BB" w:rsidRPr="00CE427E" w:rsidRDefault="003433BB"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Risk factors for a cardiac event identified in four large adjuvant studies included advanced age (&gt; 50 years), low LVEF (&lt; 55</w:t>
      </w:r>
      <w:r w:rsidR="000840CF" w:rsidRPr="00CE427E">
        <w:rPr>
          <w:rFonts w:eastAsia="Calibri"/>
          <w:color w:val="000000"/>
          <w:szCs w:val="22"/>
        </w:rPr>
        <w:t>%</w:t>
      </w:r>
      <w:r w:rsidRPr="00CE427E">
        <w:rPr>
          <w:rFonts w:eastAsia="Calibri"/>
          <w:color w:val="000000"/>
          <w:szCs w:val="22"/>
        </w:rPr>
        <w:t>) at baseline, prior to or following the initiation of paclitaxel treatment, decline in LVEF by 10</w:t>
      </w:r>
      <w:r w:rsidRPr="00CE427E">
        <w:rPr>
          <w:rFonts w:eastAsia="Calibri"/>
          <w:color w:val="000000"/>
          <w:szCs w:val="22"/>
        </w:rPr>
        <w:noBreakHyphen/>
        <w:t xml:space="preserve">15 points, and prior or concurrent use of anti-hypertensive </w:t>
      </w:r>
      <w:r w:rsidR="000C3B99" w:rsidRPr="00CE427E">
        <w:rPr>
          <w:rFonts w:eastAsia="Calibri"/>
          <w:color w:val="000000"/>
          <w:szCs w:val="22"/>
        </w:rPr>
        <w:t xml:space="preserve">medicinal products. </w:t>
      </w:r>
      <w:r w:rsidRPr="00CE427E">
        <w:rPr>
          <w:rFonts w:eastAsia="Calibri"/>
          <w:color w:val="000000"/>
          <w:szCs w:val="22"/>
        </w:rPr>
        <w:t xml:space="preserve">In patients receiving </w:t>
      </w:r>
      <w:r w:rsidR="000A2B17" w:rsidRPr="00CE427E">
        <w:rPr>
          <w:rFonts w:eastAsia="Calibri"/>
          <w:color w:val="000000"/>
          <w:szCs w:val="22"/>
        </w:rPr>
        <w:t>trastuzumab</w:t>
      </w:r>
      <w:r w:rsidRPr="00CE427E">
        <w:rPr>
          <w:rFonts w:eastAsia="Calibri"/>
          <w:color w:val="000000"/>
          <w:szCs w:val="22"/>
        </w:rPr>
        <w:t xml:space="preserve"> after completion of adjuvant chemotherapy</w:t>
      </w:r>
      <w:r w:rsidR="001B633B" w:rsidRPr="00CE427E">
        <w:rPr>
          <w:rFonts w:eastAsia="Calibri"/>
          <w:color w:val="000000"/>
          <w:szCs w:val="22"/>
        </w:rPr>
        <w:t>,</w:t>
      </w:r>
      <w:r w:rsidRPr="00CE427E">
        <w:rPr>
          <w:rFonts w:eastAsia="Calibri"/>
          <w:color w:val="000000"/>
          <w:szCs w:val="22"/>
        </w:rPr>
        <w:t xml:space="preserve"> the risk of cardiac dysfunction was associated with a higher cumulative dose of anthracycline given prior to initiation of </w:t>
      </w:r>
      <w:r w:rsidR="000A2B17" w:rsidRPr="00CE427E">
        <w:rPr>
          <w:rFonts w:eastAsia="Calibri"/>
          <w:color w:val="000000"/>
          <w:szCs w:val="22"/>
        </w:rPr>
        <w:t>trastuzumab</w:t>
      </w:r>
      <w:r w:rsidRPr="00CE427E">
        <w:rPr>
          <w:rFonts w:eastAsia="Calibri"/>
          <w:color w:val="000000"/>
          <w:szCs w:val="22"/>
        </w:rPr>
        <w:t xml:space="preserve"> and a body mass index (BMI) &gt; 25</w:t>
      </w:r>
      <w:r w:rsidR="00303A9C" w:rsidRPr="00CE427E">
        <w:rPr>
          <w:rFonts w:eastAsia="Calibri"/>
          <w:color w:val="000000"/>
          <w:szCs w:val="22"/>
        </w:rPr>
        <w:t> </w:t>
      </w:r>
      <w:r w:rsidRPr="00CE427E">
        <w:rPr>
          <w:rFonts w:eastAsia="Calibri"/>
          <w:color w:val="000000"/>
          <w:szCs w:val="22"/>
        </w:rPr>
        <w:t>kg/m</w:t>
      </w:r>
      <w:r w:rsidRPr="00CE427E">
        <w:rPr>
          <w:rFonts w:eastAsia="Calibri"/>
          <w:color w:val="000000"/>
          <w:szCs w:val="22"/>
          <w:vertAlign w:val="superscript"/>
        </w:rPr>
        <w:t>2</w:t>
      </w:r>
      <w:r w:rsidRPr="00CE427E">
        <w:rPr>
          <w:rFonts w:eastAsia="Calibri"/>
          <w:color w:val="000000"/>
          <w:szCs w:val="22"/>
        </w:rPr>
        <w:t>.</w:t>
      </w:r>
    </w:p>
    <w:p w14:paraId="4B0E2E30" w14:textId="77777777" w:rsidR="003433BB" w:rsidRPr="00CE427E" w:rsidRDefault="003433BB" w:rsidP="006128F6">
      <w:pPr>
        <w:tabs>
          <w:tab w:val="clear" w:pos="567"/>
        </w:tabs>
        <w:autoSpaceDE w:val="0"/>
        <w:autoSpaceDN w:val="0"/>
        <w:adjustRightInd w:val="0"/>
        <w:spacing w:line="240" w:lineRule="auto"/>
        <w:rPr>
          <w:rFonts w:eastAsia="Calibri"/>
          <w:i/>
          <w:iCs/>
          <w:color w:val="000000"/>
          <w:szCs w:val="22"/>
        </w:rPr>
      </w:pPr>
    </w:p>
    <w:p w14:paraId="7A0EB31D" w14:textId="77777777" w:rsidR="003433BB" w:rsidRPr="00CE427E" w:rsidRDefault="003433BB" w:rsidP="006128F6">
      <w:pPr>
        <w:tabs>
          <w:tab w:val="clear" w:pos="567"/>
        </w:tabs>
        <w:autoSpaceDE w:val="0"/>
        <w:autoSpaceDN w:val="0"/>
        <w:adjustRightInd w:val="0"/>
        <w:spacing w:line="240" w:lineRule="auto"/>
        <w:rPr>
          <w:rFonts w:eastAsia="Calibri"/>
          <w:i/>
          <w:iCs/>
          <w:color w:val="000000"/>
          <w:szCs w:val="22"/>
        </w:rPr>
      </w:pPr>
      <w:r w:rsidRPr="00CE427E">
        <w:rPr>
          <w:rFonts w:eastAsia="Calibri"/>
          <w:i/>
          <w:iCs/>
          <w:color w:val="000000"/>
          <w:szCs w:val="22"/>
        </w:rPr>
        <w:t>Neoadjuvant</w:t>
      </w:r>
      <w:r w:rsidRPr="00CE427E">
        <w:rPr>
          <w:rFonts w:eastAsia="Calibri"/>
          <w:i/>
          <w:iCs/>
          <w:color w:val="000000"/>
          <w:szCs w:val="22"/>
        </w:rPr>
        <w:noBreakHyphen/>
        <w:t>adjuvant treatment</w:t>
      </w:r>
    </w:p>
    <w:p w14:paraId="20FA4AE9" w14:textId="77777777" w:rsidR="003433BB" w:rsidRPr="00CE427E" w:rsidRDefault="003433BB" w:rsidP="006128F6">
      <w:pPr>
        <w:tabs>
          <w:tab w:val="clear" w:pos="567"/>
        </w:tabs>
        <w:autoSpaceDE w:val="0"/>
        <w:autoSpaceDN w:val="0"/>
        <w:adjustRightInd w:val="0"/>
        <w:spacing w:line="240" w:lineRule="auto"/>
        <w:rPr>
          <w:rFonts w:eastAsia="Calibri"/>
          <w:color w:val="000000"/>
          <w:szCs w:val="22"/>
        </w:rPr>
      </w:pPr>
    </w:p>
    <w:p w14:paraId="3D188B5C" w14:textId="0EE27A09" w:rsidR="003433BB" w:rsidRPr="00CE427E" w:rsidRDefault="003433BB"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In patients with EBC eligible for neoadjuvant</w:t>
      </w:r>
      <w:r w:rsidRPr="00CE427E">
        <w:rPr>
          <w:rFonts w:eastAsia="Calibri"/>
          <w:color w:val="000000"/>
          <w:szCs w:val="22"/>
        </w:rPr>
        <w:noBreakHyphen/>
        <w:t xml:space="preserve">adjuvant treatment, </w:t>
      </w:r>
      <w:r w:rsidR="00AE04CA" w:rsidRPr="00CE427E">
        <w:rPr>
          <w:rFonts w:eastAsia="Calibri"/>
          <w:color w:val="000000"/>
          <w:szCs w:val="22"/>
        </w:rPr>
        <w:t>KANJINTI</w:t>
      </w:r>
      <w:r w:rsidR="001A45A3" w:rsidRPr="00CE427E">
        <w:rPr>
          <w:rFonts w:eastAsia="Calibri"/>
          <w:color w:val="000000"/>
          <w:szCs w:val="22"/>
        </w:rPr>
        <w:t xml:space="preserve"> </w:t>
      </w:r>
      <w:r w:rsidRPr="00CE427E">
        <w:rPr>
          <w:rFonts w:eastAsia="Calibri"/>
          <w:color w:val="000000"/>
          <w:szCs w:val="22"/>
        </w:rPr>
        <w:t>should be used concurrently with anthracyclines only in chemotherapy</w:t>
      </w:r>
      <w:r w:rsidRPr="00CE427E">
        <w:rPr>
          <w:rFonts w:eastAsia="Calibri"/>
          <w:color w:val="000000"/>
          <w:szCs w:val="22"/>
        </w:rPr>
        <w:noBreakHyphen/>
        <w:t>naive patients and only with low</w:t>
      </w:r>
      <w:r w:rsidRPr="00CE427E">
        <w:rPr>
          <w:rFonts w:eastAsia="Calibri"/>
          <w:color w:val="000000"/>
          <w:szCs w:val="22"/>
        </w:rPr>
        <w:noBreakHyphen/>
        <w:t>dose anthracycline regimens i.e. maximum cumulative doses of doxorubicin 180 mg/m</w:t>
      </w:r>
      <w:r w:rsidRPr="00CE427E">
        <w:rPr>
          <w:rFonts w:eastAsia="Calibri"/>
          <w:color w:val="000000"/>
          <w:szCs w:val="22"/>
          <w:vertAlign w:val="superscript"/>
        </w:rPr>
        <w:t>2</w:t>
      </w:r>
      <w:r w:rsidRPr="00CE427E">
        <w:rPr>
          <w:rFonts w:eastAsia="Calibri"/>
          <w:color w:val="000000"/>
          <w:szCs w:val="22"/>
        </w:rPr>
        <w:t xml:space="preserve"> or epirubicin 360 mg/m</w:t>
      </w:r>
      <w:r w:rsidRPr="00CE427E">
        <w:rPr>
          <w:rFonts w:eastAsia="Calibri"/>
          <w:color w:val="000000"/>
          <w:szCs w:val="22"/>
          <w:vertAlign w:val="superscript"/>
        </w:rPr>
        <w:t>2</w:t>
      </w:r>
      <w:r w:rsidRPr="00CE427E">
        <w:rPr>
          <w:rFonts w:eastAsia="Calibri"/>
          <w:color w:val="000000"/>
          <w:szCs w:val="22"/>
        </w:rPr>
        <w:t>.</w:t>
      </w:r>
    </w:p>
    <w:p w14:paraId="71A72388" w14:textId="77777777" w:rsidR="003433BB" w:rsidRPr="00CE427E" w:rsidRDefault="003433BB" w:rsidP="006128F6">
      <w:pPr>
        <w:tabs>
          <w:tab w:val="clear" w:pos="567"/>
        </w:tabs>
        <w:autoSpaceDE w:val="0"/>
        <w:autoSpaceDN w:val="0"/>
        <w:adjustRightInd w:val="0"/>
        <w:spacing w:line="240" w:lineRule="auto"/>
        <w:rPr>
          <w:rFonts w:eastAsia="Calibri"/>
          <w:color w:val="000000"/>
          <w:szCs w:val="22"/>
        </w:rPr>
      </w:pPr>
    </w:p>
    <w:p w14:paraId="340B13D0" w14:textId="517728B3" w:rsidR="003433BB" w:rsidRPr="00CE427E" w:rsidRDefault="003433BB"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If patients have been treated concurrently with a full course of low-dose anthracyclines and </w:t>
      </w:r>
      <w:r w:rsidR="00AE04CA" w:rsidRPr="00CE427E">
        <w:rPr>
          <w:rFonts w:eastAsia="Calibri"/>
          <w:color w:val="000000"/>
          <w:szCs w:val="22"/>
        </w:rPr>
        <w:t>KANJINTI</w:t>
      </w:r>
      <w:r w:rsidR="001A45A3" w:rsidRPr="00CE427E">
        <w:rPr>
          <w:rFonts w:eastAsia="Calibri"/>
          <w:color w:val="000000"/>
          <w:szCs w:val="22"/>
        </w:rPr>
        <w:t xml:space="preserve"> </w:t>
      </w:r>
      <w:r w:rsidRPr="00CE427E">
        <w:rPr>
          <w:rFonts w:eastAsia="Calibri"/>
          <w:color w:val="000000"/>
          <w:szCs w:val="22"/>
        </w:rPr>
        <w:t>in the neoadjuvant setting, no additional cytotoxic chemotherapy should be given after surgery. In other situations, the decision on the need for additional cytotoxic chemotherapy is determined based on individual factors.</w:t>
      </w:r>
    </w:p>
    <w:p w14:paraId="2803F2B3" w14:textId="77777777" w:rsidR="003433BB" w:rsidRPr="00CE427E" w:rsidRDefault="003433BB" w:rsidP="006128F6">
      <w:pPr>
        <w:tabs>
          <w:tab w:val="clear" w:pos="567"/>
        </w:tabs>
        <w:autoSpaceDE w:val="0"/>
        <w:autoSpaceDN w:val="0"/>
        <w:adjustRightInd w:val="0"/>
        <w:spacing w:line="240" w:lineRule="auto"/>
        <w:rPr>
          <w:rFonts w:eastAsia="Calibri"/>
          <w:color w:val="000000"/>
          <w:szCs w:val="22"/>
        </w:rPr>
      </w:pPr>
    </w:p>
    <w:p w14:paraId="3A82723A" w14:textId="637D6FA1" w:rsidR="00195E4C" w:rsidRPr="00CE427E" w:rsidRDefault="003433BB"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Experience of concurrent administration of trastuzumab with low</w:t>
      </w:r>
      <w:r w:rsidR="005A5F46" w:rsidRPr="00CE427E">
        <w:rPr>
          <w:rFonts w:eastAsia="Calibri"/>
          <w:color w:val="000000"/>
          <w:szCs w:val="22"/>
        </w:rPr>
        <w:t>-</w:t>
      </w:r>
      <w:r w:rsidRPr="00CE427E">
        <w:rPr>
          <w:rFonts w:eastAsia="Calibri"/>
          <w:color w:val="000000"/>
          <w:szCs w:val="22"/>
        </w:rPr>
        <w:t xml:space="preserve">dose anthracycline regimens is currently limited to two </w:t>
      </w:r>
      <w:r w:rsidR="004A5EE5">
        <w:rPr>
          <w:rFonts w:eastAsia="Calibri"/>
          <w:color w:val="000000"/>
          <w:szCs w:val="22"/>
        </w:rPr>
        <w:t>studie</w:t>
      </w:r>
      <w:r w:rsidRPr="00CE427E">
        <w:rPr>
          <w:rFonts w:eastAsia="Calibri"/>
          <w:color w:val="000000"/>
          <w:szCs w:val="22"/>
        </w:rPr>
        <w:t>s</w:t>
      </w:r>
      <w:r w:rsidR="00195E4C" w:rsidRPr="00CE427E">
        <w:rPr>
          <w:rFonts w:eastAsia="Calibri"/>
          <w:color w:val="000000"/>
          <w:szCs w:val="22"/>
        </w:rPr>
        <w:t xml:space="preserve"> (MO16432 and BO22227)</w:t>
      </w:r>
      <w:r w:rsidRPr="00CE427E">
        <w:rPr>
          <w:rFonts w:eastAsia="Calibri"/>
          <w:color w:val="000000"/>
          <w:szCs w:val="22"/>
        </w:rPr>
        <w:t xml:space="preserve">. </w:t>
      </w:r>
    </w:p>
    <w:p w14:paraId="3BC31F9C" w14:textId="77777777" w:rsidR="00700FCB" w:rsidRPr="00CE427E" w:rsidRDefault="00700FCB" w:rsidP="006128F6">
      <w:pPr>
        <w:tabs>
          <w:tab w:val="clear" w:pos="567"/>
        </w:tabs>
        <w:autoSpaceDE w:val="0"/>
        <w:autoSpaceDN w:val="0"/>
        <w:adjustRightInd w:val="0"/>
        <w:spacing w:line="240" w:lineRule="auto"/>
        <w:rPr>
          <w:rFonts w:eastAsia="Calibri"/>
          <w:color w:val="000000"/>
          <w:szCs w:val="22"/>
        </w:rPr>
      </w:pPr>
    </w:p>
    <w:p w14:paraId="3964F390" w14:textId="5E3051AC" w:rsidR="00195E4C" w:rsidRPr="00CE427E" w:rsidRDefault="00195E4C"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In the pivotal </w:t>
      </w:r>
      <w:r w:rsidR="004A5EE5">
        <w:rPr>
          <w:rFonts w:eastAsia="Calibri"/>
          <w:color w:val="000000"/>
          <w:szCs w:val="22"/>
        </w:rPr>
        <w:t>study</w:t>
      </w:r>
      <w:r w:rsidR="004A5EE5" w:rsidRPr="00CE427E">
        <w:rPr>
          <w:rFonts w:eastAsia="Calibri"/>
          <w:color w:val="000000"/>
          <w:szCs w:val="22"/>
        </w:rPr>
        <w:t xml:space="preserve"> </w:t>
      </w:r>
      <w:r w:rsidRPr="00CE427E">
        <w:rPr>
          <w:rFonts w:eastAsia="Calibri"/>
          <w:color w:val="000000"/>
          <w:szCs w:val="22"/>
        </w:rPr>
        <w:t>MO16432, trastuzumab was administered concurrently with neoadjuvant chemotherapy containing three cycles of doxorubicin (cumulative dose 180</w:t>
      </w:r>
      <w:r w:rsidR="00C037F3" w:rsidRPr="00CE427E">
        <w:rPr>
          <w:rFonts w:eastAsia="Calibri"/>
          <w:color w:val="000000"/>
          <w:szCs w:val="22"/>
        </w:rPr>
        <w:t> </w:t>
      </w:r>
      <w:r w:rsidRPr="00CE427E">
        <w:rPr>
          <w:rFonts w:eastAsia="Calibri"/>
          <w:color w:val="000000"/>
          <w:szCs w:val="22"/>
        </w:rPr>
        <w:t>mg/m</w:t>
      </w:r>
      <w:r w:rsidRPr="00CE427E">
        <w:rPr>
          <w:rFonts w:eastAsia="Calibri"/>
          <w:color w:val="000000"/>
          <w:szCs w:val="22"/>
          <w:vertAlign w:val="superscript"/>
        </w:rPr>
        <w:t>2</w:t>
      </w:r>
      <w:r w:rsidRPr="00CE427E">
        <w:rPr>
          <w:rFonts w:eastAsia="Calibri"/>
          <w:color w:val="000000"/>
          <w:szCs w:val="22"/>
        </w:rPr>
        <w:t>).</w:t>
      </w:r>
    </w:p>
    <w:p w14:paraId="70E0A2A4" w14:textId="77777777" w:rsidR="00195E4C" w:rsidRPr="00CE427E" w:rsidRDefault="00195E4C" w:rsidP="006128F6">
      <w:pPr>
        <w:tabs>
          <w:tab w:val="clear" w:pos="567"/>
        </w:tabs>
        <w:autoSpaceDE w:val="0"/>
        <w:autoSpaceDN w:val="0"/>
        <w:adjustRightInd w:val="0"/>
        <w:spacing w:line="240" w:lineRule="auto"/>
        <w:rPr>
          <w:rFonts w:eastAsia="Calibri"/>
          <w:color w:val="000000"/>
          <w:szCs w:val="22"/>
        </w:rPr>
      </w:pPr>
    </w:p>
    <w:p w14:paraId="74CC6AC8" w14:textId="223E2886" w:rsidR="00195E4C" w:rsidRPr="00CE427E" w:rsidRDefault="00195E4C"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The incidence of symptomatic cardiac dysfunction was 1.7</w:t>
      </w:r>
      <w:r w:rsidR="000840CF" w:rsidRPr="00CE427E">
        <w:rPr>
          <w:rFonts w:eastAsia="Calibri"/>
          <w:color w:val="000000"/>
          <w:szCs w:val="22"/>
        </w:rPr>
        <w:t>%</w:t>
      </w:r>
      <w:r w:rsidRPr="00CE427E">
        <w:rPr>
          <w:rFonts w:eastAsia="Calibri"/>
          <w:color w:val="000000"/>
          <w:szCs w:val="22"/>
        </w:rPr>
        <w:t xml:space="preserve"> in the trastuzumab arm.</w:t>
      </w:r>
    </w:p>
    <w:p w14:paraId="61296893" w14:textId="77777777" w:rsidR="00195E4C" w:rsidRPr="00CE427E" w:rsidRDefault="00195E4C" w:rsidP="006128F6">
      <w:pPr>
        <w:tabs>
          <w:tab w:val="clear" w:pos="567"/>
        </w:tabs>
        <w:autoSpaceDE w:val="0"/>
        <w:autoSpaceDN w:val="0"/>
        <w:adjustRightInd w:val="0"/>
        <w:spacing w:line="240" w:lineRule="auto"/>
        <w:rPr>
          <w:rFonts w:eastAsia="Calibri"/>
          <w:color w:val="000000"/>
          <w:szCs w:val="22"/>
        </w:rPr>
      </w:pPr>
    </w:p>
    <w:p w14:paraId="0C9DBB3A" w14:textId="7EBA19AF" w:rsidR="00195E4C" w:rsidRPr="00CE427E" w:rsidRDefault="004E2671"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In the </w:t>
      </w:r>
      <w:r w:rsidR="00195E4C" w:rsidRPr="00CE427E">
        <w:rPr>
          <w:rFonts w:eastAsia="Calibri"/>
          <w:color w:val="000000"/>
          <w:szCs w:val="22"/>
        </w:rPr>
        <w:t xml:space="preserve">pivotal </w:t>
      </w:r>
      <w:r w:rsidR="004A5EE5">
        <w:rPr>
          <w:rFonts w:eastAsia="Calibri"/>
          <w:color w:val="000000"/>
          <w:szCs w:val="22"/>
        </w:rPr>
        <w:t>study</w:t>
      </w:r>
      <w:r w:rsidR="004A5EE5" w:rsidRPr="00CE427E">
        <w:rPr>
          <w:rFonts w:eastAsia="Calibri"/>
          <w:color w:val="000000"/>
          <w:szCs w:val="22"/>
        </w:rPr>
        <w:t xml:space="preserve"> </w:t>
      </w:r>
      <w:r w:rsidR="00195E4C" w:rsidRPr="00CE427E">
        <w:rPr>
          <w:rFonts w:eastAsia="Calibri"/>
          <w:color w:val="000000"/>
          <w:szCs w:val="22"/>
        </w:rPr>
        <w:t xml:space="preserve">BO22227, </w:t>
      </w:r>
      <w:bookmarkStart w:id="0" w:name="_Hlk517420770"/>
      <w:r w:rsidR="00195E4C" w:rsidRPr="00CE427E">
        <w:rPr>
          <w:rFonts w:eastAsia="Calibri"/>
          <w:color w:val="000000"/>
          <w:szCs w:val="22"/>
        </w:rPr>
        <w:t>trastuzumab</w:t>
      </w:r>
      <w:bookmarkEnd w:id="0"/>
      <w:r w:rsidR="00195E4C" w:rsidRPr="00CE427E">
        <w:rPr>
          <w:rFonts w:eastAsia="Calibri"/>
          <w:color w:val="000000"/>
          <w:szCs w:val="22"/>
        </w:rPr>
        <w:t xml:space="preserve"> was administered concurrently with neoadjuvant chemotherapy that contained four cycles of epirubicin (cumulative dose 300</w:t>
      </w:r>
      <w:r w:rsidR="00C037F3" w:rsidRPr="00CE427E">
        <w:rPr>
          <w:rFonts w:eastAsia="Calibri"/>
          <w:color w:val="000000"/>
          <w:szCs w:val="22"/>
        </w:rPr>
        <w:t> </w:t>
      </w:r>
      <w:r w:rsidR="00195E4C" w:rsidRPr="00CE427E">
        <w:rPr>
          <w:rFonts w:eastAsia="Calibri"/>
          <w:color w:val="000000"/>
          <w:szCs w:val="22"/>
        </w:rPr>
        <w:t>mg/m</w:t>
      </w:r>
      <w:r w:rsidR="00195E4C" w:rsidRPr="00CE427E">
        <w:rPr>
          <w:rFonts w:eastAsia="Calibri"/>
          <w:color w:val="000000"/>
          <w:szCs w:val="22"/>
          <w:vertAlign w:val="superscript"/>
        </w:rPr>
        <w:t>2</w:t>
      </w:r>
      <w:r w:rsidR="00195E4C" w:rsidRPr="00CE427E">
        <w:rPr>
          <w:rFonts w:eastAsia="Calibri"/>
          <w:color w:val="000000"/>
          <w:szCs w:val="22"/>
        </w:rPr>
        <w:t xml:space="preserve">); at a median follow-up </w:t>
      </w:r>
      <w:r w:rsidR="00D8588A">
        <w:t>exceeding 70 months</w:t>
      </w:r>
      <w:r w:rsidR="00195E4C" w:rsidRPr="00CE427E">
        <w:rPr>
          <w:rFonts w:eastAsia="Calibri"/>
          <w:color w:val="000000"/>
          <w:szCs w:val="22"/>
        </w:rPr>
        <w:t xml:space="preserve">, the incidence of </w:t>
      </w:r>
      <w:r w:rsidR="00D8588A">
        <w:t>cardiac failure/</w:t>
      </w:r>
      <w:r w:rsidR="00195E4C" w:rsidRPr="00CE427E">
        <w:rPr>
          <w:rFonts w:eastAsia="Calibri"/>
          <w:color w:val="000000"/>
          <w:szCs w:val="22"/>
        </w:rPr>
        <w:t>congestive cardiac failure was 0.</w:t>
      </w:r>
      <w:r w:rsidR="00D8588A" w:rsidRPr="00CE427E">
        <w:rPr>
          <w:rFonts w:eastAsia="Calibri"/>
          <w:color w:val="000000"/>
          <w:szCs w:val="22"/>
        </w:rPr>
        <w:t>3</w:t>
      </w:r>
      <w:r w:rsidR="000840CF" w:rsidRPr="00CE427E">
        <w:rPr>
          <w:rFonts w:eastAsia="Calibri"/>
          <w:color w:val="000000"/>
          <w:szCs w:val="22"/>
        </w:rPr>
        <w:t>%</w:t>
      </w:r>
      <w:r w:rsidR="00195E4C" w:rsidRPr="00CE427E">
        <w:rPr>
          <w:rFonts w:eastAsia="Calibri"/>
          <w:color w:val="000000"/>
          <w:szCs w:val="22"/>
        </w:rPr>
        <w:t xml:space="preserve"> in the trastuzumab intravenous arm.</w:t>
      </w:r>
    </w:p>
    <w:p w14:paraId="1A246229" w14:textId="77777777" w:rsidR="003433BB" w:rsidRPr="00CE427E" w:rsidRDefault="003433BB" w:rsidP="006128F6">
      <w:pPr>
        <w:tabs>
          <w:tab w:val="clear" w:pos="567"/>
        </w:tabs>
        <w:autoSpaceDE w:val="0"/>
        <w:autoSpaceDN w:val="0"/>
        <w:adjustRightInd w:val="0"/>
        <w:spacing w:line="240" w:lineRule="auto"/>
        <w:rPr>
          <w:rFonts w:eastAsia="Calibri"/>
          <w:color w:val="000000"/>
          <w:szCs w:val="22"/>
        </w:rPr>
      </w:pPr>
    </w:p>
    <w:p w14:paraId="00D67A51" w14:textId="77777777" w:rsidR="003433BB" w:rsidRPr="00CE427E" w:rsidRDefault="003433BB"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Clinical experience is limited in patients above 65 years of age.</w:t>
      </w:r>
    </w:p>
    <w:p w14:paraId="3F1F2A7A" w14:textId="77777777" w:rsidR="003433BB" w:rsidRPr="00CE427E" w:rsidRDefault="003433BB" w:rsidP="006128F6">
      <w:pPr>
        <w:tabs>
          <w:tab w:val="clear" w:pos="567"/>
        </w:tabs>
        <w:autoSpaceDE w:val="0"/>
        <w:autoSpaceDN w:val="0"/>
        <w:adjustRightInd w:val="0"/>
        <w:spacing w:line="240" w:lineRule="auto"/>
        <w:rPr>
          <w:rFonts w:eastAsia="Calibri"/>
          <w:color w:val="000000"/>
          <w:szCs w:val="22"/>
        </w:rPr>
      </w:pPr>
    </w:p>
    <w:p w14:paraId="29AD54E0" w14:textId="77777777" w:rsidR="003433BB" w:rsidRPr="00CE427E" w:rsidRDefault="003433BB" w:rsidP="006128F6">
      <w:pPr>
        <w:tabs>
          <w:tab w:val="clear" w:pos="567"/>
        </w:tabs>
        <w:autoSpaceDE w:val="0"/>
        <w:autoSpaceDN w:val="0"/>
        <w:adjustRightInd w:val="0"/>
        <w:spacing w:line="240" w:lineRule="auto"/>
        <w:rPr>
          <w:rFonts w:eastAsia="Calibri"/>
          <w:color w:val="000000"/>
          <w:szCs w:val="22"/>
          <w:u w:val="single"/>
        </w:rPr>
      </w:pPr>
      <w:r w:rsidRPr="00CE427E">
        <w:rPr>
          <w:rFonts w:eastAsia="Calibri"/>
          <w:color w:val="000000"/>
          <w:szCs w:val="22"/>
          <w:u w:val="single"/>
        </w:rPr>
        <w:t>Infusion</w:t>
      </w:r>
      <w:r w:rsidRPr="00CE427E">
        <w:rPr>
          <w:rFonts w:eastAsia="Calibri"/>
          <w:color w:val="000000"/>
          <w:szCs w:val="22"/>
          <w:u w:val="single"/>
        </w:rPr>
        <w:noBreakHyphen/>
        <w:t>related reactions (IRRs) and hypersensitivity</w:t>
      </w:r>
    </w:p>
    <w:p w14:paraId="799DF069" w14:textId="77777777" w:rsidR="003433BB" w:rsidRPr="00CE427E" w:rsidRDefault="003433BB" w:rsidP="006128F6">
      <w:pPr>
        <w:tabs>
          <w:tab w:val="clear" w:pos="567"/>
        </w:tabs>
        <w:autoSpaceDE w:val="0"/>
        <w:autoSpaceDN w:val="0"/>
        <w:adjustRightInd w:val="0"/>
        <w:spacing w:line="240" w:lineRule="auto"/>
        <w:rPr>
          <w:rFonts w:eastAsia="Calibri"/>
          <w:color w:val="000000"/>
          <w:szCs w:val="22"/>
        </w:rPr>
      </w:pPr>
    </w:p>
    <w:p w14:paraId="3B1CE095" w14:textId="1FDB5257" w:rsidR="003433BB" w:rsidRPr="00CE427E" w:rsidRDefault="003433BB"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Serious IRRs to </w:t>
      </w:r>
      <w:r w:rsidR="000A2B17" w:rsidRPr="00CE427E">
        <w:rPr>
          <w:rFonts w:eastAsia="Calibri"/>
          <w:color w:val="000000"/>
          <w:szCs w:val="22"/>
        </w:rPr>
        <w:t>trastuzumab</w:t>
      </w:r>
      <w:r w:rsidRPr="00CE427E">
        <w:rPr>
          <w:rFonts w:eastAsia="Calibri"/>
          <w:color w:val="000000"/>
          <w:szCs w:val="22"/>
        </w:rPr>
        <w:t xml:space="preserve"> infusion including dyspnoea, hypotension, wheezing, hypertension, bronchospasm, supraventricular tachyarrhythmia, reduced oxygen saturation, anaphylaxis, respiratory distress, urticaria and angioedema have been reported (see section 4.8). Pre</w:t>
      </w:r>
      <w:r w:rsidRPr="00CE427E">
        <w:rPr>
          <w:rFonts w:eastAsia="Calibri"/>
          <w:color w:val="000000"/>
          <w:szCs w:val="22"/>
        </w:rPr>
        <w:noBreakHyphen/>
        <w:t xml:space="preserve">medication may be used to reduce risk of occurrence of these events. The majority of these events occur during or within 2.5 hours of the start of the first infusion. Should an infusion reaction occur the infusion should be discontinued or the rate of infusion slowed and the patient should be monitored until resolution of all observed symptoms (see section 4.2). These symptoms can be treated with an analgesic/antipyretic such as meperidine or paracetamol, or an antihistamine such as diphenhydramine. The majority of patients experienced resolution of symptoms and subsequently received further infusions of </w:t>
      </w:r>
      <w:r w:rsidR="000A2B17" w:rsidRPr="00CE427E">
        <w:rPr>
          <w:rFonts w:eastAsia="Calibri"/>
          <w:color w:val="000000"/>
          <w:szCs w:val="22"/>
        </w:rPr>
        <w:t>trastuzumab</w:t>
      </w:r>
      <w:r w:rsidRPr="00CE427E">
        <w:rPr>
          <w:rFonts w:eastAsia="Calibri"/>
          <w:color w:val="000000"/>
          <w:szCs w:val="22"/>
        </w:rPr>
        <w:t>. Serious reactions have been treated successfully with supportive therapy such as oxygen, beta</w:t>
      </w:r>
      <w:r w:rsidR="005F65B9" w:rsidRPr="00CE427E">
        <w:rPr>
          <w:rFonts w:eastAsia="Calibri"/>
          <w:color w:val="000000"/>
          <w:szCs w:val="22"/>
        </w:rPr>
        <w:t>-</w:t>
      </w:r>
      <w:r w:rsidRPr="00CE427E">
        <w:rPr>
          <w:rFonts w:eastAsia="Calibri"/>
          <w:color w:val="000000"/>
          <w:szCs w:val="22"/>
        </w:rPr>
        <w:t xml:space="preserve">agonists, and corticosteroids. In rare cases, these reactions are associated with a clinical course culminating in a fatal outcome. Patients experiencing dyspnoea at rest due to complications of advanced malignancy and comorbidities may be at increased risk of a fatal infusion reaction. Therefore, these patients should not be treated with </w:t>
      </w:r>
      <w:r w:rsidR="00E26BF0" w:rsidRPr="00CE427E">
        <w:rPr>
          <w:rFonts w:eastAsia="Calibri"/>
          <w:color w:val="000000"/>
          <w:szCs w:val="22"/>
        </w:rPr>
        <w:t>KANJINTI</w:t>
      </w:r>
      <w:r w:rsidR="001A45A3" w:rsidRPr="00CE427E">
        <w:rPr>
          <w:rFonts w:eastAsia="Calibri"/>
          <w:color w:val="000000"/>
          <w:szCs w:val="22"/>
        </w:rPr>
        <w:t xml:space="preserve"> </w:t>
      </w:r>
      <w:r w:rsidRPr="00CE427E">
        <w:rPr>
          <w:rFonts w:eastAsia="Calibri"/>
          <w:color w:val="000000"/>
          <w:szCs w:val="22"/>
        </w:rPr>
        <w:t xml:space="preserve">(see section 4.3). </w:t>
      </w:r>
    </w:p>
    <w:p w14:paraId="5DE09875" w14:textId="77777777" w:rsidR="003433BB" w:rsidRPr="00CE427E" w:rsidRDefault="003433BB" w:rsidP="006128F6">
      <w:pPr>
        <w:tabs>
          <w:tab w:val="clear" w:pos="567"/>
        </w:tabs>
        <w:autoSpaceDE w:val="0"/>
        <w:autoSpaceDN w:val="0"/>
        <w:adjustRightInd w:val="0"/>
        <w:spacing w:line="240" w:lineRule="auto"/>
        <w:rPr>
          <w:rFonts w:eastAsia="Calibri"/>
          <w:color w:val="000000"/>
          <w:szCs w:val="22"/>
        </w:rPr>
      </w:pPr>
    </w:p>
    <w:p w14:paraId="0C45A2AA" w14:textId="77777777" w:rsidR="003433BB" w:rsidRPr="00CE427E" w:rsidRDefault="003433BB"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Initial improvement followed by clinical deterioration and delayed reactions with rapid clinical deterioration have also been reported. Fatalities have occurred within hours and up to one week following infusion. On very rare occasions, patients have experienced the onset of infusion symptoms and pulmonary symptoms more than six hours after the start of the </w:t>
      </w:r>
      <w:r w:rsidR="006A278A" w:rsidRPr="00CE427E">
        <w:rPr>
          <w:rFonts w:eastAsia="Calibri"/>
          <w:color w:val="000000"/>
          <w:szCs w:val="22"/>
        </w:rPr>
        <w:t>trastuzumab</w:t>
      </w:r>
      <w:r w:rsidRPr="00CE427E">
        <w:rPr>
          <w:rFonts w:eastAsia="Calibri"/>
          <w:color w:val="000000"/>
          <w:szCs w:val="22"/>
        </w:rPr>
        <w:t xml:space="preserve"> infusion. Patients should be warned of the possibility of such a late onset and should be instructed to contact their physician if these symptoms occur.</w:t>
      </w:r>
    </w:p>
    <w:p w14:paraId="667E0549" w14:textId="77777777" w:rsidR="003433BB" w:rsidRPr="00CE427E" w:rsidRDefault="003433BB" w:rsidP="006128F6">
      <w:pPr>
        <w:tabs>
          <w:tab w:val="clear" w:pos="567"/>
        </w:tabs>
        <w:autoSpaceDE w:val="0"/>
        <w:autoSpaceDN w:val="0"/>
        <w:adjustRightInd w:val="0"/>
        <w:spacing w:line="240" w:lineRule="auto"/>
        <w:rPr>
          <w:rFonts w:eastAsia="Calibri"/>
          <w:color w:val="000000"/>
          <w:szCs w:val="22"/>
        </w:rPr>
      </w:pPr>
    </w:p>
    <w:p w14:paraId="0B9D9DD6" w14:textId="77777777" w:rsidR="003433BB" w:rsidRPr="00CE427E" w:rsidRDefault="003433BB" w:rsidP="006128F6">
      <w:pPr>
        <w:tabs>
          <w:tab w:val="clear" w:pos="567"/>
        </w:tabs>
        <w:autoSpaceDE w:val="0"/>
        <w:autoSpaceDN w:val="0"/>
        <w:adjustRightInd w:val="0"/>
        <w:spacing w:line="240" w:lineRule="auto"/>
        <w:rPr>
          <w:rFonts w:eastAsia="Calibri"/>
          <w:color w:val="000000"/>
          <w:szCs w:val="22"/>
          <w:u w:val="single"/>
        </w:rPr>
      </w:pPr>
      <w:r w:rsidRPr="00CE427E">
        <w:rPr>
          <w:rFonts w:eastAsia="Calibri"/>
          <w:color w:val="000000"/>
          <w:szCs w:val="22"/>
          <w:u w:val="single"/>
        </w:rPr>
        <w:t>Pulmonary events</w:t>
      </w:r>
    </w:p>
    <w:p w14:paraId="38BCC5D4" w14:textId="77777777" w:rsidR="003433BB" w:rsidRPr="00CE427E" w:rsidRDefault="003433BB" w:rsidP="006128F6">
      <w:pPr>
        <w:tabs>
          <w:tab w:val="clear" w:pos="567"/>
        </w:tabs>
        <w:autoSpaceDE w:val="0"/>
        <w:autoSpaceDN w:val="0"/>
        <w:adjustRightInd w:val="0"/>
        <w:spacing w:line="240" w:lineRule="auto"/>
        <w:rPr>
          <w:rFonts w:eastAsia="Calibri"/>
          <w:color w:val="000000"/>
          <w:szCs w:val="22"/>
        </w:rPr>
      </w:pPr>
    </w:p>
    <w:p w14:paraId="3CFE1A80" w14:textId="67BE622E" w:rsidR="003433BB" w:rsidRPr="00CE427E" w:rsidRDefault="003433BB"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Severe pulmonary events have been reported with the use of </w:t>
      </w:r>
      <w:r w:rsidR="006A278A" w:rsidRPr="00CE427E">
        <w:rPr>
          <w:rFonts w:eastAsia="Calibri"/>
          <w:color w:val="000000"/>
          <w:szCs w:val="22"/>
        </w:rPr>
        <w:t>trastuzumab</w:t>
      </w:r>
      <w:r w:rsidRPr="00CE427E">
        <w:rPr>
          <w:rFonts w:eastAsia="Calibri"/>
          <w:color w:val="000000"/>
          <w:szCs w:val="22"/>
        </w:rPr>
        <w:t xml:space="preserve"> in the post</w:t>
      </w:r>
      <w:r w:rsidRPr="00CE427E">
        <w:rPr>
          <w:rFonts w:eastAsia="Calibri"/>
          <w:color w:val="000000"/>
          <w:szCs w:val="22"/>
        </w:rPr>
        <w:noBreakHyphen/>
        <w:t>marketing setting (see section 4.8). These events have occasionally been fatal. In addition, cases of interstitial lung disease including lung infiltrates, acute respiratory distress syndrome, pneumonia, pneumonitis, pleural effusion, respiratory distress, acute pulmonary oedema and respiratory insufficiency have been reported. Risk factors associated with interstitial lung disease include prior or concomitant therapy with other antineoplastic therapies known to be associated with it such as taxanes, gemcitabine, vinorelbine and radiation therapy. These events may occur as part of an infusion</w:t>
      </w:r>
      <w:r w:rsidRPr="00CE427E">
        <w:rPr>
          <w:rFonts w:eastAsia="Calibri"/>
          <w:color w:val="000000"/>
          <w:szCs w:val="22"/>
        </w:rPr>
        <w:noBreakHyphen/>
        <w:t xml:space="preserve">related reaction or with a delayed onset. Patients experiencing dyspnoea at rest due to complications of advanced malignancy and comorbidities may be at increased risk of pulmonary events. Therefore, these patients should not be treated with </w:t>
      </w:r>
      <w:r w:rsidR="00E26BF0" w:rsidRPr="00CE427E">
        <w:rPr>
          <w:rFonts w:eastAsia="Calibri"/>
          <w:color w:val="000000"/>
          <w:szCs w:val="22"/>
        </w:rPr>
        <w:t>KANJINTI</w:t>
      </w:r>
      <w:r w:rsidR="001A45A3" w:rsidRPr="00CE427E">
        <w:rPr>
          <w:rFonts w:eastAsia="Calibri"/>
          <w:color w:val="000000"/>
          <w:szCs w:val="22"/>
        </w:rPr>
        <w:t xml:space="preserve"> </w:t>
      </w:r>
      <w:r w:rsidRPr="00CE427E">
        <w:rPr>
          <w:rFonts w:eastAsia="Calibri"/>
          <w:color w:val="000000"/>
          <w:szCs w:val="22"/>
        </w:rPr>
        <w:t>(see section 4.3). Caution should be exercised for pneumonitis, especially in patients being treated concomitantly with taxanes.</w:t>
      </w:r>
    </w:p>
    <w:p w14:paraId="7B4B7B16" w14:textId="3E6A2991" w:rsidR="00925686" w:rsidRDefault="00925686" w:rsidP="006128F6">
      <w:pPr>
        <w:spacing w:line="240" w:lineRule="auto"/>
        <w:outlineLvl w:val="0"/>
        <w:rPr>
          <w:szCs w:val="22"/>
        </w:rPr>
      </w:pPr>
    </w:p>
    <w:p w14:paraId="0EAF8C81" w14:textId="71C5A1D6" w:rsidR="00E6469A" w:rsidRDefault="00E6469A" w:rsidP="005477BB">
      <w:pPr>
        <w:keepNext/>
        <w:tabs>
          <w:tab w:val="left" w:pos="709"/>
        </w:tabs>
        <w:spacing w:line="240" w:lineRule="auto"/>
        <w:rPr>
          <w:bCs/>
          <w:u w:val="single"/>
        </w:rPr>
      </w:pPr>
      <w:r w:rsidRPr="00F902B4">
        <w:rPr>
          <w:bCs/>
          <w:u w:val="single"/>
        </w:rPr>
        <w:t>Sodium</w:t>
      </w:r>
    </w:p>
    <w:p w14:paraId="45DE7B9D" w14:textId="77777777" w:rsidR="00F902B4" w:rsidRPr="00F902B4" w:rsidRDefault="00F902B4" w:rsidP="005477BB">
      <w:pPr>
        <w:keepNext/>
        <w:tabs>
          <w:tab w:val="left" w:pos="709"/>
        </w:tabs>
        <w:spacing w:line="240" w:lineRule="auto"/>
        <w:rPr>
          <w:bCs/>
          <w:u w:val="single"/>
        </w:rPr>
      </w:pPr>
    </w:p>
    <w:p w14:paraId="7FADDCC5" w14:textId="4478457C" w:rsidR="00E6469A" w:rsidRDefault="00E6469A" w:rsidP="005477BB">
      <w:pPr>
        <w:keepNext/>
        <w:tabs>
          <w:tab w:val="left" w:pos="709"/>
        </w:tabs>
        <w:spacing w:line="240" w:lineRule="auto"/>
        <w:rPr>
          <w:rFonts w:eastAsia="SimSun"/>
        </w:rPr>
      </w:pPr>
      <w:r>
        <w:t>This medicinal product contains less than 1 mmol sodium (23</w:t>
      </w:r>
      <w:r w:rsidR="00AA5003">
        <w:t> </w:t>
      </w:r>
      <w:r>
        <w:t>mg) per dose, that is to say essentially ‘sodium</w:t>
      </w:r>
      <w:r>
        <w:noBreakHyphen/>
        <w:t>free’.</w:t>
      </w:r>
    </w:p>
    <w:p w14:paraId="09C96836" w14:textId="77777777" w:rsidR="00E6469A" w:rsidRPr="006128F6" w:rsidRDefault="00E6469A" w:rsidP="006128F6">
      <w:pPr>
        <w:spacing w:line="240" w:lineRule="auto"/>
        <w:outlineLvl w:val="0"/>
        <w:rPr>
          <w:szCs w:val="22"/>
        </w:rPr>
      </w:pPr>
    </w:p>
    <w:p w14:paraId="19BDEBFD" w14:textId="77777777" w:rsidR="00925686" w:rsidRPr="006128F6" w:rsidRDefault="00925686" w:rsidP="006128F6">
      <w:pPr>
        <w:keepNext/>
        <w:spacing w:line="240" w:lineRule="auto"/>
        <w:ind w:left="567" w:hanging="567"/>
        <w:outlineLvl w:val="0"/>
        <w:rPr>
          <w:szCs w:val="22"/>
        </w:rPr>
      </w:pPr>
      <w:r w:rsidRPr="006128F6">
        <w:rPr>
          <w:b/>
          <w:szCs w:val="22"/>
        </w:rPr>
        <w:lastRenderedPageBreak/>
        <w:t>4.5</w:t>
      </w:r>
      <w:r w:rsidRPr="006128F6">
        <w:rPr>
          <w:b/>
          <w:szCs w:val="22"/>
        </w:rPr>
        <w:tab/>
        <w:t>Interaction with other medicinal products and other forms of interaction</w:t>
      </w:r>
    </w:p>
    <w:p w14:paraId="2612F917" w14:textId="77777777" w:rsidR="00925686" w:rsidRPr="006128F6" w:rsidRDefault="00925686" w:rsidP="006128F6">
      <w:pPr>
        <w:keepNext/>
        <w:spacing w:line="240" w:lineRule="auto"/>
        <w:rPr>
          <w:szCs w:val="22"/>
        </w:rPr>
      </w:pPr>
    </w:p>
    <w:p w14:paraId="40EAB954" w14:textId="550E8A13" w:rsidR="007D1E18" w:rsidRPr="006128F6" w:rsidRDefault="007D1E18" w:rsidP="006128F6">
      <w:pPr>
        <w:autoSpaceDE w:val="0"/>
        <w:autoSpaceDN w:val="0"/>
        <w:adjustRightInd w:val="0"/>
        <w:spacing w:line="240" w:lineRule="auto"/>
      </w:pPr>
      <w:r w:rsidRPr="006128F6">
        <w:t xml:space="preserve">No formal drug interaction studies have been performed. Clinically significant interactions between </w:t>
      </w:r>
      <w:r w:rsidR="006A278A" w:rsidRPr="006128F6">
        <w:t>trastuzumab</w:t>
      </w:r>
      <w:r w:rsidRPr="006128F6">
        <w:t xml:space="preserve"> and the concomitant medicinal products used in clinical </w:t>
      </w:r>
      <w:r w:rsidR="004A5EE5">
        <w:t>studie</w:t>
      </w:r>
      <w:r w:rsidRPr="006128F6">
        <w:t>s have not been observed.</w:t>
      </w:r>
    </w:p>
    <w:p w14:paraId="07D49A6B" w14:textId="77777777" w:rsidR="007D1E18" w:rsidRPr="006128F6" w:rsidRDefault="007D1E18" w:rsidP="006128F6">
      <w:pPr>
        <w:autoSpaceDE w:val="0"/>
        <w:autoSpaceDN w:val="0"/>
        <w:adjustRightInd w:val="0"/>
        <w:spacing w:line="240" w:lineRule="auto"/>
      </w:pPr>
    </w:p>
    <w:p w14:paraId="0234B89E" w14:textId="77777777" w:rsidR="007D1E18" w:rsidRPr="006128F6" w:rsidRDefault="007D1E18" w:rsidP="00801B3F">
      <w:pPr>
        <w:keepNext/>
        <w:keepLines/>
        <w:autoSpaceDE w:val="0"/>
        <w:autoSpaceDN w:val="0"/>
        <w:adjustRightInd w:val="0"/>
        <w:spacing w:line="240" w:lineRule="auto"/>
        <w:rPr>
          <w:u w:val="single"/>
        </w:rPr>
      </w:pPr>
      <w:r w:rsidRPr="006128F6">
        <w:rPr>
          <w:u w:val="single"/>
        </w:rPr>
        <w:t>Effect of trastuzumab on the pharmacokinetics of other antineoplastic agents</w:t>
      </w:r>
    </w:p>
    <w:p w14:paraId="3B9B2C49" w14:textId="77777777" w:rsidR="007D1E18" w:rsidRPr="006128F6" w:rsidRDefault="007D1E18" w:rsidP="00801B3F">
      <w:pPr>
        <w:keepNext/>
        <w:keepLines/>
        <w:autoSpaceDE w:val="0"/>
        <w:autoSpaceDN w:val="0"/>
        <w:adjustRightInd w:val="0"/>
        <w:spacing w:line="240" w:lineRule="auto"/>
      </w:pPr>
    </w:p>
    <w:p w14:paraId="4AFED0C7" w14:textId="34574D81" w:rsidR="007D1E18" w:rsidRPr="006128F6" w:rsidRDefault="007D1E18" w:rsidP="00801B3F">
      <w:pPr>
        <w:keepNext/>
        <w:keepLines/>
        <w:autoSpaceDE w:val="0"/>
        <w:autoSpaceDN w:val="0"/>
        <w:adjustRightInd w:val="0"/>
        <w:spacing w:line="240" w:lineRule="auto"/>
      </w:pPr>
      <w:r w:rsidRPr="006128F6">
        <w:t>Pharmacokinetic data from studies BO15935 and M77004 in women with HER2</w:t>
      </w:r>
      <w:r w:rsidRPr="006128F6">
        <w:noBreakHyphen/>
        <w:t>positive MBC suggested that exposure to paclitaxel and doxorubicin (and their major metabolites 6</w:t>
      </w:r>
      <w:r w:rsidRPr="006128F6">
        <w:noBreakHyphen/>
        <w:t xml:space="preserve">α hydroxylpaclitaxel, POH, and doxorubicinol, DOL) was not altered in the presence of trastuzumab (8 mg/kg or 4 mg/kg </w:t>
      </w:r>
      <w:r w:rsidR="00D248DE">
        <w:t>intravenous</w:t>
      </w:r>
      <w:r w:rsidRPr="006128F6">
        <w:t xml:space="preserve"> loading dose followed by 6 mg/kg q3w or 2 mg/kg q1w </w:t>
      </w:r>
      <w:r w:rsidR="00D248DE">
        <w:t>intravenous</w:t>
      </w:r>
      <w:r w:rsidRPr="006128F6">
        <w:t>, respectively).</w:t>
      </w:r>
      <w:r w:rsidR="000C3B99" w:rsidRPr="006128F6">
        <w:t xml:space="preserve"> </w:t>
      </w:r>
      <w:r w:rsidRPr="006128F6">
        <w:t>However, trastuzumab may elevate the overall exposure of one doxorubicin metabolite, (7</w:t>
      </w:r>
      <w:r w:rsidRPr="006128F6">
        <w:noBreakHyphen/>
        <w:t>deoxy</w:t>
      </w:r>
      <w:r w:rsidRPr="006128F6">
        <w:noBreakHyphen/>
        <w:t>13 dihydro-doxorubicinone, D7D). The bioactivity of D7D and the clinical impact of the elevation of this metabolite was unclear.</w:t>
      </w:r>
    </w:p>
    <w:p w14:paraId="2C9C2E1F" w14:textId="77777777" w:rsidR="007D1E18" w:rsidRPr="006128F6" w:rsidRDefault="007D1E18" w:rsidP="006128F6">
      <w:pPr>
        <w:autoSpaceDE w:val="0"/>
        <w:autoSpaceDN w:val="0"/>
        <w:adjustRightInd w:val="0"/>
        <w:spacing w:line="240" w:lineRule="auto"/>
      </w:pPr>
    </w:p>
    <w:p w14:paraId="7EA22E34" w14:textId="582EFFE5" w:rsidR="007D1E18" w:rsidRPr="006128F6" w:rsidRDefault="007D1E18" w:rsidP="006128F6">
      <w:pPr>
        <w:autoSpaceDE w:val="0"/>
        <w:autoSpaceDN w:val="0"/>
        <w:adjustRightInd w:val="0"/>
        <w:spacing w:line="240" w:lineRule="auto"/>
      </w:pPr>
      <w:r w:rsidRPr="006128F6">
        <w:t>Data from study JP16003, a single</w:t>
      </w:r>
      <w:r w:rsidRPr="006128F6">
        <w:noBreakHyphen/>
        <w:t xml:space="preserve">arm study of </w:t>
      </w:r>
      <w:r w:rsidR="006A278A" w:rsidRPr="006128F6">
        <w:t>trastuzumab</w:t>
      </w:r>
      <w:r w:rsidRPr="006128F6">
        <w:t xml:space="preserve"> (4 mg/kg </w:t>
      </w:r>
      <w:r w:rsidR="00D248DE">
        <w:t>intravenous</w:t>
      </w:r>
      <w:r w:rsidRPr="006128F6">
        <w:t xml:space="preserve"> loading dose and 2 mg/kg </w:t>
      </w:r>
      <w:r w:rsidR="00D248DE">
        <w:t>intravenous</w:t>
      </w:r>
      <w:r w:rsidRPr="006128F6">
        <w:t xml:space="preserve"> weekly) and docetaxel (60</w:t>
      </w:r>
      <w:r w:rsidR="00C037F3" w:rsidRPr="006128F6">
        <w:t> </w:t>
      </w:r>
      <w:r w:rsidRPr="006128F6">
        <w:t>mg/m</w:t>
      </w:r>
      <w:r w:rsidRPr="006128F6">
        <w:rPr>
          <w:vertAlign w:val="superscript"/>
        </w:rPr>
        <w:t>2</w:t>
      </w:r>
      <w:r w:rsidRPr="006128F6">
        <w:t xml:space="preserve"> </w:t>
      </w:r>
      <w:r w:rsidR="00D248DE">
        <w:t>intravenous</w:t>
      </w:r>
      <w:r w:rsidRPr="006128F6">
        <w:t>) in Japanese women with HER2</w:t>
      </w:r>
      <w:r w:rsidRPr="006128F6">
        <w:noBreakHyphen/>
        <w:t xml:space="preserve">positive MBC, suggested that concomitant administration of </w:t>
      </w:r>
      <w:r w:rsidR="006A278A" w:rsidRPr="006128F6">
        <w:t>trastuzumab</w:t>
      </w:r>
      <w:r w:rsidRPr="006128F6">
        <w:t xml:space="preserve"> had no effect on the single dose pharmacokinetics of docetaxel. Study JP19959 was a substudy of BO18255 (ToGA) performed in male and female Japanese patients with advanced gastric cancer to study the pharmacokinetics of capecitabine and cisplatin when used with or without </w:t>
      </w:r>
      <w:r w:rsidR="006A278A" w:rsidRPr="006128F6">
        <w:t>trastuzumab</w:t>
      </w:r>
      <w:r w:rsidRPr="006128F6">
        <w:t>. The results of this substudy suggested that the exposure to the bioactive metabolites (e.g. 5</w:t>
      </w:r>
      <w:r w:rsidRPr="006128F6">
        <w:noBreakHyphen/>
        <w:t xml:space="preserve">FU) of capecitabine was not affected by concurrent use of cisplatin or by concurrent use of cisplatin plus </w:t>
      </w:r>
      <w:r w:rsidR="006A278A" w:rsidRPr="006128F6">
        <w:t>trastuzumab</w:t>
      </w:r>
      <w:r w:rsidRPr="006128F6">
        <w:t>. However, capecitabine itself showed higher concentrations and a longer half</w:t>
      </w:r>
      <w:r w:rsidRPr="006128F6">
        <w:noBreakHyphen/>
        <w:t xml:space="preserve">life when combined with </w:t>
      </w:r>
      <w:r w:rsidR="006A278A" w:rsidRPr="006128F6">
        <w:t>trastuzumab</w:t>
      </w:r>
      <w:r w:rsidRPr="006128F6">
        <w:t xml:space="preserve">. The data also suggested that the pharmacokinetics of cisplatin were not affected by concurrent use of capecitabine or by concurrent use of capecitabine plus </w:t>
      </w:r>
      <w:r w:rsidR="006A278A" w:rsidRPr="006128F6">
        <w:t>trastuzumab</w:t>
      </w:r>
      <w:r w:rsidRPr="006128F6">
        <w:t>.</w:t>
      </w:r>
    </w:p>
    <w:p w14:paraId="2ED38404" w14:textId="77777777" w:rsidR="007D1E18" w:rsidRPr="006128F6" w:rsidRDefault="007D1E18" w:rsidP="006128F6">
      <w:pPr>
        <w:autoSpaceDE w:val="0"/>
        <w:autoSpaceDN w:val="0"/>
        <w:adjustRightInd w:val="0"/>
        <w:spacing w:line="240" w:lineRule="auto"/>
      </w:pPr>
    </w:p>
    <w:p w14:paraId="037C6280" w14:textId="2FD50B60" w:rsidR="007D1E18" w:rsidRPr="006128F6" w:rsidRDefault="007D1E18" w:rsidP="006128F6">
      <w:pPr>
        <w:autoSpaceDE w:val="0"/>
        <w:autoSpaceDN w:val="0"/>
        <w:adjustRightInd w:val="0"/>
        <w:spacing w:line="240" w:lineRule="auto"/>
      </w:pPr>
      <w:r w:rsidRPr="006128F6">
        <w:t>Pharmacokinetic data from Study H4613g/GO01305 in patients with metastatic or locally advanced inoperable HER2</w:t>
      </w:r>
      <w:r w:rsidRPr="006128F6">
        <w:noBreakHyphen/>
        <w:t>positive cancer suggested that trastuzumab had no impact on the PK of carboplatin.</w:t>
      </w:r>
    </w:p>
    <w:p w14:paraId="55DB8232" w14:textId="77777777" w:rsidR="007D1E18" w:rsidRPr="006128F6" w:rsidRDefault="007D1E18" w:rsidP="006128F6">
      <w:pPr>
        <w:autoSpaceDE w:val="0"/>
        <w:autoSpaceDN w:val="0"/>
        <w:adjustRightInd w:val="0"/>
        <w:spacing w:line="240" w:lineRule="auto"/>
      </w:pPr>
    </w:p>
    <w:p w14:paraId="611E8CC2" w14:textId="77777777" w:rsidR="007D1E18" w:rsidRPr="006128F6" w:rsidRDefault="007D1E18" w:rsidP="006128F6">
      <w:pPr>
        <w:autoSpaceDE w:val="0"/>
        <w:autoSpaceDN w:val="0"/>
        <w:adjustRightInd w:val="0"/>
        <w:spacing w:line="240" w:lineRule="auto"/>
        <w:rPr>
          <w:i/>
          <w:u w:val="single"/>
        </w:rPr>
      </w:pPr>
      <w:r w:rsidRPr="006128F6">
        <w:rPr>
          <w:i/>
          <w:u w:val="single"/>
        </w:rPr>
        <w:t>Effect of antineoplastic agents on trastuzumab pharmacokinetics</w:t>
      </w:r>
    </w:p>
    <w:p w14:paraId="6C0ACB16" w14:textId="77777777" w:rsidR="007D1E18" w:rsidRPr="006128F6" w:rsidRDefault="007D1E18" w:rsidP="006128F6">
      <w:pPr>
        <w:autoSpaceDE w:val="0"/>
        <w:autoSpaceDN w:val="0"/>
        <w:adjustRightInd w:val="0"/>
        <w:spacing w:line="240" w:lineRule="auto"/>
      </w:pPr>
    </w:p>
    <w:p w14:paraId="751DF84F" w14:textId="13A3920D" w:rsidR="007D1E18" w:rsidRPr="006128F6" w:rsidRDefault="007D1E18" w:rsidP="006128F6">
      <w:pPr>
        <w:autoSpaceDE w:val="0"/>
        <w:autoSpaceDN w:val="0"/>
        <w:adjustRightInd w:val="0"/>
        <w:spacing w:line="240" w:lineRule="auto"/>
      </w:pPr>
      <w:r w:rsidRPr="006128F6">
        <w:t xml:space="preserve">By comparison of simulated serum trastuzumab concentrations after </w:t>
      </w:r>
      <w:r w:rsidR="006A278A" w:rsidRPr="006128F6">
        <w:t>trastuzumab</w:t>
      </w:r>
      <w:r w:rsidRPr="006128F6">
        <w:t xml:space="preserve"> monotherapy (4 mg/kg loading/2 mg/kg q1w </w:t>
      </w:r>
      <w:r w:rsidR="00D248DE">
        <w:t>intravenous</w:t>
      </w:r>
      <w:r w:rsidRPr="006128F6">
        <w:t>) and observed serum concentrations in Japanese women with HER2</w:t>
      </w:r>
      <w:r w:rsidRPr="006128F6">
        <w:noBreakHyphen/>
        <w:t>positive MBC (study JP16003) no evidence of a PK effect of concurrent administration of docetaxel on the pharmacokinetics of trastuzumab was found.</w:t>
      </w:r>
    </w:p>
    <w:p w14:paraId="19CBEF81" w14:textId="77777777" w:rsidR="007D1E18" w:rsidRPr="006128F6" w:rsidRDefault="007D1E18" w:rsidP="006128F6">
      <w:pPr>
        <w:autoSpaceDE w:val="0"/>
        <w:autoSpaceDN w:val="0"/>
        <w:adjustRightInd w:val="0"/>
        <w:spacing w:line="240" w:lineRule="auto"/>
      </w:pPr>
    </w:p>
    <w:p w14:paraId="3FAFE4A1" w14:textId="77AC8F28" w:rsidR="007D1E18" w:rsidRPr="006128F6" w:rsidRDefault="007D1E18" w:rsidP="006128F6">
      <w:pPr>
        <w:autoSpaceDE w:val="0"/>
        <w:autoSpaceDN w:val="0"/>
        <w:adjustRightInd w:val="0"/>
        <w:spacing w:line="240" w:lineRule="auto"/>
      </w:pPr>
      <w:r w:rsidRPr="006128F6">
        <w:t>Comparison of PK results from two Phase II studies (BO15935 and M77004) and one Phase III study</w:t>
      </w:r>
      <w:r w:rsidR="000C3B99" w:rsidRPr="006128F6">
        <w:t xml:space="preserve"> </w:t>
      </w:r>
      <w:r w:rsidRPr="006128F6">
        <w:t xml:space="preserve">(H0648g) in which patients were treated concomitantly with </w:t>
      </w:r>
      <w:r w:rsidR="006A278A" w:rsidRPr="006128F6">
        <w:t>trastuzumab</w:t>
      </w:r>
      <w:r w:rsidRPr="006128F6">
        <w:t xml:space="preserve"> and paclitaxel and two Phase II studies in which </w:t>
      </w:r>
      <w:r w:rsidR="006A278A" w:rsidRPr="006128F6">
        <w:t>trastuzumab</w:t>
      </w:r>
      <w:r w:rsidRPr="006128F6">
        <w:t xml:space="preserve"> was administered as monotherapy (W016229 and MO16982), in women with HER2</w:t>
      </w:r>
      <w:r w:rsidRPr="006128F6">
        <w:noBreakHyphen/>
        <w:t>positive MBC indicates that individual and mean trastuzumab trough serum concentrations varied within and across studies but there was no clear effect of the concomitant administration of paclitaxel on the pharmacokinetics of trastuzumab. Comparison of trastuzumab PK data from Study M77004 in which women with HER2</w:t>
      </w:r>
      <w:r w:rsidRPr="006128F6">
        <w:noBreakHyphen/>
        <w:t xml:space="preserve">positive MBC were treated concomitantly with </w:t>
      </w:r>
      <w:r w:rsidR="006A278A" w:rsidRPr="006128F6">
        <w:t>trastuzumab</w:t>
      </w:r>
      <w:r w:rsidRPr="006128F6">
        <w:t xml:space="preserve">, paclitaxel and doxorubicin to trastuzumab PK data in studies where </w:t>
      </w:r>
      <w:r w:rsidR="006A278A" w:rsidRPr="006128F6">
        <w:t>trastuzumab</w:t>
      </w:r>
      <w:r w:rsidRPr="006128F6">
        <w:t xml:space="preserve"> was administered as monotherapy (H0649g) or in combination with anthracycline plus cyclophosphamide or paclitaxel (Study H0648g), suggested no effect of doxorubicin and paclitaxel on the pharmacokinetics of trastuzumab.</w:t>
      </w:r>
    </w:p>
    <w:p w14:paraId="59E2DA3D" w14:textId="77777777" w:rsidR="007D1E18" w:rsidRPr="006128F6" w:rsidRDefault="007D1E18" w:rsidP="006128F6">
      <w:pPr>
        <w:autoSpaceDE w:val="0"/>
        <w:autoSpaceDN w:val="0"/>
        <w:adjustRightInd w:val="0"/>
        <w:spacing w:line="240" w:lineRule="auto"/>
      </w:pPr>
    </w:p>
    <w:p w14:paraId="6EDB499F" w14:textId="4D90C51D" w:rsidR="005F65B9" w:rsidRPr="006128F6" w:rsidRDefault="007D1E18" w:rsidP="006128F6">
      <w:pPr>
        <w:autoSpaceDE w:val="0"/>
        <w:autoSpaceDN w:val="0"/>
        <w:adjustRightInd w:val="0"/>
        <w:spacing w:line="240" w:lineRule="auto"/>
      </w:pPr>
      <w:r w:rsidRPr="006128F6">
        <w:t xml:space="preserve">Pharmacokinetic data from Study H4613g/GO01305 suggested that carboplatin had no impact on the PK of trastuzumab. </w:t>
      </w:r>
    </w:p>
    <w:p w14:paraId="6DA45571" w14:textId="77777777" w:rsidR="005F65B9" w:rsidRPr="006128F6" w:rsidRDefault="005F65B9" w:rsidP="006128F6">
      <w:pPr>
        <w:autoSpaceDE w:val="0"/>
        <w:autoSpaceDN w:val="0"/>
        <w:adjustRightInd w:val="0"/>
        <w:spacing w:line="240" w:lineRule="auto"/>
      </w:pPr>
    </w:p>
    <w:p w14:paraId="546EB37B" w14:textId="77777777" w:rsidR="007D1E18" w:rsidRPr="006128F6" w:rsidRDefault="007D1E18" w:rsidP="006128F6">
      <w:pPr>
        <w:autoSpaceDE w:val="0"/>
        <w:autoSpaceDN w:val="0"/>
        <w:adjustRightInd w:val="0"/>
        <w:spacing w:line="240" w:lineRule="auto"/>
      </w:pPr>
      <w:r w:rsidRPr="006128F6">
        <w:t>The administration of concomitant anastrozole did not appear to influence the pharmacokinetics of trastuzumab.</w:t>
      </w:r>
    </w:p>
    <w:p w14:paraId="35E85106" w14:textId="77777777" w:rsidR="007D1E18" w:rsidRPr="006128F6" w:rsidRDefault="007D1E18" w:rsidP="006128F6">
      <w:pPr>
        <w:autoSpaceDE w:val="0"/>
        <w:autoSpaceDN w:val="0"/>
        <w:adjustRightInd w:val="0"/>
        <w:spacing w:line="240" w:lineRule="auto"/>
      </w:pPr>
    </w:p>
    <w:p w14:paraId="2C7916C4" w14:textId="77777777" w:rsidR="00925686" w:rsidRPr="006128F6" w:rsidRDefault="00925686" w:rsidP="006128F6">
      <w:pPr>
        <w:keepNext/>
        <w:spacing w:line="240" w:lineRule="auto"/>
        <w:ind w:left="567" w:hanging="567"/>
        <w:outlineLvl w:val="0"/>
        <w:rPr>
          <w:szCs w:val="22"/>
        </w:rPr>
      </w:pPr>
      <w:r w:rsidRPr="006128F6">
        <w:rPr>
          <w:b/>
          <w:szCs w:val="22"/>
        </w:rPr>
        <w:lastRenderedPageBreak/>
        <w:t>4.6</w:t>
      </w:r>
      <w:r w:rsidRPr="006128F6">
        <w:rPr>
          <w:b/>
          <w:szCs w:val="22"/>
        </w:rPr>
        <w:tab/>
      </w:r>
      <w:r w:rsidRPr="006128F6">
        <w:rPr>
          <w:b/>
          <w:bCs/>
          <w:szCs w:val="22"/>
        </w:rPr>
        <w:t>Fertility, p</w:t>
      </w:r>
      <w:r w:rsidRPr="006128F6">
        <w:rPr>
          <w:b/>
          <w:szCs w:val="22"/>
        </w:rPr>
        <w:t>regnancy and lactation</w:t>
      </w:r>
    </w:p>
    <w:p w14:paraId="3C6B30E6" w14:textId="77777777" w:rsidR="00925686" w:rsidRPr="006128F6" w:rsidRDefault="00925686" w:rsidP="006128F6">
      <w:pPr>
        <w:keepNext/>
        <w:spacing w:line="240" w:lineRule="auto"/>
        <w:rPr>
          <w:szCs w:val="22"/>
        </w:rPr>
      </w:pPr>
    </w:p>
    <w:p w14:paraId="773FBD45" w14:textId="349867F1" w:rsidR="00A46A5D" w:rsidRPr="00CE427E" w:rsidRDefault="00A46A5D" w:rsidP="006128F6">
      <w:pPr>
        <w:tabs>
          <w:tab w:val="clear" w:pos="567"/>
        </w:tabs>
        <w:autoSpaceDE w:val="0"/>
        <w:autoSpaceDN w:val="0"/>
        <w:adjustRightInd w:val="0"/>
        <w:spacing w:line="240" w:lineRule="auto"/>
        <w:rPr>
          <w:rFonts w:eastAsia="Calibri"/>
          <w:iCs/>
          <w:color w:val="000000"/>
          <w:szCs w:val="22"/>
          <w:u w:val="single"/>
        </w:rPr>
      </w:pPr>
      <w:r w:rsidRPr="00CE427E">
        <w:rPr>
          <w:rFonts w:eastAsia="Calibri"/>
          <w:iCs/>
          <w:color w:val="000000"/>
          <w:szCs w:val="22"/>
          <w:u w:val="single"/>
        </w:rPr>
        <w:t>Women of childbearing potential</w:t>
      </w:r>
      <w:r w:rsidR="00AC129A">
        <w:rPr>
          <w:rFonts w:eastAsia="Calibri"/>
          <w:iCs/>
          <w:color w:val="000000"/>
          <w:szCs w:val="22"/>
          <w:u w:val="single"/>
        </w:rPr>
        <w:t>/</w:t>
      </w:r>
      <w:r w:rsidR="005477BB">
        <w:rPr>
          <w:rFonts w:eastAsia="Calibri"/>
          <w:iCs/>
          <w:color w:val="000000"/>
          <w:szCs w:val="22"/>
          <w:u w:val="single"/>
        </w:rPr>
        <w:t>c</w:t>
      </w:r>
      <w:r w:rsidR="00AC129A">
        <w:rPr>
          <w:rFonts w:eastAsia="Calibri"/>
          <w:iCs/>
          <w:color w:val="000000"/>
          <w:szCs w:val="22"/>
          <w:u w:val="single"/>
        </w:rPr>
        <w:t>ontraception</w:t>
      </w:r>
    </w:p>
    <w:p w14:paraId="2E1A10EB" w14:textId="77777777" w:rsidR="000E1F7F" w:rsidRPr="00CE427E" w:rsidRDefault="000E1F7F" w:rsidP="006128F6">
      <w:pPr>
        <w:tabs>
          <w:tab w:val="clear" w:pos="567"/>
        </w:tabs>
        <w:autoSpaceDE w:val="0"/>
        <w:autoSpaceDN w:val="0"/>
        <w:adjustRightInd w:val="0"/>
        <w:spacing w:line="240" w:lineRule="auto"/>
        <w:rPr>
          <w:rFonts w:eastAsia="Calibri"/>
          <w:iCs/>
          <w:color w:val="000000"/>
          <w:szCs w:val="22"/>
          <w:u w:val="single"/>
        </w:rPr>
      </w:pPr>
    </w:p>
    <w:p w14:paraId="634CF879" w14:textId="5CBDA2FC" w:rsidR="00A46A5D" w:rsidRPr="00CE427E" w:rsidRDefault="00A46A5D"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Women of childbearing potential should be advised to use effective contraception during treatment with </w:t>
      </w:r>
      <w:r w:rsidR="00E26BF0" w:rsidRPr="00CE427E">
        <w:rPr>
          <w:rFonts w:eastAsia="Calibri"/>
          <w:color w:val="000000"/>
          <w:szCs w:val="22"/>
        </w:rPr>
        <w:t>KANJINTI</w:t>
      </w:r>
      <w:r w:rsidR="00510A88" w:rsidRPr="00CE427E">
        <w:rPr>
          <w:rFonts w:eastAsia="Calibri"/>
          <w:color w:val="000000"/>
          <w:szCs w:val="22"/>
        </w:rPr>
        <w:t xml:space="preserve"> </w:t>
      </w:r>
      <w:r w:rsidRPr="00CE427E">
        <w:rPr>
          <w:rFonts w:eastAsia="Calibri"/>
          <w:color w:val="000000"/>
          <w:szCs w:val="22"/>
        </w:rPr>
        <w:t>and for 7 months after treat</w:t>
      </w:r>
      <w:r w:rsidR="000C3B99" w:rsidRPr="00CE427E">
        <w:rPr>
          <w:rFonts w:eastAsia="Calibri"/>
          <w:color w:val="000000"/>
          <w:szCs w:val="22"/>
        </w:rPr>
        <w:t>ment has concluded (see section </w:t>
      </w:r>
      <w:r w:rsidRPr="00CE427E">
        <w:rPr>
          <w:rFonts w:eastAsia="Calibri"/>
          <w:color w:val="000000"/>
          <w:szCs w:val="22"/>
        </w:rPr>
        <w:t>5.2).</w:t>
      </w:r>
    </w:p>
    <w:p w14:paraId="1AE53644" w14:textId="77777777" w:rsidR="00A46A5D" w:rsidRPr="00CE427E" w:rsidRDefault="00A46A5D" w:rsidP="006128F6">
      <w:pPr>
        <w:tabs>
          <w:tab w:val="clear" w:pos="567"/>
        </w:tabs>
        <w:autoSpaceDE w:val="0"/>
        <w:autoSpaceDN w:val="0"/>
        <w:adjustRightInd w:val="0"/>
        <w:spacing w:line="240" w:lineRule="auto"/>
        <w:rPr>
          <w:rFonts w:eastAsia="Calibri"/>
          <w:i/>
          <w:iCs/>
          <w:color w:val="000000"/>
          <w:szCs w:val="22"/>
        </w:rPr>
      </w:pPr>
    </w:p>
    <w:p w14:paraId="665F8F4A" w14:textId="77777777" w:rsidR="00A46A5D" w:rsidRPr="00CE427E" w:rsidRDefault="00A46A5D" w:rsidP="008123AB">
      <w:pPr>
        <w:keepNext/>
        <w:tabs>
          <w:tab w:val="clear" w:pos="567"/>
        </w:tabs>
        <w:autoSpaceDE w:val="0"/>
        <w:autoSpaceDN w:val="0"/>
        <w:adjustRightInd w:val="0"/>
        <w:spacing w:line="240" w:lineRule="auto"/>
        <w:rPr>
          <w:rFonts w:eastAsia="Calibri"/>
          <w:iCs/>
          <w:color w:val="000000"/>
          <w:szCs w:val="22"/>
          <w:u w:val="single"/>
        </w:rPr>
      </w:pPr>
      <w:r w:rsidRPr="00CE427E">
        <w:rPr>
          <w:rFonts w:eastAsia="Calibri"/>
          <w:iCs/>
          <w:color w:val="000000"/>
          <w:szCs w:val="22"/>
          <w:u w:val="single"/>
        </w:rPr>
        <w:t>Pregnancy</w:t>
      </w:r>
    </w:p>
    <w:p w14:paraId="3907C424" w14:textId="77777777" w:rsidR="000E1F7F" w:rsidRPr="00CE427E" w:rsidRDefault="000E1F7F" w:rsidP="008123AB">
      <w:pPr>
        <w:keepNext/>
        <w:tabs>
          <w:tab w:val="clear" w:pos="567"/>
        </w:tabs>
        <w:autoSpaceDE w:val="0"/>
        <w:autoSpaceDN w:val="0"/>
        <w:adjustRightInd w:val="0"/>
        <w:spacing w:line="240" w:lineRule="auto"/>
        <w:rPr>
          <w:rFonts w:eastAsia="Calibri"/>
          <w:iCs/>
          <w:color w:val="000000"/>
          <w:szCs w:val="22"/>
          <w:u w:val="single"/>
        </w:rPr>
      </w:pPr>
    </w:p>
    <w:p w14:paraId="7B08F9BF" w14:textId="22201D21" w:rsidR="00A46A5D" w:rsidRPr="00CE427E" w:rsidRDefault="00A46A5D" w:rsidP="008123AB">
      <w:pPr>
        <w:keepNext/>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Reproduction studies have been conducted in cynom</w:t>
      </w:r>
      <w:r w:rsidR="000C3B99" w:rsidRPr="00CE427E">
        <w:rPr>
          <w:rFonts w:eastAsia="Calibri"/>
          <w:color w:val="000000"/>
          <w:szCs w:val="22"/>
        </w:rPr>
        <w:t>olgus monkeys at doses up to 25 </w:t>
      </w:r>
      <w:r w:rsidRPr="00CE427E">
        <w:rPr>
          <w:rFonts w:eastAsia="Calibri"/>
          <w:color w:val="000000"/>
          <w:szCs w:val="22"/>
        </w:rPr>
        <w:t xml:space="preserve">times that of the weekly human maintenance dose of 2 mg/kg </w:t>
      </w:r>
      <w:r w:rsidR="006A278A" w:rsidRPr="00CE427E">
        <w:rPr>
          <w:rFonts w:eastAsia="Calibri"/>
          <w:color w:val="000000"/>
          <w:szCs w:val="22"/>
        </w:rPr>
        <w:t>trastuzumab</w:t>
      </w:r>
      <w:r w:rsidRPr="00CE427E">
        <w:rPr>
          <w:rFonts w:eastAsia="Calibri"/>
          <w:color w:val="000000"/>
          <w:szCs w:val="22"/>
        </w:rPr>
        <w:t xml:space="preserve"> intravenous formulation and have revealed no evidence of impaired fertility or harm to the foetus. Placental transfer of trastuzumab during the early (days 20</w:t>
      </w:r>
      <w:r w:rsidRPr="00CE427E">
        <w:rPr>
          <w:rFonts w:eastAsia="Calibri"/>
          <w:color w:val="000000"/>
          <w:szCs w:val="22"/>
        </w:rPr>
        <w:noBreakHyphen/>
        <w:t>50 of gestation) and late (days 120</w:t>
      </w:r>
      <w:r w:rsidRPr="00CE427E">
        <w:rPr>
          <w:rFonts w:eastAsia="Calibri"/>
          <w:color w:val="000000"/>
          <w:szCs w:val="22"/>
        </w:rPr>
        <w:noBreakHyphen/>
        <w:t xml:space="preserve">150 of gestation) foetal development period was observed. It is not known whether </w:t>
      </w:r>
      <w:r w:rsidR="006A278A" w:rsidRPr="00CE427E">
        <w:rPr>
          <w:rFonts w:eastAsia="Calibri"/>
          <w:color w:val="000000"/>
          <w:szCs w:val="22"/>
        </w:rPr>
        <w:t>trastuzumab</w:t>
      </w:r>
      <w:r w:rsidRPr="00CE427E">
        <w:rPr>
          <w:rFonts w:eastAsia="Calibri"/>
          <w:color w:val="000000"/>
          <w:szCs w:val="22"/>
        </w:rPr>
        <w:t xml:space="preserve"> can affect reproductive capacity. As animal reproduction studies are not always predictive of human response, </w:t>
      </w:r>
      <w:r w:rsidR="00E26BF0" w:rsidRPr="00CE427E">
        <w:rPr>
          <w:rFonts w:eastAsia="Calibri"/>
          <w:color w:val="000000"/>
          <w:szCs w:val="22"/>
        </w:rPr>
        <w:t>KANJINTI</w:t>
      </w:r>
      <w:r w:rsidR="00510A88" w:rsidRPr="00CE427E">
        <w:rPr>
          <w:rFonts w:eastAsia="Calibri"/>
          <w:color w:val="000000"/>
          <w:szCs w:val="22"/>
        </w:rPr>
        <w:t xml:space="preserve"> </w:t>
      </w:r>
      <w:r w:rsidRPr="00CE427E">
        <w:rPr>
          <w:rFonts w:eastAsia="Calibri"/>
          <w:color w:val="000000"/>
          <w:szCs w:val="22"/>
        </w:rPr>
        <w:t>should be avoided during pregnancy unless the potential benefit for the mother outweighs the potential risk to the foetus.</w:t>
      </w:r>
    </w:p>
    <w:p w14:paraId="22621BDC" w14:textId="77777777" w:rsidR="00A46A5D" w:rsidRPr="00CE427E" w:rsidRDefault="00A46A5D" w:rsidP="006128F6">
      <w:pPr>
        <w:tabs>
          <w:tab w:val="clear" w:pos="567"/>
        </w:tabs>
        <w:autoSpaceDE w:val="0"/>
        <w:autoSpaceDN w:val="0"/>
        <w:adjustRightInd w:val="0"/>
        <w:spacing w:line="240" w:lineRule="auto"/>
        <w:rPr>
          <w:rFonts w:eastAsia="Calibri"/>
          <w:color w:val="000000"/>
          <w:szCs w:val="22"/>
        </w:rPr>
      </w:pPr>
    </w:p>
    <w:p w14:paraId="28D389FC" w14:textId="777D29D9" w:rsidR="00A46A5D" w:rsidRPr="00CE427E" w:rsidRDefault="00A46A5D"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In the post</w:t>
      </w:r>
      <w:r w:rsidRPr="00CE427E">
        <w:rPr>
          <w:rFonts w:eastAsia="Calibri"/>
          <w:color w:val="000000"/>
          <w:szCs w:val="22"/>
        </w:rPr>
        <w:noBreakHyphen/>
        <w:t xml:space="preserve">marketing setting, cases of foetal renal growth and/or function impairment in association with oligohydramnios, some associated with fatal pulmonary hypoplasia of the foetus, have been reported in pregnant women receiving </w:t>
      </w:r>
      <w:r w:rsidR="006A278A" w:rsidRPr="00CE427E">
        <w:rPr>
          <w:rFonts w:eastAsia="Calibri"/>
          <w:color w:val="000000"/>
          <w:szCs w:val="22"/>
        </w:rPr>
        <w:t>trastuzumab</w:t>
      </w:r>
      <w:r w:rsidRPr="00CE427E">
        <w:rPr>
          <w:rFonts w:eastAsia="Calibri"/>
          <w:color w:val="000000"/>
          <w:szCs w:val="22"/>
        </w:rPr>
        <w:t xml:space="preserve">. Women who become pregnant should be advised of the possibility of harm to the foetus. If a pregnant woman is treated with </w:t>
      </w:r>
      <w:r w:rsidR="00E26BF0" w:rsidRPr="00CE427E">
        <w:rPr>
          <w:rFonts w:eastAsia="Calibri"/>
          <w:color w:val="000000"/>
          <w:szCs w:val="22"/>
        </w:rPr>
        <w:t>KANJINTI</w:t>
      </w:r>
      <w:r w:rsidRPr="00CE427E">
        <w:rPr>
          <w:rFonts w:eastAsia="Calibri"/>
          <w:color w:val="000000"/>
          <w:szCs w:val="22"/>
        </w:rPr>
        <w:t xml:space="preserve">, or if a patient becomes pregnant while receiving </w:t>
      </w:r>
      <w:r w:rsidR="00E26BF0" w:rsidRPr="00CE427E">
        <w:rPr>
          <w:rFonts w:eastAsia="Calibri"/>
          <w:color w:val="000000"/>
          <w:szCs w:val="22"/>
        </w:rPr>
        <w:t>KANJINTI</w:t>
      </w:r>
      <w:r w:rsidR="00510A88" w:rsidRPr="00CE427E">
        <w:rPr>
          <w:rFonts w:eastAsia="Calibri"/>
          <w:color w:val="000000"/>
          <w:szCs w:val="22"/>
        </w:rPr>
        <w:t xml:space="preserve"> </w:t>
      </w:r>
      <w:r w:rsidRPr="00CE427E">
        <w:rPr>
          <w:rFonts w:eastAsia="Calibri"/>
          <w:color w:val="000000"/>
          <w:szCs w:val="22"/>
        </w:rPr>
        <w:t xml:space="preserve">or within 7 months following the last dose of </w:t>
      </w:r>
      <w:r w:rsidR="00E26BF0" w:rsidRPr="00CE427E">
        <w:rPr>
          <w:rFonts w:eastAsia="Calibri"/>
          <w:color w:val="000000"/>
          <w:szCs w:val="22"/>
        </w:rPr>
        <w:t>KANJINTI</w:t>
      </w:r>
      <w:r w:rsidRPr="00CE427E">
        <w:rPr>
          <w:rFonts w:eastAsia="Calibri"/>
          <w:color w:val="000000"/>
          <w:szCs w:val="22"/>
        </w:rPr>
        <w:t>, close monitoring by a multidisciplinary team is desirable.</w:t>
      </w:r>
    </w:p>
    <w:p w14:paraId="566151D3" w14:textId="77777777" w:rsidR="00A46A5D" w:rsidRPr="00CE427E" w:rsidRDefault="00A46A5D" w:rsidP="006128F6">
      <w:pPr>
        <w:tabs>
          <w:tab w:val="clear" w:pos="567"/>
        </w:tabs>
        <w:autoSpaceDE w:val="0"/>
        <w:autoSpaceDN w:val="0"/>
        <w:adjustRightInd w:val="0"/>
        <w:spacing w:line="240" w:lineRule="auto"/>
        <w:rPr>
          <w:rFonts w:eastAsia="Calibri"/>
          <w:i/>
          <w:iCs/>
          <w:color w:val="000000"/>
          <w:szCs w:val="22"/>
        </w:rPr>
      </w:pPr>
    </w:p>
    <w:p w14:paraId="6E8CFE37" w14:textId="77777777" w:rsidR="00A46A5D" w:rsidRPr="00CE427E" w:rsidRDefault="00A46A5D" w:rsidP="006128F6">
      <w:pPr>
        <w:tabs>
          <w:tab w:val="clear" w:pos="567"/>
        </w:tabs>
        <w:autoSpaceDE w:val="0"/>
        <w:autoSpaceDN w:val="0"/>
        <w:adjustRightInd w:val="0"/>
        <w:spacing w:line="240" w:lineRule="auto"/>
        <w:rPr>
          <w:rFonts w:eastAsia="Calibri"/>
          <w:iCs/>
          <w:color w:val="000000"/>
          <w:szCs w:val="22"/>
          <w:u w:val="single"/>
        </w:rPr>
      </w:pPr>
      <w:r w:rsidRPr="00CE427E">
        <w:rPr>
          <w:rFonts w:eastAsia="Calibri"/>
          <w:iCs/>
          <w:color w:val="000000"/>
          <w:szCs w:val="22"/>
          <w:u w:val="single"/>
        </w:rPr>
        <w:t>Breast</w:t>
      </w:r>
      <w:r w:rsidRPr="00CE427E">
        <w:rPr>
          <w:rFonts w:eastAsia="Calibri"/>
          <w:iCs/>
          <w:color w:val="000000"/>
          <w:szCs w:val="22"/>
          <w:u w:val="single"/>
        </w:rPr>
        <w:noBreakHyphen/>
        <w:t>feeding</w:t>
      </w:r>
    </w:p>
    <w:p w14:paraId="79FC5877" w14:textId="77777777" w:rsidR="000E1F7F" w:rsidRPr="00CE427E" w:rsidRDefault="000E1F7F" w:rsidP="006128F6">
      <w:pPr>
        <w:tabs>
          <w:tab w:val="clear" w:pos="567"/>
        </w:tabs>
        <w:autoSpaceDE w:val="0"/>
        <w:autoSpaceDN w:val="0"/>
        <w:adjustRightInd w:val="0"/>
        <w:spacing w:line="240" w:lineRule="auto"/>
        <w:rPr>
          <w:rFonts w:eastAsia="Calibri"/>
          <w:iCs/>
          <w:color w:val="000000"/>
          <w:szCs w:val="22"/>
          <w:u w:val="single"/>
        </w:rPr>
      </w:pPr>
    </w:p>
    <w:p w14:paraId="320179C5" w14:textId="29D3E78D" w:rsidR="00A46A5D" w:rsidRPr="00CE427E" w:rsidRDefault="00A46A5D"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A study conducted in cynomolgus monkeys at doses 25 times that of the weekly human maintenance dose of 2 mg/kg </w:t>
      </w:r>
      <w:r w:rsidR="006A278A" w:rsidRPr="00CE427E">
        <w:rPr>
          <w:rFonts w:eastAsia="Calibri"/>
          <w:color w:val="000000"/>
          <w:szCs w:val="22"/>
        </w:rPr>
        <w:t>trastuzumab</w:t>
      </w:r>
      <w:r w:rsidRPr="00CE427E">
        <w:rPr>
          <w:rFonts w:eastAsia="Calibri"/>
          <w:color w:val="000000"/>
          <w:szCs w:val="22"/>
        </w:rPr>
        <w:t xml:space="preserve"> intravenous formulation </w:t>
      </w:r>
      <w:r w:rsidR="00FE541E" w:rsidRPr="00CE427E">
        <w:rPr>
          <w:color w:val="000000"/>
          <w:shd w:val="clear" w:color="auto" w:fill="FFFFFF"/>
        </w:rPr>
        <w:t>from days 120 to 150 of pregnancy</w:t>
      </w:r>
      <w:r w:rsidR="00FE541E" w:rsidRPr="00CE427E">
        <w:rPr>
          <w:color w:val="000000"/>
        </w:rPr>
        <w:t xml:space="preserve"> </w:t>
      </w:r>
      <w:r w:rsidRPr="00CE427E">
        <w:rPr>
          <w:rFonts w:eastAsia="Calibri"/>
          <w:color w:val="000000"/>
          <w:szCs w:val="22"/>
        </w:rPr>
        <w:t>demonstrated that trastuzumab is secreted in the milk</w:t>
      </w:r>
      <w:r w:rsidR="00FE541E" w:rsidRPr="00CE427E">
        <w:rPr>
          <w:rFonts w:eastAsia="Calibri"/>
          <w:color w:val="000000"/>
          <w:szCs w:val="22"/>
        </w:rPr>
        <w:t xml:space="preserve"> </w:t>
      </w:r>
      <w:r w:rsidR="00FE541E" w:rsidRPr="00CE427E">
        <w:rPr>
          <w:color w:val="000000"/>
          <w:shd w:val="clear" w:color="auto" w:fill="FFFFFF"/>
        </w:rPr>
        <w:t>postpartum</w:t>
      </w:r>
      <w:r w:rsidRPr="00CE427E">
        <w:rPr>
          <w:rFonts w:eastAsia="Calibri"/>
          <w:color w:val="000000"/>
          <w:szCs w:val="22"/>
        </w:rPr>
        <w:t xml:space="preserve">. The </w:t>
      </w:r>
      <w:r w:rsidR="00FE541E" w:rsidRPr="00CE427E">
        <w:rPr>
          <w:color w:val="000000"/>
          <w:shd w:val="clear" w:color="auto" w:fill="FFFFFF"/>
        </w:rPr>
        <w:t xml:space="preserve">exposure to trastuzumab in utero and the </w:t>
      </w:r>
      <w:r w:rsidRPr="00CE427E">
        <w:rPr>
          <w:rFonts w:eastAsia="Calibri"/>
          <w:color w:val="000000"/>
          <w:szCs w:val="22"/>
        </w:rPr>
        <w:t xml:space="preserve">presence of trastuzumab in the serum of infant monkeys was not associated with any adverse effects on their growth or development from birth to 1 month of age. It is not known whether trastuzumab is secreted in human milk. As human IgG1 is secreted into human milk, and the potential for harm to the </w:t>
      </w:r>
      <w:r w:rsidR="00AC129A">
        <w:rPr>
          <w:rFonts w:eastAsia="Calibri"/>
          <w:color w:val="000000"/>
          <w:szCs w:val="22"/>
        </w:rPr>
        <w:t>breast-fed child</w:t>
      </w:r>
      <w:r w:rsidR="00AC129A" w:rsidRPr="00CE427E">
        <w:rPr>
          <w:rFonts w:eastAsia="Calibri"/>
          <w:color w:val="000000"/>
          <w:szCs w:val="22"/>
        </w:rPr>
        <w:t xml:space="preserve"> </w:t>
      </w:r>
      <w:r w:rsidRPr="00CE427E">
        <w:rPr>
          <w:rFonts w:eastAsia="Calibri"/>
          <w:color w:val="000000"/>
          <w:szCs w:val="22"/>
        </w:rPr>
        <w:t xml:space="preserve">is unknown, women should not breast-feed during </w:t>
      </w:r>
      <w:r w:rsidR="00E26BF0" w:rsidRPr="00CE427E">
        <w:rPr>
          <w:rFonts w:eastAsia="Calibri"/>
          <w:color w:val="000000"/>
          <w:szCs w:val="22"/>
        </w:rPr>
        <w:t>KANJINTI</w:t>
      </w:r>
      <w:r w:rsidR="00510A88" w:rsidRPr="00CE427E">
        <w:rPr>
          <w:rFonts w:eastAsia="Calibri"/>
          <w:color w:val="000000"/>
          <w:szCs w:val="22"/>
        </w:rPr>
        <w:t xml:space="preserve"> </w:t>
      </w:r>
      <w:r w:rsidRPr="00CE427E">
        <w:rPr>
          <w:rFonts w:eastAsia="Calibri"/>
          <w:color w:val="000000"/>
          <w:szCs w:val="22"/>
        </w:rPr>
        <w:t>therapy and for 7</w:t>
      </w:r>
      <w:r w:rsidR="000C3B99" w:rsidRPr="00CE427E">
        <w:rPr>
          <w:rFonts w:eastAsia="Calibri"/>
          <w:color w:val="000000"/>
          <w:szCs w:val="22"/>
        </w:rPr>
        <w:t> </w:t>
      </w:r>
      <w:r w:rsidRPr="00CE427E">
        <w:rPr>
          <w:rFonts w:eastAsia="Calibri"/>
          <w:color w:val="000000"/>
          <w:szCs w:val="22"/>
        </w:rPr>
        <w:t>months after the last dose.</w:t>
      </w:r>
    </w:p>
    <w:p w14:paraId="7DA942B8" w14:textId="77777777" w:rsidR="00A46A5D" w:rsidRPr="00CE427E" w:rsidRDefault="00A46A5D" w:rsidP="006128F6">
      <w:pPr>
        <w:tabs>
          <w:tab w:val="clear" w:pos="567"/>
        </w:tabs>
        <w:autoSpaceDE w:val="0"/>
        <w:autoSpaceDN w:val="0"/>
        <w:adjustRightInd w:val="0"/>
        <w:spacing w:line="240" w:lineRule="auto"/>
        <w:rPr>
          <w:rFonts w:eastAsia="Calibri"/>
          <w:i/>
          <w:iCs/>
          <w:color w:val="000000"/>
          <w:szCs w:val="22"/>
        </w:rPr>
      </w:pPr>
    </w:p>
    <w:p w14:paraId="617189F9" w14:textId="77777777" w:rsidR="00A46A5D" w:rsidRPr="00CE427E" w:rsidRDefault="00A46A5D" w:rsidP="006128F6">
      <w:pPr>
        <w:tabs>
          <w:tab w:val="clear" w:pos="567"/>
        </w:tabs>
        <w:autoSpaceDE w:val="0"/>
        <w:autoSpaceDN w:val="0"/>
        <w:adjustRightInd w:val="0"/>
        <w:spacing w:line="240" w:lineRule="auto"/>
        <w:rPr>
          <w:rFonts w:eastAsia="Calibri"/>
          <w:iCs/>
          <w:color w:val="000000"/>
          <w:szCs w:val="22"/>
          <w:u w:val="single"/>
        </w:rPr>
      </w:pPr>
      <w:r w:rsidRPr="00CE427E">
        <w:rPr>
          <w:rFonts w:eastAsia="Calibri"/>
          <w:iCs/>
          <w:color w:val="000000"/>
          <w:szCs w:val="22"/>
          <w:u w:val="single"/>
        </w:rPr>
        <w:t>Fertility</w:t>
      </w:r>
    </w:p>
    <w:p w14:paraId="60DAC0B1" w14:textId="77777777" w:rsidR="000E1F7F" w:rsidRPr="00CE427E" w:rsidRDefault="000E1F7F" w:rsidP="006128F6">
      <w:pPr>
        <w:tabs>
          <w:tab w:val="clear" w:pos="567"/>
        </w:tabs>
        <w:autoSpaceDE w:val="0"/>
        <w:autoSpaceDN w:val="0"/>
        <w:adjustRightInd w:val="0"/>
        <w:spacing w:line="240" w:lineRule="auto"/>
        <w:rPr>
          <w:rFonts w:eastAsia="Calibri"/>
          <w:iCs/>
          <w:color w:val="000000"/>
          <w:szCs w:val="22"/>
          <w:u w:val="single"/>
        </w:rPr>
      </w:pPr>
    </w:p>
    <w:p w14:paraId="5BC6FC7B" w14:textId="77777777" w:rsidR="00A46A5D" w:rsidRPr="00CE427E" w:rsidRDefault="00A46A5D"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There is no fertility data available.</w:t>
      </w:r>
    </w:p>
    <w:p w14:paraId="7BD0F184" w14:textId="77777777" w:rsidR="00925686" w:rsidRPr="006128F6" w:rsidRDefault="00925686" w:rsidP="006128F6">
      <w:pPr>
        <w:spacing w:line="240" w:lineRule="auto"/>
        <w:rPr>
          <w:i/>
          <w:szCs w:val="22"/>
        </w:rPr>
      </w:pPr>
    </w:p>
    <w:p w14:paraId="19CE584E" w14:textId="77777777" w:rsidR="00925686" w:rsidRPr="006128F6" w:rsidRDefault="00925686" w:rsidP="006128F6">
      <w:pPr>
        <w:keepNext/>
        <w:spacing w:line="240" w:lineRule="auto"/>
        <w:ind w:left="567" w:hanging="567"/>
        <w:outlineLvl w:val="0"/>
        <w:rPr>
          <w:szCs w:val="22"/>
        </w:rPr>
      </w:pPr>
      <w:r w:rsidRPr="006128F6">
        <w:rPr>
          <w:b/>
          <w:szCs w:val="22"/>
        </w:rPr>
        <w:t>4.7</w:t>
      </w:r>
      <w:r w:rsidRPr="006128F6">
        <w:rPr>
          <w:b/>
          <w:szCs w:val="22"/>
        </w:rPr>
        <w:tab/>
        <w:t>Effects on ability to drive and use machines</w:t>
      </w:r>
    </w:p>
    <w:p w14:paraId="1C1E6BD9" w14:textId="77777777" w:rsidR="00925686" w:rsidRPr="006128F6" w:rsidRDefault="00925686" w:rsidP="006128F6">
      <w:pPr>
        <w:keepNext/>
        <w:spacing w:line="240" w:lineRule="auto"/>
        <w:rPr>
          <w:szCs w:val="22"/>
        </w:rPr>
      </w:pPr>
    </w:p>
    <w:p w14:paraId="561C308F" w14:textId="4166CE3C" w:rsidR="00193C21" w:rsidRPr="006128F6" w:rsidRDefault="001A59DE" w:rsidP="006128F6">
      <w:pPr>
        <w:autoSpaceDE w:val="0"/>
        <w:autoSpaceDN w:val="0"/>
        <w:adjustRightInd w:val="0"/>
        <w:spacing w:line="240" w:lineRule="auto"/>
        <w:rPr>
          <w:color w:val="000000"/>
        </w:rPr>
      </w:pPr>
      <w:r>
        <w:rPr>
          <w:color w:val="000000"/>
        </w:rPr>
        <w:t>Trastuzumab</w:t>
      </w:r>
      <w:r w:rsidR="00193C21" w:rsidRPr="006128F6">
        <w:rPr>
          <w:color w:val="000000"/>
        </w:rPr>
        <w:t xml:space="preserve"> </w:t>
      </w:r>
      <w:r w:rsidR="00236DF3">
        <w:rPr>
          <w:color w:val="000000"/>
        </w:rPr>
        <w:t>has</w:t>
      </w:r>
      <w:r w:rsidR="00D8588A">
        <w:rPr>
          <w:color w:val="000000"/>
        </w:rPr>
        <w:t xml:space="preserve"> minor</w:t>
      </w:r>
      <w:r w:rsidR="00193C21" w:rsidRPr="006128F6">
        <w:rPr>
          <w:color w:val="000000"/>
        </w:rPr>
        <w:t xml:space="preserve"> influence on the ability to drive or use machines</w:t>
      </w:r>
      <w:r w:rsidR="00D8588A">
        <w:rPr>
          <w:color w:val="000000"/>
        </w:rPr>
        <w:t xml:space="preserve"> </w:t>
      </w:r>
      <w:r w:rsidR="00D8588A" w:rsidRPr="00C00591">
        <w:t>(see section 4.8)</w:t>
      </w:r>
      <w:r w:rsidR="00193C21" w:rsidRPr="006128F6">
        <w:rPr>
          <w:color w:val="000000"/>
        </w:rPr>
        <w:t xml:space="preserve">. </w:t>
      </w:r>
      <w:r w:rsidR="00236DF3">
        <w:t xml:space="preserve">Dizziness and somnolence may occur during treatment with KANJINTI (see section 4.8). </w:t>
      </w:r>
      <w:r w:rsidR="00D8588A">
        <w:rPr>
          <w:color w:val="000000"/>
        </w:rPr>
        <w:t>P</w:t>
      </w:r>
      <w:r w:rsidR="00193C21" w:rsidRPr="006128F6">
        <w:rPr>
          <w:color w:val="000000"/>
        </w:rPr>
        <w:t>atients experiencing infusion</w:t>
      </w:r>
      <w:r w:rsidR="00193C21" w:rsidRPr="006128F6">
        <w:rPr>
          <w:color w:val="000000"/>
        </w:rPr>
        <w:noBreakHyphen/>
        <w:t>related symptoms (see section</w:t>
      </w:r>
      <w:r w:rsidR="000C3B99" w:rsidRPr="006128F6">
        <w:rPr>
          <w:color w:val="000000"/>
        </w:rPr>
        <w:t> </w:t>
      </w:r>
      <w:r w:rsidR="00193C21" w:rsidRPr="006128F6">
        <w:rPr>
          <w:color w:val="000000"/>
        </w:rPr>
        <w:t>4.4) should be advised not to drive and use machines until symptoms abate.</w:t>
      </w:r>
    </w:p>
    <w:p w14:paraId="127FB7CB" w14:textId="77777777" w:rsidR="00925686" w:rsidRPr="006128F6" w:rsidRDefault="00925686" w:rsidP="006128F6">
      <w:pPr>
        <w:spacing w:line="240" w:lineRule="auto"/>
        <w:rPr>
          <w:szCs w:val="22"/>
        </w:rPr>
      </w:pPr>
    </w:p>
    <w:p w14:paraId="48BA920E" w14:textId="77777777" w:rsidR="00925686" w:rsidRPr="006128F6" w:rsidRDefault="00925686" w:rsidP="005477BB">
      <w:pPr>
        <w:keepNext/>
        <w:spacing w:line="240" w:lineRule="auto"/>
        <w:ind w:left="567" w:hanging="567"/>
        <w:outlineLvl w:val="0"/>
        <w:rPr>
          <w:b/>
          <w:szCs w:val="22"/>
        </w:rPr>
      </w:pPr>
      <w:r w:rsidRPr="006128F6">
        <w:rPr>
          <w:b/>
          <w:szCs w:val="22"/>
        </w:rPr>
        <w:t>4.8</w:t>
      </w:r>
      <w:r w:rsidRPr="006128F6">
        <w:rPr>
          <w:b/>
          <w:szCs w:val="22"/>
        </w:rPr>
        <w:tab/>
        <w:t>Undesirable effects</w:t>
      </w:r>
    </w:p>
    <w:p w14:paraId="3881FC7A" w14:textId="77777777" w:rsidR="00BD59F2" w:rsidRPr="00CE427E" w:rsidRDefault="00BD59F2" w:rsidP="006128F6">
      <w:pPr>
        <w:tabs>
          <w:tab w:val="clear" w:pos="567"/>
        </w:tabs>
        <w:autoSpaceDE w:val="0"/>
        <w:autoSpaceDN w:val="0"/>
        <w:adjustRightInd w:val="0"/>
        <w:spacing w:line="240" w:lineRule="auto"/>
        <w:rPr>
          <w:rFonts w:eastAsia="Calibri"/>
          <w:color w:val="000000"/>
          <w:szCs w:val="22"/>
          <w:u w:val="single"/>
        </w:rPr>
      </w:pPr>
    </w:p>
    <w:p w14:paraId="6DBFA28B" w14:textId="77777777" w:rsidR="00BD59F2" w:rsidRPr="00CE427E" w:rsidRDefault="00BD59F2" w:rsidP="006128F6">
      <w:pPr>
        <w:tabs>
          <w:tab w:val="clear" w:pos="567"/>
        </w:tabs>
        <w:autoSpaceDE w:val="0"/>
        <w:autoSpaceDN w:val="0"/>
        <w:adjustRightInd w:val="0"/>
        <w:spacing w:line="240" w:lineRule="auto"/>
        <w:rPr>
          <w:rFonts w:eastAsia="Calibri"/>
          <w:color w:val="000000"/>
          <w:szCs w:val="22"/>
          <w:u w:val="single"/>
        </w:rPr>
      </w:pPr>
      <w:r w:rsidRPr="00CE427E">
        <w:rPr>
          <w:rFonts w:eastAsia="Calibri"/>
          <w:color w:val="000000"/>
          <w:szCs w:val="22"/>
          <w:u w:val="single"/>
        </w:rPr>
        <w:t>Summary of the safety profile</w:t>
      </w:r>
    </w:p>
    <w:p w14:paraId="6BCBA09C" w14:textId="77777777" w:rsidR="00BD59F2" w:rsidRPr="00CE427E" w:rsidRDefault="00BD59F2" w:rsidP="006128F6">
      <w:pPr>
        <w:tabs>
          <w:tab w:val="clear" w:pos="567"/>
        </w:tabs>
        <w:autoSpaceDE w:val="0"/>
        <w:autoSpaceDN w:val="0"/>
        <w:adjustRightInd w:val="0"/>
        <w:spacing w:line="240" w:lineRule="auto"/>
        <w:rPr>
          <w:rFonts w:eastAsia="Calibri"/>
          <w:color w:val="000000"/>
          <w:szCs w:val="22"/>
        </w:rPr>
      </w:pPr>
    </w:p>
    <w:p w14:paraId="7DDD7315" w14:textId="77777777" w:rsidR="00BD59F2" w:rsidRPr="00CE427E" w:rsidRDefault="00BD59F2"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Amongst the most serious and/or common adverse reactions reported in </w:t>
      </w:r>
      <w:r w:rsidR="00875BEF" w:rsidRPr="00CE427E">
        <w:rPr>
          <w:rFonts w:eastAsia="Calibri"/>
          <w:color w:val="000000"/>
          <w:szCs w:val="22"/>
        </w:rPr>
        <w:t>trastuzumab</w:t>
      </w:r>
      <w:r w:rsidRPr="00CE427E">
        <w:rPr>
          <w:rFonts w:eastAsia="Calibri"/>
          <w:color w:val="000000"/>
          <w:szCs w:val="22"/>
        </w:rPr>
        <w:t xml:space="preserve"> usage to date are cardiac dysfunction, infusion</w:t>
      </w:r>
      <w:r w:rsidRPr="00CE427E">
        <w:rPr>
          <w:rFonts w:eastAsia="Calibri"/>
          <w:color w:val="000000"/>
          <w:szCs w:val="22"/>
        </w:rPr>
        <w:noBreakHyphen/>
        <w:t>related reactions, haematotoxicity (in particular neutropenia), infections and pulmonary adverse reactions.</w:t>
      </w:r>
    </w:p>
    <w:p w14:paraId="3394FAEB" w14:textId="77777777" w:rsidR="00BD59F2" w:rsidRPr="00CE427E" w:rsidRDefault="00BD59F2" w:rsidP="006128F6">
      <w:pPr>
        <w:tabs>
          <w:tab w:val="clear" w:pos="567"/>
        </w:tabs>
        <w:autoSpaceDE w:val="0"/>
        <w:autoSpaceDN w:val="0"/>
        <w:adjustRightInd w:val="0"/>
        <w:spacing w:line="240" w:lineRule="auto"/>
        <w:rPr>
          <w:rFonts w:eastAsia="Calibri"/>
          <w:color w:val="000000"/>
          <w:szCs w:val="22"/>
        </w:rPr>
      </w:pPr>
    </w:p>
    <w:p w14:paraId="756AE0CF" w14:textId="77777777" w:rsidR="00BD59F2" w:rsidRPr="00CE427E" w:rsidRDefault="00BD59F2" w:rsidP="001C3DBF">
      <w:pPr>
        <w:keepNext/>
        <w:keepLines/>
        <w:tabs>
          <w:tab w:val="clear" w:pos="567"/>
        </w:tabs>
        <w:autoSpaceDE w:val="0"/>
        <w:autoSpaceDN w:val="0"/>
        <w:adjustRightInd w:val="0"/>
        <w:spacing w:line="240" w:lineRule="auto"/>
        <w:rPr>
          <w:rFonts w:eastAsia="Calibri"/>
          <w:color w:val="000000"/>
          <w:szCs w:val="22"/>
          <w:u w:val="single"/>
        </w:rPr>
      </w:pPr>
      <w:r w:rsidRPr="00CE427E">
        <w:rPr>
          <w:rFonts w:eastAsia="Calibri"/>
          <w:color w:val="000000"/>
          <w:szCs w:val="22"/>
          <w:u w:val="single"/>
        </w:rPr>
        <w:lastRenderedPageBreak/>
        <w:t>Tabulated list of adverse reactions</w:t>
      </w:r>
    </w:p>
    <w:p w14:paraId="203F646E" w14:textId="77777777" w:rsidR="00BD59F2" w:rsidRPr="00CE427E" w:rsidRDefault="00BD59F2" w:rsidP="001C3DBF">
      <w:pPr>
        <w:keepNext/>
        <w:keepLines/>
        <w:tabs>
          <w:tab w:val="clear" w:pos="567"/>
        </w:tabs>
        <w:autoSpaceDE w:val="0"/>
        <w:autoSpaceDN w:val="0"/>
        <w:adjustRightInd w:val="0"/>
        <w:spacing w:line="240" w:lineRule="auto"/>
        <w:rPr>
          <w:rFonts w:eastAsia="Calibri"/>
          <w:color w:val="000000"/>
          <w:szCs w:val="22"/>
        </w:rPr>
      </w:pPr>
    </w:p>
    <w:p w14:paraId="3AFC93EC" w14:textId="0A0C60A7" w:rsidR="00BD59F2" w:rsidRPr="00CE427E" w:rsidRDefault="00BD59F2" w:rsidP="001C3DBF">
      <w:pPr>
        <w:keepNext/>
        <w:keepLines/>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In this section, the following categories of frequency have been used: very common (≥ 1/10), common (</w:t>
      </w:r>
      <w:r w:rsidRPr="006128F6">
        <w:rPr>
          <w:rFonts w:eastAsia="SymbolMT"/>
          <w:color w:val="000000"/>
          <w:szCs w:val="22"/>
        </w:rPr>
        <w:t>≥ </w:t>
      </w:r>
      <w:r w:rsidRPr="00CE427E">
        <w:rPr>
          <w:rFonts w:eastAsia="Calibri"/>
          <w:color w:val="000000"/>
          <w:szCs w:val="22"/>
        </w:rPr>
        <w:t>1/100 to &lt; 1/10), uncommon (</w:t>
      </w:r>
      <w:r w:rsidRPr="006128F6">
        <w:rPr>
          <w:rFonts w:eastAsia="SymbolMT"/>
          <w:color w:val="000000"/>
          <w:szCs w:val="22"/>
        </w:rPr>
        <w:t>≥ </w:t>
      </w:r>
      <w:r w:rsidRPr="00CE427E">
        <w:rPr>
          <w:rFonts w:eastAsia="Calibri"/>
          <w:color w:val="000000"/>
          <w:szCs w:val="22"/>
        </w:rPr>
        <w:t>1/1</w:t>
      </w:r>
      <w:r w:rsidR="00C0753A">
        <w:rPr>
          <w:rFonts w:eastAsia="Calibri"/>
          <w:color w:val="000000"/>
          <w:szCs w:val="22"/>
        </w:rPr>
        <w:t> </w:t>
      </w:r>
      <w:r w:rsidRPr="00CE427E">
        <w:rPr>
          <w:rFonts w:eastAsia="Calibri"/>
          <w:color w:val="000000"/>
          <w:szCs w:val="22"/>
        </w:rPr>
        <w:t>000 to &lt; 1/100), rare (</w:t>
      </w:r>
      <w:r w:rsidRPr="006128F6">
        <w:rPr>
          <w:rFonts w:eastAsia="SymbolMT"/>
          <w:color w:val="000000"/>
          <w:szCs w:val="22"/>
        </w:rPr>
        <w:t>≥ </w:t>
      </w:r>
      <w:r w:rsidRPr="00CE427E">
        <w:rPr>
          <w:rFonts w:eastAsia="Calibri"/>
          <w:color w:val="000000"/>
          <w:szCs w:val="22"/>
        </w:rPr>
        <w:t>1/10</w:t>
      </w:r>
      <w:r w:rsidR="00C0753A">
        <w:rPr>
          <w:rFonts w:eastAsia="Calibri"/>
          <w:color w:val="000000"/>
          <w:szCs w:val="22"/>
        </w:rPr>
        <w:t> </w:t>
      </w:r>
      <w:r w:rsidRPr="00CE427E">
        <w:rPr>
          <w:rFonts w:eastAsia="Calibri"/>
          <w:color w:val="000000"/>
          <w:szCs w:val="22"/>
        </w:rPr>
        <w:t>000 to &lt; 1/1</w:t>
      </w:r>
      <w:r w:rsidR="00C0753A">
        <w:rPr>
          <w:rFonts w:eastAsia="Calibri"/>
          <w:color w:val="000000"/>
          <w:szCs w:val="22"/>
        </w:rPr>
        <w:t> </w:t>
      </w:r>
      <w:r w:rsidRPr="00CE427E">
        <w:rPr>
          <w:rFonts w:eastAsia="Calibri"/>
          <w:color w:val="000000"/>
          <w:szCs w:val="22"/>
        </w:rPr>
        <w:t>000), very rare (&lt; 1/10</w:t>
      </w:r>
      <w:r w:rsidR="00C0753A">
        <w:rPr>
          <w:rFonts w:eastAsia="Calibri"/>
          <w:color w:val="000000"/>
          <w:szCs w:val="22"/>
        </w:rPr>
        <w:t> </w:t>
      </w:r>
      <w:r w:rsidRPr="00CE427E">
        <w:rPr>
          <w:rFonts w:eastAsia="Calibri"/>
          <w:color w:val="000000"/>
          <w:szCs w:val="22"/>
        </w:rPr>
        <w:t>000), not known (cannot be estimated from the available data). Within each frequency grouping, adverse reactions are presented in order of decreasing seriousness.</w:t>
      </w:r>
    </w:p>
    <w:p w14:paraId="06C394E9" w14:textId="77777777" w:rsidR="00BD59F2" w:rsidRPr="00CE427E" w:rsidRDefault="00BD59F2" w:rsidP="006128F6">
      <w:pPr>
        <w:tabs>
          <w:tab w:val="clear" w:pos="567"/>
        </w:tabs>
        <w:autoSpaceDE w:val="0"/>
        <w:autoSpaceDN w:val="0"/>
        <w:adjustRightInd w:val="0"/>
        <w:spacing w:line="240" w:lineRule="auto"/>
        <w:rPr>
          <w:rFonts w:eastAsia="Calibri"/>
          <w:color w:val="000000"/>
          <w:szCs w:val="22"/>
        </w:rPr>
      </w:pPr>
    </w:p>
    <w:p w14:paraId="18346FC3" w14:textId="17E49534" w:rsidR="00BD59F2" w:rsidRPr="00CE427E" w:rsidRDefault="00BD59F2"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Presented in Table 1 are adverse reactions that have been reported in association with the use of intravenous </w:t>
      </w:r>
      <w:r w:rsidR="00875BEF" w:rsidRPr="00CE427E">
        <w:rPr>
          <w:rFonts w:eastAsia="Calibri"/>
          <w:color w:val="000000"/>
          <w:szCs w:val="22"/>
        </w:rPr>
        <w:t>trastuzumab</w:t>
      </w:r>
      <w:r w:rsidRPr="00CE427E">
        <w:rPr>
          <w:rFonts w:eastAsia="Calibri"/>
          <w:color w:val="000000"/>
          <w:szCs w:val="22"/>
        </w:rPr>
        <w:t xml:space="preserve"> alone or in combination with chemotherapy in pivotal clinical </w:t>
      </w:r>
      <w:r w:rsidR="004A5EE5">
        <w:rPr>
          <w:rFonts w:eastAsia="Calibri"/>
          <w:color w:val="000000"/>
          <w:szCs w:val="22"/>
        </w:rPr>
        <w:t>studie</w:t>
      </w:r>
      <w:r w:rsidRPr="00CE427E">
        <w:rPr>
          <w:rFonts w:eastAsia="Calibri"/>
          <w:color w:val="000000"/>
          <w:szCs w:val="22"/>
        </w:rPr>
        <w:t>s and in the post</w:t>
      </w:r>
      <w:r w:rsidRPr="00CE427E">
        <w:rPr>
          <w:rFonts w:eastAsia="Calibri"/>
          <w:color w:val="000000"/>
          <w:szCs w:val="22"/>
        </w:rPr>
        <w:noBreakHyphen/>
        <w:t>marketing setting.</w:t>
      </w:r>
    </w:p>
    <w:p w14:paraId="2EB03966" w14:textId="77777777" w:rsidR="00BD59F2" w:rsidRPr="00CE427E" w:rsidRDefault="00BD59F2" w:rsidP="006128F6">
      <w:pPr>
        <w:tabs>
          <w:tab w:val="clear" w:pos="567"/>
        </w:tabs>
        <w:autoSpaceDE w:val="0"/>
        <w:autoSpaceDN w:val="0"/>
        <w:adjustRightInd w:val="0"/>
        <w:spacing w:line="240" w:lineRule="auto"/>
        <w:rPr>
          <w:rFonts w:eastAsia="Calibri"/>
          <w:color w:val="000000"/>
          <w:szCs w:val="22"/>
        </w:rPr>
      </w:pPr>
    </w:p>
    <w:p w14:paraId="14A18BED" w14:textId="2A929824" w:rsidR="00261EB1" w:rsidRPr="00500A35" w:rsidRDefault="00BD59F2" w:rsidP="005477BB">
      <w:pPr>
        <w:spacing w:line="240" w:lineRule="auto"/>
      </w:pPr>
      <w:r w:rsidRPr="00CE427E">
        <w:rPr>
          <w:rFonts w:eastAsia="Calibri"/>
          <w:color w:val="000000"/>
          <w:szCs w:val="22"/>
        </w:rPr>
        <w:t xml:space="preserve">All the terms included are based on the highest percentage seen in pivotal clinical </w:t>
      </w:r>
      <w:r w:rsidR="004A5EE5">
        <w:rPr>
          <w:rFonts w:eastAsia="Calibri"/>
          <w:color w:val="000000"/>
          <w:szCs w:val="22"/>
        </w:rPr>
        <w:t>studie</w:t>
      </w:r>
      <w:r w:rsidRPr="00CE427E">
        <w:rPr>
          <w:rFonts w:eastAsia="Calibri"/>
          <w:color w:val="000000"/>
          <w:szCs w:val="22"/>
        </w:rPr>
        <w:t>s</w:t>
      </w:r>
      <w:r w:rsidR="00261EB1" w:rsidRPr="00CE427E">
        <w:rPr>
          <w:rFonts w:eastAsia="Calibri"/>
          <w:color w:val="000000"/>
          <w:szCs w:val="22"/>
        </w:rPr>
        <w:t xml:space="preserve">. </w:t>
      </w:r>
      <w:r w:rsidR="00261EB1" w:rsidRPr="00E60730">
        <w:t>In addition, terms reported in the post</w:t>
      </w:r>
      <w:r w:rsidR="009613B4">
        <w:t>-</w:t>
      </w:r>
      <w:r w:rsidR="00261EB1" w:rsidRPr="00E60730">
        <w:t>marketing setting are included in Table 1.</w:t>
      </w:r>
      <w:r w:rsidR="00261EB1">
        <w:t xml:space="preserve"> </w:t>
      </w:r>
    </w:p>
    <w:p w14:paraId="67A9631B" w14:textId="77777777" w:rsidR="00DA1933" w:rsidRPr="00CE427E" w:rsidRDefault="00DA1933" w:rsidP="006128F6">
      <w:pPr>
        <w:tabs>
          <w:tab w:val="clear" w:pos="567"/>
        </w:tabs>
        <w:autoSpaceDE w:val="0"/>
        <w:autoSpaceDN w:val="0"/>
        <w:adjustRightInd w:val="0"/>
        <w:spacing w:line="240" w:lineRule="auto"/>
        <w:rPr>
          <w:rFonts w:eastAsia="Calibri"/>
          <w:color w:val="000000"/>
          <w:szCs w:val="22"/>
        </w:rPr>
      </w:pPr>
    </w:p>
    <w:p w14:paraId="46AF20AD" w14:textId="35A3838D" w:rsidR="00DA1933" w:rsidRPr="00CE427E" w:rsidRDefault="00DA1933" w:rsidP="006128F6">
      <w:pPr>
        <w:keepNext/>
        <w:keepLines/>
        <w:tabs>
          <w:tab w:val="clear" w:pos="567"/>
        </w:tabs>
        <w:autoSpaceDE w:val="0"/>
        <w:autoSpaceDN w:val="0"/>
        <w:adjustRightInd w:val="0"/>
        <w:spacing w:line="240" w:lineRule="auto"/>
        <w:rPr>
          <w:rFonts w:eastAsia="Calibri"/>
          <w:b/>
          <w:color w:val="000000"/>
          <w:szCs w:val="22"/>
        </w:rPr>
      </w:pPr>
      <w:r w:rsidRPr="00CE427E">
        <w:rPr>
          <w:rFonts w:eastAsia="Calibri"/>
          <w:b/>
          <w:color w:val="000000"/>
          <w:szCs w:val="22"/>
        </w:rPr>
        <w:t xml:space="preserve">Table 1 Undesirable effects reported with intravenous </w:t>
      </w:r>
      <w:r w:rsidR="003F2973" w:rsidRPr="00CE427E">
        <w:rPr>
          <w:rFonts w:eastAsia="Calibri"/>
          <w:b/>
          <w:color w:val="000000"/>
          <w:szCs w:val="22"/>
        </w:rPr>
        <w:t xml:space="preserve">trastuzumab </w:t>
      </w:r>
      <w:r w:rsidRPr="00CE427E">
        <w:rPr>
          <w:rFonts w:eastAsia="Calibri"/>
          <w:b/>
          <w:color w:val="000000"/>
          <w:szCs w:val="22"/>
        </w:rPr>
        <w:t xml:space="preserve">monotherapy or in combination with chemotherapy in pivotal clinical </w:t>
      </w:r>
      <w:r w:rsidR="004A5EE5">
        <w:rPr>
          <w:rFonts w:eastAsia="Calibri"/>
          <w:b/>
          <w:color w:val="000000"/>
          <w:szCs w:val="22"/>
        </w:rPr>
        <w:t>studie</w:t>
      </w:r>
      <w:r w:rsidRPr="00CE427E">
        <w:rPr>
          <w:rFonts w:eastAsia="Calibri"/>
          <w:b/>
          <w:color w:val="000000"/>
          <w:szCs w:val="22"/>
        </w:rPr>
        <w:t xml:space="preserve">s </w:t>
      </w:r>
      <w:r w:rsidR="004E2671" w:rsidRPr="00CE427E">
        <w:rPr>
          <w:rFonts w:eastAsia="Calibri"/>
          <w:b/>
          <w:color w:val="000000"/>
          <w:szCs w:val="22"/>
        </w:rPr>
        <w:t>(N = 8</w:t>
      </w:r>
      <w:r w:rsidR="00C0753A">
        <w:rPr>
          <w:rFonts w:eastAsia="Calibri"/>
          <w:b/>
          <w:color w:val="000000"/>
          <w:szCs w:val="22"/>
        </w:rPr>
        <w:t> </w:t>
      </w:r>
      <w:r w:rsidR="004E2671" w:rsidRPr="00CE427E">
        <w:rPr>
          <w:rFonts w:eastAsia="Calibri"/>
          <w:b/>
          <w:color w:val="000000"/>
          <w:szCs w:val="22"/>
        </w:rPr>
        <w:t xml:space="preserve">386) </w:t>
      </w:r>
      <w:r w:rsidRPr="00CE427E">
        <w:rPr>
          <w:rFonts w:eastAsia="Calibri"/>
          <w:b/>
          <w:color w:val="000000"/>
          <w:szCs w:val="22"/>
        </w:rPr>
        <w:t>and in post</w:t>
      </w:r>
      <w:r w:rsidRPr="00CE427E">
        <w:rPr>
          <w:rFonts w:eastAsia="Calibri"/>
          <w:b/>
          <w:color w:val="000000"/>
          <w:szCs w:val="22"/>
        </w:rPr>
        <w:noBreakHyphen/>
        <w:t>marketing</w:t>
      </w:r>
    </w:p>
    <w:p w14:paraId="47856962" w14:textId="77777777" w:rsidR="00BD59F2" w:rsidRPr="00CE427E" w:rsidRDefault="00BD59F2" w:rsidP="006128F6">
      <w:pPr>
        <w:keepNext/>
        <w:keepLines/>
        <w:tabs>
          <w:tab w:val="clear" w:pos="567"/>
        </w:tabs>
        <w:autoSpaceDE w:val="0"/>
        <w:autoSpaceDN w:val="0"/>
        <w:adjustRightInd w:val="0"/>
        <w:spacing w:line="240" w:lineRule="auto"/>
        <w:rPr>
          <w:rFonts w:eastAsia="Calibri"/>
          <w:color w:val="00000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3338"/>
        <w:gridCol w:w="2643"/>
      </w:tblGrid>
      <w:tr w:rsidR="001C1284" w:rsidRPr="006128F6" w14:paraId="4D2C3DAB" w14:textId="77777777" w:rsidTr="00081416">
        <w:trPr>
          <w:cantSplit/>
          <w:tblHeader/>
        </w:trPr>
        <w:tc>
          <w:tcPr>
            <w:tcW w:w="1780" w:type="pct"/>
            <w:tcBorders>
              <w:bottom w:val="single" w:sz="4" w:space="0" w:color="auto"/>
            </w:tcBorders>
            <w:shd w:val="clear" w:color="auto" w:fill="auto"/>
          </w:tcPr>
          <w:p w14:paraId="6428BAF4" w14:textId="77777777" w:rsidR="001C1284" w:rsidRPr="006128F6" w:rsidRDefault="001C1284" w:rsidP="006128F6">
            <w:pPr>
              <w:keepNext/>
              <w:keepLines/>
              <w:spacing w:line="240" w:lineRule="auto"/>
              <w:rPr>
                <w:b/>
                <w:szCs w:val="22"/>
              </w:rPr>
            </w:pPr>
            <w:r w:rsidRPr="006128F6">
              <w:rPr>
                <w:b/>
                <w:bCs/>
              </w:rPr>
              <w:t>System organ class</w:t>
            </w:r>
          </w:p>
        </w:tc>
        <w:tc>
          <w:tcPr>
            <w:tcW w:w="1797" w:type="pct"/>
            <w:shd w:val="clear" w:color="auto" w:fill="auto"/>
          </w:tcPr>
          <w:p w14:paraId="09990121" w14:textId="77777777" w:rsidR="001C1284" w:rsidRPr="006128F6" w:rsidRDefault="001C1284" w:rsidP="006128F6">
            <w:pPr>
              <w:keepNext/>
              <w:keepLines/>
              <w:spacing w:line="240" w:lineRule="auto"/>
              <w:rPr>
                <w:b/>
                <w:szCs w:val="22"/>
              </w:rPr>
            </w:pPr>
            <w:r w:rsidRPr="006128F6">
              <w:rPr>
                <w:b/>
                <w:bCs/>
              </w:rPr>
              <w:t>Adverse reaction</w:t>
            </w:r>
          </w:p>
        </w:tc>
        <w:tc>
          <w:tcPr>
            <w:tcW w:w="1423" w:type="pct"/>
            <w:shd w:val="clear" w:color="auto" w:fill="auto"/>
          </w:tcPr>
          <w:p w14:paraId="4DCD0456" w14:textId="77777777" w:rsidR="001C1284" w:rsidRPr="006128F6" w:rsidRDefault="001C1284" w:rsidP="006128F6">
            <w:pPr>
              <w:keepNext/>
              <w:keepLines/>
              <w:spacing w:line="240" w:lineRule="auto"/>
              <w:rPr>
                <w:b/>
                <w:szCs w:val="22"/>
              </w:rPr>
            </w:pPr>
            <w:r w:rsidRPr="006128F6">
              <w:rPr>
                <w:b/>
                <w:bCs/>
              </w:rPr>
              <w:t>Frequency</w:t>
            </w:r>
          </w:p>
        </w:tc>
      </w:tr>
      <w:tr w:rsidR="00EB1543" w:rsidRPr="006128F6" w14:paraId="67D529D5" w14:textId="77777777" w:rsidTr="00770275">
        <w:trPr>
          <w:cantSplit/>
        </w:trPr>
        <w:tc>
          <w:tcPr>
            <w:tcW w:w="1780" w:type="pct"/>
            <w:vMerge w:val="restart"/>
            <w:tcBorders>
              <w:top w:val="single" w:sz="4" w:space="0" w:color="auto"/>
              <w:left w:val="single" w:sz="4" w:space="0" w:color="auto"/>
              <w:right w:val="single" w:sz="4" w:space="0" w:color="auto"/>
            </w:tcBorders>
            <w:shd w:val="clear" w:color="auto" w:fill="auto"/>
          </w:tcPr>
          <w:p w14:paraId="3546AE93" w14:textId="77777777" w:rsidR="00EB1543" w:rsidRPr="006128F6" w:rsidRDefault="00EB1543" w:rsidP="006128F6">
            <w:pPr>
              <w:keepNext/>
              <w:keepLines/>
              <w:spacing w:line="240" w:lineRule="auto"/>
              <w:rPr>
                <w:szCs w:val="22"/>
              </w:rPr>
            </w:pPr>
            <w:r w:rsidRPr="006128F6">
              <w:rPr>
                <w:szCs w:val="22"/>
              </w:rPr>
              <w:t>Infections and infestations</w:t>
            </w:r>
          </w:p>
        </w:tc>
        <w:tc>
          <w:tcPr>
            <w:tcW w:w="1797" w:type="pct"/>
            <w:tcBorders>
              <w:left w:val="single" w:sz="4" w:space="0" w:color="auto"/>
            </w:tcBorders>
            <w:shd w:val="clear" w:color="auto" w:fill="auto"/>
            <w:vAlign w:val="bottom"/>
          </w:tcPr>
          <w:p w14:paraId="73A414FE" w14:textId="77777777" w:rsidR="00EB1543" w:rsidRPr="006128F6" w:rsidRDefault="00EB1543" w:rsidP="006128F6">
            <w:pPr>
              <w:keepNext/>
              <w:keepLines/>
              <w:spacing w:line="240" w:lineRule="auto"/>
              <w:rPr>
                <w:color w:val="000000"/>
                <w:lang w:eastAsia="en-GB"/>
              </w:rPr>
            </w:pPr>
            <w:r w:rsidRPr="006128F6">
              <w:rPr>
                <w:color w:val="000000"/>
                <w:lang w:eastAsia="en-GB"/>
              </w:rPr>
              <w:t xml:space="preserve">Infection </w:t>
            </w:r>
          </w:p>
        </w:tc>
        <w:tc>
          <w:tcPr>
            <w:tcW w:w="1423" w:type="pct"/>
            <w:shd w:val="clear" w:color="auto" w:fill="auto"/>
          </w:tcPr>
          <w:p w14:paraId="78C63B12" w14:textId="77777777" w:rsidR="00EB1543" w:rsidRPr="006128F6" w:rsidRDefault="00EB1543" w:rsidP="006128F6">
            <w:pPr>
              <w:keepNext/>
              <w:keepLines/>
              <w:spacing w:line="240" w:lineRule="auto"/>
              <w:rPr>
                <w:color w:val="000000"/>
                <w:lang w:eastAsia="en-GB"/>
              </w:rPr>
            </w:pPr>
            <w:r w:rsidRPr="006128F6">
              <w:rPr>
                <w:color w:val="000000"/>
                <w:lang w:eastAsia="en-GB"/>
              </w:rPr>
              <w:t xml:space="preserve">Very common </w:t>
            </w:r>
          </w:p>
        </w:tc>
      </w:tr>
      <w:tr w:rsidR="00EB1543" w:rsidRPr="006128F6" w14:paraId="5BD5389C" w14:textId="77777777" w:rsidTr="00770275">
        <w:trPr>
          <w:cantSplit/>
        </w:trPr>
        <w:tc>
          <w:tcPr>
            <w:tcW w:w="1780" w:type="pct"/>
            <w:vMerge/>
            <w:tcBorders>
              <w:left w:val="single" w:sz="4" w:space="0" w:color="auto"/>
              <w:right w:val="single" w:sz="4" w:space="0" w:color="auto"/>
            </w:tcBorders>
            <w:shd w:val="clear" w:color="auto" w:fill="auto"/>
          </w:tcPr>
          <w:p w14:paraId="77B2B9CD" w14:textId="77777777" w:rsidR="00EB1543" w:rsidRPr="006128F6" w:rsidRDefault="00EB1543" w:rsidP="006128F6">
            <w:pPr>
              <w:keepNext/>
              <w:keepLines/>
              <w:spacing w:line="240" w:lineRule="auto"/>
              <w:rPr>
                <w:szCs w:val="22"/>
              </w:rPr>
            </w:pPr>
          </w:p>
        </w:tc>
        <w:tc>
          <w:tcPr>
            <w:tcW w:w="1797" w:type="pct"/>
            <w:tcBorders>
              <w:left w:val="single" w:sz="4" w:space="0" w:color="auto"/>
            </w:tcBorders>
            <w:shd w:val="clear" w:color="auto" w:fill="auto"/>
            <w:vAlign w:val="bottom"/>
          </w:tcPr>
          <w:p w14:paraId="1E8EDD1E" w14:textId="77777777" w:rsidR="00EB1543" w:rsidRPr="006128F6" w:rsidRDefault="00EB1543" w:rsidP="006128F6">
            <w:pPr>
              <w:keepNext/>
              <w:keepLines/>
              <w:spacing w:line="240" w:lineRule="auto"/>
              <w:rPr>
                <w:color w:val="000000"/>
                <w:lang w:eastAsia="en-GB"/>
              </w:rPr>
            </w:pPr>
            <w:r w:rsidRPr="006128F6">
              <w:rPr>
                <w:color w:val="000000"/>
                <w:lang w:eastAsia="en-GB"/>
              </w:rPr>
              <w:t xml:space="preserve">Nasopharyngitis </w:t>
            </w:r>
          </w:p>
        </w:tc>
        <w:tc>
          <w:tcPr>
            <w:tcW w:w="1423" w:type="pct"/>
            <w:shd w:val="clear" w:color="auto" w:fill="auto"/>
          </w:tcPr>
          <w:p w14:paraId="69C59440" w14:textId="77777777" w:rsidR="00EB1543" w:rsidRPr="006128F6" w:rsidRDefault="00EB1543" w:rsidP="006128F6">
            <w:pPr>
              <w:keepNext/>
              <w:keepLines/>
              <w:spacing w:line="240" w:lineRule="auto"/>
              <w:rPr>
                <w:color w:val="000000"/>
                <w:lang w:eastAsia="en-GB"/>
              </w:rPr>
            </w:pPr>
            <w:r w:rsidRPr="006128F6">
              <w:rPr>
                <w:color w:val="000000"/>
                <w:lang w:eastAsia="en-GB"/>
              </w:rPr>
              <w:t xml:space="preserve">Very common </w:t>
            </w:r>
          </w:p>
        </w:tc>
      </w:tr>
      <w:tr w:rsidR="00EB1543" w:rsidRPr="006128F6" w14:paraId="6FA871D1" w14:textId="77777777" w:rsidTr="00770275">
        <w:trPr>
          <w:cantSplit/>
        </w:trPr>
        <w:tc>
          <w:tcPr>
            <w:tcW w:w="1780" w:type="pct"/>
            <w:vMerge/>
            <w:tcBorders>
              <w:left w:val="single" w:sz="4" w:space="0" w:color="auto"/>
              <w:right w:val="single" w:sz="4" w:space="0" w:color="auto"/>
            </w:tcBorders>
            <w:shd w:val="clear" w:color="auto" w:fill="auto"/>
          </w:tcPr>
          <w:p w14:paraId="1DE99EF4" w14:textId="77777777" w:rsidR="00EB1543" w:rsidRPr="006128F6" w:rsidRDefault="00EB1543" w:rsidP="006128F6">
            <w:pPr>
              <w:keepNext/>
              <w:keepLines/>
              <w:spacing w:line="240" w:lineRule="auto"/>
              <w:rPr>
                <w:szCs w:val="22"/>
              </w:rPr>
            </w:pPr>
          </w:p>
        </w:tc>
        <w:tc>
          <w:tcPr>
            <w:tcW w:w="1797" w:type="pct"/>
            <w:tcBorders>
              <w:left w:val="single" w:sz="4" w:space="0" w:color="auto"/>
            </w:tcBorders>
            <w:shd w:val="clear" w:color="auto" w:fill="auto"/>
            <w:vAlign w:val="bottom"/>
          </w:tcPr>
          <w:p w14:paraId="2683A7CC" w14:textId="77777777" w:rsidR="00EB1543" w:rsidRPr="006128F6" w:rsidRDefault="00EB1543" w:rsidP="006128F6">
            <w:pPr>
              <w:keepNext/>
              <w:keepLines/>
              <w:spacing w:line="240" w:lineRule="auto"/>
              <w:rPr>
                <w:color w:val="000000"/>
                <w:lang w:eastAsia="en-GB"/>
              </w:rPr>
            </w:pPr>
            <w:r w:rsidRPr="006128F6">
              <w:rPr>
                <w:color w:val="000000"/>
                <w:lang w:eastAsia="en-GB"/>
              </w:rPr>
              <w:t xml:space="preserve">Neutropenic sepsis </w:t>
            </w:r>
          </w:p>
        </w:tc>
        <w:tc>
          <w:tcPr>
            <w:tcW w:w="1423" w:type="pct"/>
            <w:shd w:val="clear" w:color="auto" w:fill="auto"/>
          </w:tcPr>
          <w:p w14:paraId="23C8F695" w14:textId="77777777" w:rsidR="00EB1543" w:rsidRPr="006128F6" w:rsidRDefault="00EB1543" w:rsidP="006128F6">
            <w:pPr>
              <w:keepNext/>
              <w:keepLines/>
              <w:spacing w:line="240" w:lineRule="auto"/>
              <w:rPr>
                <w:color w:val="000000"/>
                <w:lang w:eastAsia="en-GB"/>
              </w:rPr>
            </w:pPr>
            <w:r w:rsidRPr="006128F6">
              <w:rPr>
                <w:color w:val="000000"/>
                <w:lang w:eastAsia="en-GB"/>
              </w:rPr>
              <w:t xml:space="preserve">Common </w:t>
            </w:r>
          </w:p>
        </w:tc>
      </w:tr>
      <w:tr w:rsidR="00EB1543" w:rsidRPr="006128F6" w14:paraId="39402A47" w14:textId="77777777" w:rsidTr="00770275">
        <w:trPr>
          <w:cantSplit/>
        </w:trPr>
        <w:tc>
          <w:tcPr>
            <w:tcW w:w="1780" w:type="pct"/>
            <w:vMerge/>
            <w:tcBorders>
              <w:left w:val="single" w:sz="4" w:space="0" w:color="auto"/>
              <w:right w:val="single" w:sz="4" w:space="0" w:color="auto"/>
            </w:tcBorders>
            <w:shd w:val="clear" w:color="auto" w:fill="auto"/>
          </w:tcPr>
          <w:p w14:paraId="2C2347E7" w14:textId="77777777" w:rsidR="00EB1543" w:rsidRPr="006128F6" w:rsidRDefault="00EB1543" w:rsidP="006128F6">
            <w:pPr>
              <w:keepNext/>
              <w:keepLines/>
              <w:spacing w:line="240" w:lineRule="auto"/>
              <w:rPr>
                <w:szCs w:val="22"/>
              </w:rPr>
            </w:pPr>
          </w:p>
        </w:tc>
        <w:tc>
          <w:tcPr>
            <w:tcW w:w="1797" w:type="pct"/>
            <w:tcBorders>
              <w:left w:val="single" w:sz="4" w:space="0" w:color="auto"/>
            </w:tcBorders>
            <w:shd w:val="clear" w:color="auto" w:fill="auto"/>
            <w:vAlign w:val="bottom"/>
          </w:tcPr>
          <w:p w14:paraId="608A2ED3" w14:textId="77777777" w:rsidR="00EB1543" w:rsidRPr="006128F6" w:rsidRDefault="00EB1543" w:rsidP="006128F6">
            <w:pPr>
              <w:keepNext/>
              <w:keepLines/>
              <w:spacing w:line="240" w:lineRule="auto"/>
              <w:rPr>
                <w:color w:val="000000"/>
                <w:lang w:eastAsia="en-GB"/>
              </w:rPr>
            </w:pPr>
            <w:r w:rsidRPr="006128F6">
              <w:rPr>
                <w:color w:val="000000"/>
                <w:lang w:eastAsia="en-GB"/>
              </w:rPr>
              <w:t xml:space="preserve">Cystitis </w:t>
            </w:r>
          </w:p>
        </w:tc>
        <w:tc>
          <w:tcPr>
            <w:tcW w:w="1423" w:type="pct"/>
            <w:shd w:val="clear" w:color="auto" w:fill="auto"/>
          </w:tcPr>
          <w:p w14:paraId="3033408D" w14:textId="77777777" w:rsidR="00EB1543" w:rsidRPr="006128F6" w:rsidRDefault="00EB1543" w:rsidP="006128F6">
            <w:pPr>
              <w:keepNext/>
              <w:keepLines/>
              <w:spacing w:line="240" w:lineRule="auto"/>
              <w:rPr>
                <w:color w:val="000000"/>
                <w:lang w:eastAsia="en-GB"/>
              </w:rPr>
            </w:pPr>
            <w:r w:rsidRPr="006128F6">
              <w:rPr>
                <w:color w:val="000000"/>
                <w:lang w:eastAsia="en-GB"/>
              </w:rPr>
              <w:t xml:space="preserve">Common </w:t>
            </w:r>
          </w:p>
        </w:tc>
      </w:tr>
      <w:tr w:rsidR="00EB1543" w:rsidRPr="006128F6" w14:paraId="10F299AF" w14:textId="77777777" w:rsidTr="00770275">
        <w:trPr>
          <w:cantSplit/>
        </w:trPr>
        <w:tc>
          <w:tcPr>
            <w:tcW w:w="1780" w:type="pct"/>
            <w:vMerge/>
            <w:tcBorders>
              <w:left w:val="single" w:sz="4" w:space="0" w:color="auto"/>
              <w:right w:val="single" w:sz="4" w:space="0" w:color="auto"/>
            </w:tcBorders>
            <w:shd w:val="clear" w:color="auto" w:fill="auto"/>
          </w:tcPr>
          <w:p w14:paraId="52DE41AA" w14:textId="77777777" w:rsidR="00EB1543" w:rsidRPr="006128F6" w:rsidRDefault="00EB1543" w:rsidP="006128F6">
            <w:pPr>
              <w:keepNext/>
              <w:keepLines/>
              <w:spacing w:line="240" w:lineRule="auto"/>
              <w:rPr>
                <w:szCs w:val="22"/>
              </w:rPr>
            </w:pPr>
          </w:p>
        </w:tc>
        <w:tc>
          <w:tcPr>
            <w:tcW w:w="1797" w:type="pct"/>
            <w:tcBorders>
              <w:left w:val="single" w:sz="4" w:space="0" w:color="auto"/>
            </w:tcBorders>
            <w:shd w:val="clear" w:color="auto" w:fill="auto"/>
            <w:vAlign w:val="bottom"/>
          </w:tcPr>
          <w:p w14:paraId="3389FA6A" w14:textId="77777777" w:rsidR="00EB1543" w:rsidRPr="006128F6" w:rsidRDefault="00EB1543" w:rsidP="006128F6">
            <w:pPr>
              <w:keepNext/>
              <w:keepLines/>
              <w:spacing w:line="240" w:lineRule="auto"/>
              <w:rPr>
                <w:color w:val="000000"/>
                <w:lang w:eastAsia="en-GB"/>
              </w:rPr>
            </w:pPr>
            <w:r w:rsidRPr="006128F6">
              <w:rPr>
                <w:color w:val="000000"/>
                <w:lang w:eastAsia="en-GB"/>
              </w:rPr>
              <w:t xml:space="preserve">Influenza </w:t>
            </w:r>
          </w:p>
        </w:tc>
        <w:tc>
          <w:tcPr>
            <w:tcW w:w="1423" w:type="pct"/>
            <w:shd w:val="clear" w:color="auto" w:fill="auto"/>
          </w:tcPr>
          <w:p w14:paraId="4F587E50" w14:textId="77777777" w:rsidR="00EB1543" w:rsidRPr="006128F6" w:rsidRDefault="00EB1543" w:rsidP="006128F6">
            <w:pPr>
              <w:keepNext/>
              <w:keepLines/>
              <w:spacing w:line="240" w:lineRule="auto"/>
              <w:rPr>
                <w:color w:val="000000"/>
                <w:lang w:eastAsia="en-GB"/>
              </w:rPr>
            </w:pPr>
            <w:r w:rsidRPr="006128F6">
              <w:rPr>
                <w:color w:val="000000"/>
                <w:lang w:eastAsia="en-GB"/>
              </w:rPr>
              <w:t xml:space="preserve">Common </w:t>
            </w:r>
          </w:p>
        </w:tc>
      </w:tr>
      <w:tr w:rsidR="00EB1543" w:rsidRPr="006128F6" w14:paraId="2EE32B6C" w14:textId="77777777" w:rsidTr="00770275">
        <w:trPr>
          <w:cantSplit/>
        </w:trPr>
        <w:tc>
          <w:tcPr>
            <w:tcW w:w="1780" w:type="pct"/>
            <w:vMerge/>
            <w:tcBorders>
              <w:left w:val="single" w:sz="4" w:space="0" w:color="auto"/>
              <w:right w:val="single" w:sz="4" w:space="0" w:color="auto"/>
            </w:tcBorders>
            <w:shd w:val="clear" w:color="auto" w:fill="auto"/>
          </w:tcPr>
          <w:p w14:paraId="45FE8127" w14:textId="77777777" w:rsidR="00EB1543" w:rsidRPr="006128F6" w:rsidRDefault="00EB1543" w:rsidP="006128F6">
            <w:pPr>
              <w:spacing w:line="240" w:lineRule="auto"/>
              <w:rPr>
                <w:szCs w:val="22"/>
              </w:rPr>
            </w:pPr>
          </w:p>
        </w:tc>
        <w:tc>
          <w:tcPr>
            <w:tcW w:w="1797" w:type="pct"/>
            <w:tcBorders>
              <w:left w:val="single" w:sz="4" w:space="0" w:color="auto"/>
            </w:tcBorders>
            <w:shd w:val="clear" w:color="auto" w:fill="auto"/>
            <w:vAlign w:val="bottom"/>
          </w:tcPr>
          <w:p w14:paraId="4FAD7FF2" w14:textId="77777777" w:rsidR="00EB1543" w:rsidRPr="006128F6" w:rsidRDefault="00EB1543" w:rsidP="006128F6">
            <w:pPr>
              <w:spacing w:line="240" w:lineRule="auto"/>
              <w:rPr>
                <w:color w:val="000000"/>
                <w:lang w:eastAsia="en-GB"/>
              </w:rPr>
            </w:pPr>
            <w:r w:rsidRPr="006128F6">
              <w:rPr>
                <w:color w:val="000000"/>
                <w:lang w:eastAsia="en-GB"/>
              </w:rPr>
              <w:t xml:space="preserve">Sinusitis </w:t>
            </w:r>
          </w:p>
        </w:tc>
        <w:tc>
          <w:tcPr>
            <w:tcW w:w="1423" w:type="pct"/>
            <w:shd w:val="clear" w:color="auto" w:fill="auto"/>
          </w:tcPr>
          <w:p w14:paraId="4E124B64" w14:textId="77777777" w:rsidR="00EB1543" w:rsidRPr="006128F6" w:rsidRDefault="00EB1543" w:rsidP="006128F6">
            <w:pPr>
              <w:spacing w:line="240" w:lineRule="auto"/>
              <w:rPr>
                <w:color w:val="000000"/>
                <w:lang w:eastAsia="en-GB"/>
              </w:rPr>
            </w:pPr>
            <w:r w:rsidRPr="006128F6">
              <w:rPr>
                <w:color w:val="000000"/>
                <w:lang w:eastAsia="en-GB"/>
              </w:rPr>
              <w:t xml:space="preserve">Common </w:t>
            </w:r>
          </w:p>
        </w:tc>
      </w:tr>
      <w:tr w:rsidR="00EB1543" w:rsidRPr="006128F6" w14:paraId="38B6C065" w14:textId="77777777" w:rsidTr="00770275">
        <w:trPr>
          <w:cantSplit/>
        </w:trPr>
        <w:tc>
          <w:tcPr>
            <w:tcW w:w="1780" w:type="pct"/>
            <w:vMerge/>
            <w:tcBorders>
              <w:left w:val="single" w:sz="4" w:space="0" w:color="auto"/>
              <w:right w:val="single" w:sz="4" w:space="0" w:color="auto"/>
            </w:tcBorders>
            <w:shd w:val="clear" w:color="auto" w:fill="auto"/>
          </w:tcPr>
          <w:p w14:paraId="5C059DE2" w14:textId="77777777" w:rsidR="00EB1543" w:rsidRPr="006128F6" w:rsidRDefault="00EB1543" w:rsidP="006128F6">
            <w:pPr>
              <w:spacing w:line="240" w:lineRule="auto"/>
              <w:rPr>
                <w:szCs w:val="22"/>
              </w:rPr>
            </w:pPr>
          </w:p>
        </w:tc>
        <w:tc>
          <w:tcPr>
            <w:tcW w:w="1797" w:type="pct"/>
            <w:tcBorders>
              <w:left w:val="single" w:sz="4" w:space="0" w:color="auto"/>
            </w:tcBorders>
            <w:shd w:val="clear" w:color="auto" w:fill="auto"/>
            <w:vAlign w:val="bottom"/>
          </w:tcPr>
          <w:p w14:paraId="5E86C429" w14:textId="77777777" w:rsidR="00EB1543" w:rsidRPr="006128F6" w:rsidRDefault="00EB1543" w:rsidP="006128F6">
            <w:pPr>
              <w:spacing w:line="240" w:lineRule="auto"/>
              <w:rPr>
                <w:color w:val="000000"/>
                <w:lang w:eastAsia="en-GB"/>
              </w:rPr>
            </w:pPr>
            <w:r w:rsidRPr="006128F6">
              <w:rPr>
                <w:color w:val="000000"/>
                <w:lang w:eastAsia="en-GB"/>
              </w:rPr>
              <w:t xml:space="preserve">Skin infection </w:t>
            </w:r>
          </w:p>
        </w:tc>
        <w:tc>
          <w:tcPr>
            <w:tcW w:w="1423" w:type="pct"/>
            <w:shd w:val="clear" w:color="auto" w:fill="auto"/>
          </w:tcPr>
          <w:p w14:paraId="732049A9" w14:textId="77777777" w:rsidR="00EB1543" w:rsidRPr="006128F6" w:rsidRDefault="00EB1543" w:rsidP="006128F6">
            <w:pPr>
              <w:spacing w:line="240" w:lineRule="auto"/>
              <w:rPr>
                <w:color w:val="000000"/>
                <w:lang w:eastAsia="en-GB"/>
              </w:rPr>
            </w:pPr>
            <w:r w:rsidRPr="006128F6">
              <w:rPr>
                <w:color w:val="000000"/>
                <w:lang w:eastAsia="en-GB"/>
              </w:rPr>
              <w:t xml:space="preserve">Common </w:t>
            </w:r>
          </w:p>
        </w:tc>
      </w:tr>
      <w:tr w:rsidR="00EB1543" w:rsidRPr="006128F6" w14:paraId="5970F66C" w14:textId="77777777" w:rsidTr="00770275">
        <w:trPr>
          <w:cantSplit/>
        </w:trPr>
        <w:tc>
          <w:tcPr>
            <w:tcW w:w="1780" w:type="pct"/>
            <w:vMerge/>
            <w:tcBorders>
              <w:left w:val="single" w:sz="4" w:space="0" w:color="auto"/>
              <w:right w:val="single" w:sz="4" w:space="0" w:color="auto"/>
            </w:tcBorders>
            <w:shd w:val="clear" w:color="auto" w:fill="auto"/>
          </w:tcPr>
          <w:p w14:paraId="55FFC106" w14:textId="77777777" w:rsidR="00EB1543" w:rsidRPr="006128F6" w:rsidRDefault="00EB1543" w:rsidP="006128F6">
            <w:pPr>
              <w:spacing w:line="240" w:lineRule="auto"/>
              <w:rPr>
                <w:szCs w:val="22"/>
              </w:rPr>
            </w:pPr>
          </w:p>
        </w:tc>
        <w:tc>
          <w:tcPr>
            <w:tcW w:w="1797" w:type="pct"/>
            <w:tcBorders>
              <w:left w:val="single" w:sz="4" w:space="0" w:color="auto"/>
            </w:tcBorders>
            <w:shd w:val="clear" w:color="auto" w:fill="auto"/>
            <w:vAlign w:val="bottom"/>
          </w:tcPr>
          <w:p w14:paraId="4F9CF751" w14:textId="77777777" w:rsidR="00EB1543" w:rsidRPr="006128F6" w:rsidRDefault="00EB1543" w:rsidP="006128F6">
            <w:pPr>
              <w:spacing w:line="240" w:lineRule="auto"/>
              <w:rPr>
                <w:color w:val="000000"/>
                <w:lang w:eastAsia="en-GB"/>
              </w:rPr>
            </w:pPr>
            <w:r w:rsidRPr="006128F6">
              <w:rPr>
                <w:color w:val="000000"/>
                <w:lang w:eastAsia="en-GB"/>
              </w:rPr>
              <w:t xml:space="preserve">Rhinitis </w:t>
            </w:r>
          </w:p>
        </w:tc>
        <w:tc>
          <w:tcPr>
            <w:tcW w:w="1423" w:type="pct"/>
            <w:shd w:val="clear" w:color="auto" w:fill="auto"/>
          </w:tcPr>
          <w:p w14:paraId="53C8CD18" w14:textId="77777777" w:rsidR="00EB1543" w:rsidRPr="006128F6" w:rsidRDefault="00EB1543" w:rsidP="006128F6">
            <w:pPr>
              <w:spacing w:line="240" w:lineRule="auto"/>
              <w:rPr>
                <w:color w:val="000000"/>
                <w:lang w:eastAsia="en-GB"/>
              </w:rPr>
            </w:pPr>
            <w:r w:rsidRPr="006128F6">
              <w:rPr>
                <w:color w:val="000000"/>
                <w:lang w:eastAsia="en-GB"/>
              </w:rPr>
              <w:t xml:space="preserve">Common </w:t>
            </w:r>
          </w:p>
        </w:tc>
      </w:tr>
      <w:tr w:rsidR="00EB1543" w:rsidRPr="006128F6" w14:paraId="76C52405" w14:textId="77777777" w:rsidTr="00770275">
        <w:trPr>
          <w:cantSplit/>
        </w:trPr>
        <w:tc>
          <w:tcPr>
            <w:tcW w:w="1780" w:type="pct"/>
            <w:vMerge/>
            <w:tcBorders>
              <w:left w:val="single" w:sz="4" w:space="0" w:color="auto"/>
              <w:right w:val="single" w:sz="4" w:space="0" w:color="auto"/>
            </w:tcBorders>
            <w:shd w:val="clear" w:color="auto" w:fill="auto"/>
          </w:tcPr>
          <w:p w14:paraId="5DAA6BDE" w14:textId="77777777" w:rsidR="00EB1543" w:rsidRPr="006128F6" w:rsidRDefault="00EB1543" w:rsidP="006128F6">
            <w:pPr>
              <w:spacing w:line="240" w:lineRule="auto"/>
              <w:rPr>
                <w:szCs w:val="22"/>
              </w:rPr>
            </w:pPr>
          </w:p>
        </w:tc>
        <w:tc>
          <w:tcPr>
            <w:tcW w:w="1797" w:type="pct"/>
            <w:tcBorders>
              <w:left w:val="single" w:sz="4" w:space="0" w:color="auto"/>
            </w:tcBorders>
            <w:shd w:val="clear" w:color="auto" w:fill="auto"/>
            <w:vAlign w:val="bottom"/>
          </w:tcPr>
          <w:p w14:paraId="6DF90D4B" w14:textId="77777777" w:rsidR="00EB1543" w:rsidRPr="006128F6" w:rsidRDefault="00EB1543" w:rsidP="006128F6">
            <w:pPr>
              <w:spacing w:line="240" w:lineRule="auto"/>
              <w:rPr>
                <w:color w:val="000000"/>
                <w:lang w:eastAsia="en-GB"/>
              </w:rPr>
            </w:pPr>
            <w:r w:rsidRPr="006128F6">
              <w:rPr>
                <w:color w:val="000000"/>
                <w:lang w:eastAsia="en-GB"/>
              </w:rPr>
              <w:t xml:space="preserve">Upper respiratory tract infection </w:t>
            </w:r>
          </w:p>
        </w:tc>
        <w:tc>
          <w:tcPr>
            <w:tcW w:w="1423" w:type="pct"/>
            <w:shd w:val="clear" w:color="auto" w:fill="auto"/>
          </w:tcPr>
          <w:p w14:paraId="067FFACC" w14:textId="77777777" w:rsidR="00EB1543" w:rsidRPr="006128F6" w:rsidRDefault="00EB1543" w:rsidP="006128F6">
            <w:pPr>
              <w:spacing w:line="240" w:lineRule="auto"/>
              <w:rPr>
                <w:color w:val="000000"/>
                <w:lang w:eastAsia="en-GB"/>
              </w:rPr>
            </w:pPr>
            <w:r w:rsidRPr="006128F6">
              <w:rPr>
                <w:color w:val="000000"/>
                <w:lang w:eastAsia="en-GB"/>
              </w:rPr>
              <w:t xml:space="preserve">Common </w:t>
            </w:r>
          </w:p>
        </w:tc>
      </w:tr>
      <w:tr w:rsidR="00EB1543" w:rsidRPr="006128F6" w14:paraId="7DC59169" w14:textId="77777777" w:rsidTr="00770275">
        <w:trPr>
          <w:cantSplit/>
        </w:trPr>
        <w:tc>
          <w:tcPr>
            <w:tcW w:w="1780" w:type="pct"/>
            <w:vMerge/>
            <w:tcBorders>
              <w:left w:val="single" w:sz="4" w:space="0" w:color="auto"/>
              <w:right w:val="single" w:sz="4" w:space="0" w:color="auto"/>
            </w:tcBorders>
            <w:shd w:val="clear" w:color="auto" w:fill="auto"/>
          </w:tcPr>
          <w:p w14:paraId="0403D1B3" w14:textId="77777777" w:rsidR="00EB1543" w:rsidRPr="006128F6" w:rsidRDefault="00EB1543" w:rsidP="006128F6">
            <w:pPr>
              <w:spacing w:line="240" w:lineRule="auto"/>
              <w:rPr>
                <w:szCs w:val="22"/>
              </w:rPr>
            </w:pPr>
          </w:p>
        </w:tc>
        <w:tc>
          <w:tcPr>
            <w:tcW w:w="1797" w:type="pct"/>
            <w:tcBorders>
              <w:left w:val="single" w:sz="4" w:space="0" w:color="auto"/>
            </w:tcBorders>
            <w:shd w:val="clear" w:color="auto" w:fill="auto"/>
            <w:vAlign w:val="bottom"/>
          </w:tcPr>
          <w:p w14:paraId="21907980" w14:textId="77777777" w:rsidR="00EB1543" w:rsidRPr="006128F6" w:rsidRDefault="00EB1543" w:rsidP="006128F6">
            <w:pPr>
              <w:spacing w:line="240" w:lineRule="auto"/>
              <w:rPr>
                <w:color w:val="000000"/>
                <w:lang w:eastAsia="en-GB"/>
              </w:rPr>
            </w:pPr>
            <w:r w:rsidRPr="006128F6">
              <w:rPr>
                <w:color w:val="000000"/>
                <w:lang w:eastAsia="en-GB"/>
              </w:rPr>
              <w:t xml:space="preserve">Urinary tract infection </w:t>
            </w:r>
          </w:p>
        </w:tc>
        <w:tc>
          <w:tcPr>
            <w:tcW w:w="1423" w:type="pct"/>
            <w:shd w:val="clear" w:color="auto" w:fill="auto"/>
          </w:tcPr>
          <w:p w14:paraId="3E91E331" w14:textId="77777777" w:rsidR="00EB1543" w:rsidRPr="006128F6" w:rsidRDefault="00EB1543" w:rsidP="006128F6">
            <w:pPr>
              <w:spacing w:line="240" w:lineRule="auto"/>
              <w:rPr>
                <w:color w:val="000000"/>
                <w:lang w:eastAsia="en-GB"/>
              </w:rPr>
            </w:pPr>
            <w:r w:rsidRPr="006128F6">
              <w:rPr>
                <w:color w:val="000000"/>
                <w:lang w:eastAsia="en-GB"/>
              </w:rPr>
              <w:t xml:space="preserve">Common </w:t>
            </w:r>
          </w:p>
        </w:tc>
      </w:tr>
      <w:tr w:rsidR="00EB1543" w:rsidRPr="006128F6" w14:paraId="79F7E1BC" w14:textId="77777777" w:rsidTr="00770275">
        <w:trPr>
          <w:cantSplit/>
        </w:trPr>
        <w:tc>
          <w:tcPr>
            <w:tcW w:w="1780" w:type="pct"/>
            <w:vMerge/>
            <w:tcBorders>
              <w:left w:val="single" w:sz="4" w:space="0" w:color="auto"/>
              <w:bottom w:val="nil"/>
              <w:right w:val="single" w:sz="4" w:space="0" w:color="auto"/>
            </w:tcBorders>
            <w:shd w:val="clear" w:color="auto" w:fill="auto"/>
          </w:tcPr>
          <w:p w14:paraId="3BC628D5" w14:textId="77777777" w:rsidR="00EB1543" w:rsidRPr="006128F6" w:rsidRDefault="00EB1543" w:rsidP="006128F6">
            <w:pPr>
              <w:spacing w:line="240" w:lineRule="auto"/>
              <w:rPr>
                <w:szCs w:val="22"/>
              </w:rPr>
            </w:pPr>
          </w:p>
        </w:tc>
        <w:tc>
          <w:tcPr>
            <w:tcW w:w="1797" w:type="pct"/>
            <w:tcBorders>
              <w:left w:val="single" w:sz="4" w:space="0" w:color="auto"/>
            </w:tcBorders>
            <w:shd w:val="clear" w:color="auto" w:fill="auto"/>
            <w:vAlign w:val="bottom"/>
          </w:tcPr>
          <w:p w14:paraId="3C1956E2" w14:textId="77777777" w:rsidR="00EB1543" w:rsidRPr="006128F6" w:rsidRDefault="00EB1543" w:rsidP="006128F6">
            <w:pPr>
              <w:spacing w:line="240" w:lineRule="auto"/>
              <w:rPr>
                <w:color w:val="000000"/>
                <w:lang w:eastAsia="en-GB"/>
              </w:rPr>
            </w:pPr>
            <w:r w:rsidRPr="006128F6">
              <w:rPr>
                <w:color w:val="000000"/>
                <w:lang w:eastAsia="en-GB"/>
              </w:rPr>
              <w:t xml:space="preserve">Pharyngitis </w:t>
            </w:r>
          </w:p>
        </w:tc>
        <w:tc>
          <w:tcPr>
            <w:tcW w:w="1423" w:type="pct"/>
            <w:shd w:val="clear" w:color="auto" w:fill="auto"/>
          </w:tcPr>
          <w:p w14:paraId="3326FE55" w14:textId="77777777" w:rsidR="00EB1543" w:rsidRPr="006128F6" w:rsidRDefault="00EB1543" w:rsidP="006128F6">
            <w:pPr>
              <w:spacing w:line="240" w:lineRule="auto"/>
              <w:rPr>
                <w:color w:val="000000"/>
                <w:lang w:eastAsia="en-GB"/>
              </w:rPr>
            </w:pPr>
            <w:r w:rsidRPr="006128F6">
              <w:rPr>
                <w:color w:val="000000"/>
                <w:lang w:eastAsia="en-GB"/>
              </w:rPr>
              <w:t xml:space="preserve">Common </w:t>
            </w:r>
          </w:p>
        </w:tc>
      </w:tr>
      <w:tr w:rsidR="001C1284" w:rsidRPr="006128F6" w14:paraId="2484C441" w14:textId="77777777" w:rsidTr="00081416">
        <w:trPr>
          <w:cantSplit/>
        </w:trPr>
        <w:tc>
          <w:tcPr>
            <w:tcW w:w="1780" w:type="pct"/>
            <w:vMerge w:val="restart"/>
            <w:tcBorders>
              <w:top w:val="single" w:sz="4" w:space="0" w:color="auto"/>
            </w:tcBorders>
            <w:shd w:val="clear" w:color="auto" w:fill="auto"/>
          </w:tcPr>
          <w:p w14:paraId="010A3E49" w14:textId="3F077BDE" w:rsidR="001C1284" w:rsidRPr="006128F6" w:rsidRDefault="001C1284" w:rsidP="006128F6">
            <w:pPr>
              <w:spacing w:line="240" w:lineRule="auto"/>
              <w:rPr>
                <w:szCs w:val="22"/>
              </w:rPr>
            </w:pPr>
            <w:r w:rsidRPr="006128F6">
              <w:rPr>
                <w:color w:val="000000"/>
                <w:lang w:eastAsia="en-GB"/>
              </w:rPr>
              <w:t>Neoplasms benign, malignant and unspecified (incl. Cysts and polyps</w:t>
            </w:r>
            <w:r w:rsidR="00304880" w:rsidRPr="006128F6">
              <w:rPr>
                <w:color w:val="000000"/>
                <w:lang w:eastAsia="en-GB"/>
              </w:rPr>
              <w:t>)</w:t>
            </w:r>
          </w:p>
        </w:tc>
        <w:tc>
          <w:tcPr>
            <w:tcW w:w="1797" w:type="pct"/>
            <w:shd w:val="clear" w:color="auto" w:fill="auto"/>
            <w:vAlign w:val="bottom"/>
          </w:tcPr>
          <w:p w14:paraId="010437F0" w14:textId="77777777" w:rsidR="001C1284" w:rsidRPr="006128F6" w:rsidRDefault="001C1284" w:rsidP="006128F6">
            <w:pPr>
              <w:spacing w:line="240" w:lineRule="auto"/>
              <w:rPr>
                <w:color w:val="000000"/>
                <w:lang w:eastAsia="en-GB"/>
              </w:rPr>
            </w:pPr>
            <w:r w:rsidRPr="006128F6">
              <w:rPr>
                <w:color w:val="000000"/>
                <w:lang w:eastAsia="en-GB"/>
              </w:rPr>
              <w:t xml:space="preserve">Malignant neoplasm progression </w:t>
            </w:r>
          </w:p>
        </w:tc>
        <w:tc>
          <w:tcPr>
            <w:tcW w:w="1423" w:type="pct"/>
            <w:shd w:val="clear" w:color="auto" w:fill="auto"/>
          </w:tcPr>
          <w:p w14:paraId="19E29542" w14:textId="77777777" w:rsidR="001C1284" w:rsidRPr="006128F6" w:rsidRDefault="001C1284" w:rsidP="006128F6">
            <w:pPr>
              <w:spacing w:line="240" w:lineRule="auto"/>
              <w:rPr>
                <w:color w:val="000000"/>
                <w:lang w:eastAsia="en-GB"/>
              </w:rPr>
            </w:pPr>
            <w:r w:rsidRPr="006128F6">
              <w:rPr>
                <w:color w:val="000000"/>
                <w:lang w:eastAsia="en-GB"/>
              </w:rPr>
              <w:t xml:space="preserve">Not known </w:t>
            </w:r>
          </w:p>
        </w:tc>
      </w:tr>
      <w:tr w:rsidR="001C1284" w:rsidRPr="006128F6" w14:paraId="1ED5E3CF" w14:textId="77777777" w:rsidTr="0032436C">
        <w:trPr>
          <w:cantSplit/>
          <w:trHeight w:val="354"/>
        </w:trPr>
        <w:tc>
          <w:tcPr>
            <w:tcW w:w="1780" w:type="pct"/>
            <w:vMerge/>
            <w:shd w:val="clear" w:color="auto" w:fill="auto"/>
          </w:tcPr>
          <w:p w14:paraId="1469B072" w14:textId="77777777" w:rsidR="001C1284" w:rsidRPr="006128F6" w:rsidRDefault="001C1284" w:rsidP="006128F6">
            <w:pPr>
              <w:spacing w:line="240" w:lineRule="auto"/>
              <w:rPr>
                <w:color w:val="000000"/>
                <w:lang w:eastAsia="en-GB"/>
              </w:rPr>
            </w:pPr>
          </w:p>
        </w:tc>
        <w:tc>
          <w:tcPr>
            <w:tcW w:w="1797" w:type="pct"/>
            <w:shd w:val="clear" w:color="auto" w:fill="auto"/>
          </w:tcPr>
          <w:p w14:paraId="35A2B16F" w14:textId="77777777" w:rsidR="001C1284" w:rsidRPr="006128F6" w:rsidRDefault="001C1284" w:rsidP="006128F6">
            <w:pPr>
              <w:spacing w:line="240" w:lineRule="auto"/>
              <w:rPr>
                <w:color w:val="000000"/>
                <w:lang w:eastAsia="en-GB"/>
              </w:rPr>
            </w:pPr>
            <w:r w:rsidRPr="006128F6">
              <w:t>Neoplasm progression</w:t>
            </w:r>
          </w:p>
        </w:tc>
        <w:tc>
          <w:tcPr>
            <w:tcW w:w="1423" w:type="pct"/>
            <w:shd w:val="clear" w:color="auto" w:fill="auto"/>
          </w:tcPr>
          <w:p w14:paraId="3D7DD15E" w14:textId="77777777" w:rsidR="001C1284" w:rsidRPr="006128F6" w:rsidRDefault="001C1284" w:rsidP="006128F6">
            <w:pPr>
              <w:spacing w:line="240" w:lineRule="auto"/>
              <w:rPr>
                <w:color w:val="000000"/>
                <w:lang w:eastAsia="en-GB"/>
              </w:rPr>
            </w:pPr>
            <w:r w:rsidRPr="006128F6">
              <w:rPr>
                <w:color w:val="000000"/>
                <w:lang w:eastAsia="en-GB"/>
              </w:rPr>
              <w:t>Not known</w:t>
            </w:r>
          </w:p>
        </w:tc>
      </w:tr>
      <w:tr w:rsidR="001C1284" w:rsidRPr="006128F6" w14:paraId="0A2412E8" w14:textId="77777777" w:rsidTr="0032436C">
        <w:trPr>
          <w:cantSplit/>
        </w:trPr>
        <w:tc>
          <w:tcPr>
            <w:tcW w:w="1780" w:type="pct"/>
            <w:vMerge w:val="restart"/>
            <w:shd w:val="clear" w:color="auto" w:fill="auto"/>
          </w:tcPr>
          <w:p w14:paraId="0E913BD1" w14:textId="77777777" w:rsidR="001C1284" w:rsidRPr="006128F6" w:rsidRDefault="001C1284" w:rsidP="006128F6">
            <w:pPr>
              <w:spacing w:line="240" w:lineRule="auto"/>
              <w:rPr>
                <w:szCs w:val="22"/>
              </w:rPr>
            </w:pPr>
            <w:r w:rsidRPr="006128F6">
              <w:rPr>
                <w:szCs w:val="22"/>
              </w:rPr>
              <w:t>Blood and lymphatic system disorders</w:t>
            </w:r>
          </w:p>
        </w:tc>
        <w:tc>
          <w:tcPr>
            <w:tcW w:w="1797" w:type="pct"/>
            <w:shd w:val="clear" w:color="auto" w:fill="auto"/>
            <w:vAlign w:val="bottom"/>
          </w:tcPr>
          <w:p w14:paraId="74B07C91" w14:textId="77777777" w:rsidR="001C1284" w:rsidRPr="006128F6" w:rsidRDefault="001C1284" w:rsidP="006128F6">
            <w:pPr>
              <w:spacing w:line="240" w:lineRule="auto"/>
              <w:rPr>
                <w:color w:val="000000"/>
                <w:lang w:eastAsia="en-GB"/>
              </w:rPr>
            </w:pPr>
            <w:r w:rsidRPr="006128F6">
              <w:rPr>
                <w:color w:val="000000"/>
                <w:lang w:eastAsia="en-GB"/>
              </w:rPr>
              <w:t xml:space="preserve">Febrile neutropenia </w:t>
            </w:r>
          </w:p>
        </w:tc>
        <w:tc>
          <w:tcPr>
            <w:tcW w:w="1423" w:type="pct"/>
            <w:shd w:val="clear" w:color="auto" w:fill="auto"/>
          </w:tcPr>
          <w:p w14:paraId="31A7B6FF" w14:textId="77777777" w:rsidR="001C1284" w:rsidRPr="006128F6" w:rsidRDefault="001C1284" w:rsidP="006128F6">
            <w:pPr>
              <w:spacing w:line="240" w:lineRule="auto"/>
              <w:rPr>
                <w:color w:val="000000"/>
                <w:lang w:eastAsia="en-GB"/>
              </w:rPr>
            </w:pPr>
            <w:r w:rsidRPr="006128F6">
              <w:rPr>
                <w:color w:val="000000"/>
                <w:lang w:eastAsia="en-GB"/>
              </w:rPr>
              <w:t xml:space="preserve">Very common </w:t>
            </w:r>
          </w:p>
        </w:tc>
      </w:tr>
      <w:tr w:rsidR="001C1284" w:rsidRPr="006128F6" w14:paraId="6B9BBE82" w14:textId="77777777" w:rsidTr="0032436C">
        <w:trPr>
          <w:cantSplit/>
        </w:trPr>
        <w:tc>
          <w:tcPr>
            <w:tcW w:w="1780" w:type="pct"/>
            <w:vMerge/>
            <w:shd w:val="clear" w:color="auto" w:fill="auto"/>
          </w:tcPr>
          <w:p w14:paraId="24F5FF96" w14:textId="77777777" w:rsidR="001C1284" w:rsidRPr="006128F6" w:rsidRDefault="001C1284" w:rsidP="006128F6">
            <w:pPr>
              <w:spacing w:line="240" w:lineRule="auto"/>
              <w:rPr>
                <w:szCs w:val="22"/>
              </w:rPr>
            </w:pPr>
          </w:p>
        </w:tc>
        <w:tc>
          <w:tcPr>
            <w:tcW w:w="1797" w:type="pct"/>
            <w:shd w:val="clear" w:color="auto" w:fill="auto"/>
            <w:vAlign w:val="bottom"/>
          </w:tcPr>
          <w:p w14:paraId="0C5AE4E7" w14:textId="77777777" w:rsidR="001C1284" w:rsidRPr="006128F6" w:rsidRDefault="001C1284" w:rsidP="006128F6">
            <w:pPr>
              <w:spacing w:line="240" w:lineRule="auto"/>
              <w:rPr>
                <w:color w:val="000000"/>
                <w:lang w:eastAsia="en-GB"/>
              </w:rPr>
            </w:pPr>
            <w:r w:rsidRPr="006128F6">
              <w:rPr>
                <w:color w:val="000000"/>
                <w:lang w:eastAsia="en-GB"/>
              </w:rPr>
              <w:t xml:space="preserve">Anaemia </w:t>
            </w:r>
          </w:p>
        </w:tc>
        <w:tc>
          <w:tcPr>
            <w:tcW w:w="1423" w:type="pct"/>
            <w:shd w:val="clear" w:color="auto" w:fill="auto"/>
          </w:tcPr>
          <w:p w14:paraId="160C295E" w14:textId="77777777" w:rsidR="001C1284" w:rsidRPr="006128F6" w:rsidRDefault="001C1284" w:rsidP="006128F6">
            <w:pPr>
              <w:spacing w:line="240" w:lineRule="auto"/>
              <w:rPr>
                <w:color w:val="000000"/>
                <w:lang w:eastAsia="en-GB"/>
              </w:rPr>
            </w:pPr>
            <w:r w:rsidRPr="006128F6">
              <w:rPr>
                <w:color w:val="000000"/>
                <w:lang w:eastAsia="en-GB"/>
              </w:rPr>
              <w:t xml:space="preserve">Very common </w:t>
            </w:r>
          </w:p>
        </w:tc>
      </w:tr>
      <w:tr w:rsidR="001C1284" w:rsidRPr="006128F6" w14:paraId="1B6F6D7C" w14:textId="77777777" w:rsidTr="0032436C">
        <w:trPr>
          <w:cantSplit/>
        </w:trPr>
        <w:tc>
          <w:tcPr>
            <w:tcW w:w="1780" w:type="pct"/>
            <w:vMerge/>
            <w:shd w:val="clear" w:color="auto" w:fill="auto"/>
          </w:tcPr>
          <w:p w14:paraId="50E86661" w14:textId="77777777" w:rsidR="001C1284" w:rsidRPr="006128F6" w:rsidRDefault="001C1284" w:rsidP="006128F6">
            <w:pPr>
              <w:spacing w:line="240" w:lineRule="auto"/>
              <w:rPr>
                <w:szCs w:val="22"/>
              </w:rPr>
            </w:pPr>
          </w:p>
        </w:tc>
        <w:tc>
          <w:tcPr>
            <w:tcW w:w="1797" w:type="pct"/>
            <w:shd w:val="clear" w:color="auto" w:fill="auto"/>
            <w:vAlign w:val="bottom"/>
          </w:tcPr>
          <w:p w14:paraId="7EAC7977" w14:textId="77777777" w:rsidR="001C1284" w:rsidRPr="006128F6" w:rsidRDefault="001C1284" w:rsidP="006128F6">
            <w:pPr>
              <w:spacing w:line="240" w:lineRule="auto"/>
              <w:rPr>
                <w:color w:val="000000"/>
                <w:lang w:eastAsia="en-GB"/>
              </w:rPr>
            </w:pPr>
            <w:r w:rsidRPr="006128F6">
              <w:rPr>
                <w:color w:val="000000"/>
                <w:lang w:eastAsia="en-GB"/>
              </w:rPr>
              <w:t xml:space="preserve">Neutropenia </w:t>
            </w:r>
          </w:p>
        </w:tc>
        <w:tc>
          <w:tcPr>
            <w:tcW w:w="1423" w:type="pct"/>
            <w:shd w:val="clear" w:color="auto" w:fill="auto"/>
          </w:tcPr>
          <w:p w14:paraId="39BCCF74" w14:textId="77777777" w:rsidR="001C1284" w:rsidRPr="006128F6" w:rsidRDefault="001C1284" w:rsidP="006128F6">
            <w:pPr>
              <w:spacing w:line="240" w:lineRule="auto"/>
              <w:rPr>
                <w:color w:val="000000"/>
                <w:lang w:eastAsia="en-GB"/>
              </w:rPr>
            </w:pPr>
            <w:r w:rsidRPr="006128F6">
              <w:rPr>
                <w:color w:val="000000"/>
                <w:lang w:eastAsia="en-GB"/>
              </w:rPr>
              <w:t xml:space="preserve">Very common </w:t>
            </w:r>
          </w:p>
        </w:tc>
      </w:tr>
      <w:tr w:rsidR="001C1284" w:rsidRPr="006128F6" w14:paraId="3C44133D" w14:textId="77777777" w:rsidTr="0032436C">
        <w:trPr>
          <w:cantSplit/>
        </w:trPr>
        <w:tc>
          <w:tcPr>
            <w:tcW w:w="1780" w:type="pct"/>
            <w:vMerge/>
            <w:shd w:val="clear" w:color="auto" w:fill="auto"/>
          </w:tcPr>
          <w:p w14:paraId="1CC7E772" w14:textId="77777777" w:rsidR="001C1284" w:rsidRPr="006128F6" w:rsidRDefault="001C1284" w:rsidP="006128F6">
            <w:pPr>
              <w:spacing w:line="240" w:lineRule="auto"/>
              <w:rPr>
                <w:szCs w:val="22"/>
              </w:rPr>
            </w:pPr>
          </w:p>
        </w:tc>
        <w:tc>
          <w:tcPr>
            <w:tcW w:w="1797" w:type="pct"/>
            <w:shd w:val="clear" w:color="auto" w:fill="auto"/>
            <w:vAlign w:val="bottom"/>
          </w:tcPr>
          <w:p w14:paraId="3C06B923" w14:textId="77777777" w:rsidR="001C1284" w:rsidRPr="006128F6" w:rsidRDefault="001C1284" w:rsidP="006128F6">
            <w:pPr>
              <w:spacing w:line="240" w:lineRule="auto"/>
              <w:rPr>
                <w:color w:val="000000"/>
                <w:lang w:eastAsia="en-GB"/>
              </w:rPr>
            </w:pPr>
            <w:r w:rsidRPr="006128F6">
              <w:rPr>
                <w:color w:val="000000"/>
                <w:lang w:eastAsia="en-GB"/>
              </w:rPr>
              <w:t xml:space="preserve">White blood cell count decreased/leukopenia </w:t>
            </w:r>
          </w:p>
        </w:tc>
        <w:tc>
          <w:tcPr>
            <w:tcW w:w="1423" w:type="pct"/>
            <w:shd w:val="clear" w:color="auto" w:fill="auto"/>
          </w:tcPr>
          <w:p w14:paraId="68F93A72" w14:textId="77777777" w:rsidR="001C1284" w:rsidRPr="006128F6" w:rsidRDefault="001C1284" w:rsidP="006128F6">
            <w:pPr>
              <w:spacing w:line="240" w:lineRule="auto"/>
              <w:rPr>
                <w:color w:val="000000"/>
                <w:lang w:eastAsia="en-GB"/>
              </w:rPr>
            </w:pPr>
            <w:r w:rsidRPr="006128F6">
              <w:rPr>
                <w:color w:val="000000"/>
                <w:lang w:eastAsia="en-GB"/>
              </w:rPr>
              <w:t xml:space="preserve">Very common </w:t>
            </w:r>
          </w:p>
        </w:tc>
      </w:tr>
      <w:tr w:rsidR="001C1284" w:rsidRPr="006128F6" w14:paraId="47C46453" w14:textId="77777777" w:rsidTr="0032436C">
        <w:trPr>
          <w:cantSplit/>
        </w:trPr>
        <w:tc>
          <w:tcPr>
            <w:tcW w:w="1780" w:type="pct"/>
            <w:vMerge/>
            <w:shd w:val="clear" w:color="auto" w:fill="auto"/>
          </w:tcPr>
          <w:p w14:paraId="1AA2CD40" w14:textId="77777777" w:rsidR="001C1284" w:rsidRPr="006128F6" w:rsidRDefault="001C1284" w:rsidP="006128F6">
            <w:pPr>
              <w:spacing w:line="240" w:lineRule="auto"/>
              <w:rPr>
                <w:szCs w:val="22"/>
              </w:rPr>
            </w:pPr>
          </w:p>
        </w:tc>
        <w:tc>
          <w:tcPr>
            <w:tcW w:w="1797" w:type="pct"/>
            <w:shd w:val="clear" w:color="auto" w:fill="auto"/>
            <w:vAlign w:val="bottom"/>
          </w:tcPr>
          <w:p w14:paraId="72A8CBAA" w14:textId="77777777" w:rsidR="001C1284" w:rsidRPr="006128F6" w:rsidRDefault="001C1284" w:rsidP="006128F6">
            <w:pPr>
              <w:spacing w:line="240" w:lineRule="auto"/>
              <w:rPr>
                <w:color w:val="000000"/>
                <w:lang w:eastAsia="en-GB"/>
              </w:rPr>
            </w:pPr>
            <w:r w:rsidRPr="006128F6">
              <w:rPr>
                <w:color w:val="000000"/>
                <w:lang w:eastAsia="en-GB"/>
              </w:rPr>
              <w:t xml:space="preserve">Thrombocytopenia </w:t>
            </w:r>
          </w:p>
        </w:tc>
        <w:tc>
          <w:tcPr>
            <w:tcW w:w="1423" w:type="pct"/>
            <w:shd w:val="clear" w:color="auto" w:fill="auto"/>
          </w:tcPr>
          <w:p w14:paraId="509A3A88" w14:textId="77777777" w:rsidR="001C1284" w:rsidRPr="006128F6" w:rsidRDefault="001C1284" w:rsidP="006128F6">
            <w:pPr>
              <w:spacing w:line="240" w:lineRule="auto"/>
              <w:rPr>
                <w:color w:val="000000"/>
                <w:lang w:eastAsia="en-GB"/>
              </w:rPr>
            </w:pPr>
            <w:r w:rsidRPr="006128F6">
              <w:rPr>
                <w:color w:val="000000"/>
                <w:lang w:eastAsia="en-GB"/>
              </w:rPr>
              <w:t xml:space="preserve">Very common </w:t>
            </w:r>
          </w:p>
        </w:tc>
      </w:tr>
      <w:tr w:rsidR="001C1284" w:rsidRPr="006128F6" w14:paraId="5B8ED5C8" w14:textId="77777777" w:rsidTr="0032436C">
        <w:trPr>
          <w:cantSplit/>
        </w:trPr>
        <w:tc>
          <w:tcPr>
            <w:tcW w:w="1780" w:type="pct"/>
            <w:vMerge/>
            <w:shd w:val="clear" w:color="auto" w:fill="auto"/>
          </w:tcPr>
          <w:p w14:paraId="544993BA" w14:textId="77777777" w:rsidR="001C1284" w:rsidRPr="006128F6" w:rsidRDefault="001C1284" w:rsidP="006128F6">
            <w:pPr>
              <w:spacing w:line="240" w:lineRule="auto"/>
              <w:rPr>
                <w:szCs w:val="22"/>
              </w:rPr>
            </w:pPr>
          </w:p>
        </w:tc>
        <w:tc>
          <w:tcPr>
            <w:tcW w:w="1797" w:type="pct"/>
            <w:shd w:val="clear" w:color="auto" w:fill="auto"/>
            <w:vAlign w:val="bottom"/>
          </w:tcPr>
          <w:p w14:paraId="25B51CAA" w14:textId="77777777" w:rsidR="001C1284" w:rsidRPr="006128F6" w:rsidRDefault="001C1284" w:rsidP="006128F6">
            <w:pPr>
              <w:spacing w:line="240" w:lineRule="auto"/>
              <w:rPr>
                <w:color w:val="000000"/>
                <w:lang w:eastAsia="en-GB"/>
              </w:rPr>
            </w:pPr>
            <w:r w:rsidRPr="006128F6">
              <w:rPr>
                <w:color w:val="000000"/>
                <w:lang w:eastAsia="en-GB"/>
              </w:rPr>
              <w:t xml:space="preserve">Hypoprothrombinaemia </w:t>
            </w:r>
          </w:p>
        </w:tc>
        <w:tc>
          <w:tcPr>
            <w:tcW w:w="1423" w:type="pct"/>
            <w:shd w:val="clear" w:color="auto" w:fill="auto"/>
          </w:tcPr>
          <w:p w14:paraId="30197449" w14:textId="77777777" w:rsidR="001C1284" w:rsidRPr="006128F6" w:rsidRDefault="001C1284" w:rsidP="006128F6">
            <w:pPr>
              <w:spacing w:line="240" w:lineRule="auto"/>
              <w:rPr>
                <w:color w:val="000000"/>
                <w:lang w:eastAsia="en-GB"/>
              </w:rPr>
            </w:pPr>
            <w:r w:rsidRPr="006128F6">
              <w:rPr>
                <w:color w:val="000000"/>
                <w:lang w:eastAsia="en-GB"/>
              </w:rPr>
              <w:t xml:space="preserve">Not known </w:t>
            </w:r>
          </w:p>
        </w:tc>
      </w:tr>
      <w:tr w:rsidR="001C1284" w:rsidRPr="006128F6" w14:paraId="7D57FAC6" w14:textId="77777777" w:rsidTr="0032436C">
        <w:trPr>
          <w:cantSplit/>
        </w:trPr>
        <w:tc>
          <w:tcPr>
            <w:tcW w:w="1780" w:type="pct"/>
            <w:vMerge/>
            <w:shd w:val="clear" w:color="auto" w:fill="auto"/>
          </w:tcPr>
          <w:p w14:paraId="11AC3B84" w14:textId="77777777" w:rsidR="001C1284" w:rsidRPr="006128F6" w:rsidRDefault="001C1284" w:rsidP="006128F6">
            <w:pPr>
              <w:spacing w:line="240" w:lineRule="auto"/>
              <w:rPr>
                <w:szCs w:val="22"/>
              </w:rPr>
            </w:pPr>
          </w:p>
        </w:tc>
        <w:tc>
          <w:tcPr>
            <w:tcW w:w="1797" w:type="pct"/>
            <w:shd w:val="clear" w:color="auto" w:fill="auto"/>
            <w:vAlign w:val="bottom"/>
          </w:tcPr>
          <w:p w14:paraId="1773F2F9" w14:textId="77777777" w:rsidR="001C1284" w:rsidRPr="006128F6" w:rsidRDefault="001C1284" w:rsidP="006128F6">
            <w:pPr>
              <w:spacing w:line="240" w:lineRule="auto"/>
              <w:rPr>
                <w:color w:val="000000"/>
                <w:lang w:eastAsia="en-GB"/>
              </w:rPr>
            </w:pPr>
            <w:r w:rsidRPr="006128F6">
              <w:rPr>
                <w:color w:val="000000"/>
                <w:lang w:eastAsia="en-GB"/>
              </w:rPr>
              <w:t xml:space="preserve">Immune thrombocytopenia </w:t>
            </w:r>
          </w:p>
        </w:tc>
        <w:tc>
          <w:tcPr>
            <w:tcW w:w="1423" w:type="pct"/>
            <w:shd w:val="clear" w:color="auto" w:fill="auto"/>
          </w:tcPr>
          <w:p w14:paraId="563D00E3" w14:textId="77777777" w:rsidR="001C1284" w:rsidRPr="006128F6" w:rsidRDefault="001C1284" w:rsidP="006128F6">
            <w:pPr>
              <w:spacing w:line="240" w:lineRule="auto"/>
              <w:rPr>
                <w:color w:val="000000"/>
                <w:lang w:eastAsia="en-GB"/>
              </w:rPr>
            </w:pPr>
            <w:r w:rsidRPr="006128F6">
              <w:rPr>
                <w:color w:val="000000"/>
                <w:lang w:eastAsia="en-GB"/>
              </w:rPr>
              <w:t xml:space="preserve">Not known </w:t>
            </w:r>
          </w:p>
        </w:tc>
      </w:tr>
      <w:tr w:rsidR="001C1284" w:rsidRPr="006128F6" w14:paraId="438EB261" w14:textId="77777777" w:rsidTr="0032436C">
        <w:trPr>
          <w:cantSplit/>
        </w:trPr>
        <w:tc>
          <w:tcPr>
            <w:tcW w:w="1780" w:type="pct"/>
            <w:vMerge w:val="restart"/>
            <w:shd w:val="clear" w:color="auto" w:fill="auto"/>
          </w:tcPr>
          <w:p w14:paraId="333C76DD" w14:textId="77777777" w:rsidR="001C1284" w:rsidRPr="006128F6" w:rsidRDefault="001C1284" w:rsidP="006128F6">
            <w:pPr>
              <w:spacing w:line="240" w:lineRule="auto"/>
              <w:rPr>
                <w:szCs w:val="22"/>
              </w:rPr>
            </w:pPr>
            <w:r w:rsidRPr="006128F6">
              <w:rPr>
                <w:color w:val="000000"/>
                <w:lang w:eastAsia="en-GB"/>
              </w:rPr>
              <w:t>Immune system disorders</w:t>
            </w:r>
          </w:p>
        </w:tc>
        <w:tc>
          <w:tcPr>
            <w:tcW w:w="1797" w:type="pct"/>
            <w:shd w:val="clear" w:color="auto" w:fill="auto"/>
            <w:vAlign w:val="bottom"/>
          </w:tcPr>
          <w:p w14:paraId="31A8DCB8" w14:textId="77777777" w:rsidR="001C1284" w:rsidRPr="006128F6" w:rsidRDefault="001C1284" w:rsidP="006128F6">
            <w:pPr>
              <w:spacing w:line="240" w:lineRule="auto"/>
              <w:rPr>
                <w:color w:val="000000"/>
                <w:lang w:eastAsia="en-GB"/>
              </w:rPr>
            </w:pPr>
            <w:r w:rsidRPr="006128F6">
              <w:rPr>
                <w:color w:val="000000"/>
                <w:lang w:eastAsia="en-GB"/>
              </w:rPr>
              <w:t>Hypersensitivity</w:t>
            </w:r>
          </w:p>
        </w:tc>
        <w:tc>
          <w:tcPr>
            <w:tcW w:w="1423" w:type="pct"/>
            <w:shd w:val="clear" w:color="auto" w:fill="auto"/>
          </w:tcPr>
          <w:p w14:paraId="36284FEB" w14:textId="5C4E61E2" w:rsidR="001C1284" w:rsidRPr="006128F6" w:rsidRDefault="001C1284" w:rsidP="006128F6">
            <w:pPr>
              <w:spacing w:line="240" w:lineRule="auto"/>
              <w:rPr>
                <w:color w:val="000000"/>
                <w:lang w:eastAsia="en-GB"/>
              </w:rPr>
            </w:pPr>
            <w:r w:rsidRPr="006128F6">
              <w:rPr>
                <w:color w:val="000000"/>
                <w:lang w:eastAsia="en-GB"/>
              </w:rPr>
              <w:t xml:space="preserve">Common </w:t>
            </w:r>
          </w:p>
        </w:tc>
      </w:tr>
      <w:tr w:rsidR="001C1284" w:rsidRPr="006128F6" w14:paraId="410BFEF7" w14:textId="77777777" w:rsidTr="0032436C">
        <w:trPr>
          <w:cantSplit/>
        </w:trPr>
        <w:tc>
          <w:tcPr>
            <w:tcW w:w="1780" w:type="pct"/>
            <w:vMerge/>
            <w:shd w:val="clear" w:color="auto" w:fill="auto"/>
          </w:tcPr>
          <w:p w14:paraId="545DFC11" w14:textId="77777777" w:rsidR="001C1284" w:rsidRPr="006128F6" w:rsidRDefault="001C1284" w:rsidP="006128F6">
            <w:pPr>
              <w:spacing w:line="240" w:lineRule="auto"/>
              <w:rPr>
                <w:color w:val="000000"/>
                <w:lang w:eastAsia="en-GB"/>
              </w:rPr>
            </w:pPr>
          </w:p>
        </w:tc>
        <w:tc>
          <w:tcPr>
            <w:tcW w:w="1797" w:type="pct"/>
            <w:shd w:val="clear" w:color="auto" w:fill="auto"/>
            <w:vAlign w:val="bottom"/>
          </w:tcPr>
          <w:p w14:paraId="349C074C" w14:textId="77777777" w:rsidR="001C1284" w:rsidRPr="006128F6" w:rsidRDefault="001C1284" w:rsidP="006128F6">
            <w:pPr>
              <w:spacing w:line="240" w:lineRule="auto"/>
              <w:rPr>
                <w:color w:val="000000"/>
                <w:lang w:eastAsia="en-GB"/>
              </w:rPr>
            </w:pPr>
            <w:r w:rsidRPr="006128F6">
              <w:rPr>
                <w:color w:val="000000"/>
                <w:vertAlign w:val="superscript"/>
                <w:lang w:eastAsia="en-GB"/>
              </w:rPr>
              <w:t>+</w:t>
            </w:r>
            <w:r w:rsidRPr="006128F6">
              <w:rPr>
                <w:color w:val="000000"/>
                <w:lang w:eastAsia="en-GB"/>
              </w:rPr>
              <w:t>Anaphylactic reaction</w:t>
            </w:r>
          </w:p>
        </w:tc>
        <w:tc>
          <w:tcPr>
            <w:tcW w:w="1423" w:type="pct"/>
            <w:shd w:val="clear" w:color="auto" w:fill="auto"/>
          </w:tcPr>
          <w:p w14:paraId="60D0B065" w14:textId="5B9D235F" w:rsidR="001C1284" w:rsidRPr="006128F6" w:rsidRDefault="00236DF3" w:rsidP="006128F6">
            <w:pPr>
              <w:spacing w:line="240" w:lineRule="auto"/>
              <w:rPr>
                <w:color w:val="000000"/>
                <w:lang w:eastAsia="en-GB"/>
              </w:rPr>
            </w:pPr>
            <w:r>
              <w:rPr>
                <w:color w:val="000000"/>
                <w:lang w:eastAsia="en-GB"/>
              </w:rPr>
              <w:t>Rare</w:t>
            </w:r>
            <w:r w:rsidR="001C1284" w:rsidRPr="006128F6">
              <w:rPr>
                <w:color w:val="000000"/>
                <w:lang w:eastAsia="en-GB"/>
              </w:rPr>
              <w:t xml:space="preserve"> </w:t>
            </w:r>
          </w:p>
        </w:tc>
      </w:tr>
      <w:tr w:rsidR="001C1284" w:rsidRPr="006128F6" w14:paraId="7ACA1680" w14:textId="77777777" w:rsidTr="0032436C">
        <w:trPr>
          <w:cantSplit/>
        </w:trPr>
        <w:tc>
          <w:tcPr>
            <w:tcW w:w="1780" w:type="pct"/>
            <w:vMerge/>
            <w:shd w:val="clear" w:color="auto" w:fill="auto"/>
          </w:tcPr>
          <w:p w14:paraId="04410F45" w14:textId="77777777" w:rsidR="001C1284" w:rsidRPr="006128F6" w:rsidRDefault="001C1284" w:rsidP="006128F6">
            <w:pPr>
              <w:spacing w:line="240" w:lineRule="auto"/>
              <w:rPr>
                <w:color w:val="000000"/>
                <w:lang w:eastAsia="en-GB"/>
              </w:rPr>
            </w:pPr>
          </w:p>
        </w:tc>
        <w:tc>
          <w:tcPr>
            <w:tcW w:w="1797" w:type="pct"/>
            <w:shd w:val="clear" w:color="auto" w:fill="auto"/>
            <w:vAlign w:val="bottom"/>
          </w:tcPr>
          <w:p w14:paraId="4EF36CC2" w14:textId="77777777" w:rsidR="001C1284" w:rsidRPr="006128F6" w:rsidRDefault="001C1284" w:rsidP="006128F6">
            <w:pPr>
              <w:spacing w:line="240" w:lineRule="auto"/>
              <w:rPr>
                <w:color w:val="000000"/>
                <w:lang w:eastAsia="en-GB"/>
              </w:rPr>
            </w:pPr>
            <w:r w:rsidRPr="006128F6">
              <w:rPr>
                <w:color w:val="000000"/>
                <w:vertAlign w:val="superscript"/>
                <w:lang w:eastAsia="en-GB"/>
              </w:rPr>
              <w:t>+</w:t>
            </w:r>
            <w:r w:rsidRPr="006128F6">
              <w:rPr>
                <w:color w:val="000000"/>
                <w:lang w:eastAsia="en-GB"/>
              </w:rPr>
              <w:t>Anaphylactic shock</w:t>
            </w:r>
          </w:p>
        </w:tc>
        <w:tc>
          <w:tcPr>
            <w:tcW w:w="1423" w:type="pct"/>
            <w:shd w:val="clear" w:color="auto" w:fill="auto"/>
          </w:tcPr>
          <w:p w14:paraId="6BA02C22" w14:textId="3662E5B4" w:rsidR="001C1284" w:rsidRPr="006128F6" w:rsidRDefault="00236DF3" w:rsidP="006128F6">
            <w:pPr>
              <w:spacing w:line="240" w:lineRule="auto"/>
              <w:rPr>
                <w:color w:val="000000"/>
                <w:lang w:eastAsia="en-GB"/>
              </w:rPr>
            </w:pPr>
            <w:r>
              <w:rPr>
                <w:color w:val="000000"/>
                <w:lang w:eastAsia="en-GB"/>
              </w:rPr>
              <w:t>Rare</w:t>
            </w:r>
          </w:p>
        </w:tc>
      </w:tr>
      <w:tr w:rsidR="001C1284" w:rsidRPr="006128F6" w14:paraId="743CD250" w14:textId="77777777" w:rsidTr="0032436C">
        <w:trPr>
          <w:cantSplit/>
        </w:trPr>
        <w:tc>
          <w:tcPr>
            <w:tcW w:w="1780" w:type="pct"/>
            <w:vMerge w:val="restart"/>
            <w:shd w:val="clear" w:color="auto" w:fill="auto"/>
          </w:tcPr>
          <w:p w14:paraId="35CE19F9" w14:textId="77777777" w:rsidR="001C1284" w:rsidRPr="006128F6" w:rsidRDefault="001C1284" w:rsidP="006128F6">
            <w:pPr>
              <w:spacing w:line="240" w:lineRule="auto"/>
              <w:rPr>
                <w:szCs w:val="22"/>
              </w:rPr>
            </w:pPr>
            <w:r w:rsidRPr="006128F6">
              <w:rPr>
                <w:szCs w:val="22"/>
              </w:rPr>
              <w:t>Metabolism and nutrition disorders</w:t>
            </w:r>
          </w:p>
        </w:tc>
        <w:tc>
          <w:tcPr>
            <w:tcW w:w="1797" w:type="pct"/>
            <w:shd w:val="clear" w:color="auto" w:fill="auto"/>
            <w:vAlign w:val="bottom"/>
          </w:tcPr>
          <w:p w14:paraId="3EC72778" w14:textId="77777777" w:rsidR="001C1284" w:rsidRPr="006128F6" w:rsidRDefault="001C1284" w:rsidP="006128F6">
            <w:pPr>
              <w:spacing w:line="240" w:lineRule="auto"/>
              <w:rPr>
                <w:color w:val="000000"/>
                <w:lang w:eastAsia="en-GB"/>
              </w:rPr>
            </w:pPr>
            <w:r w:rsidRPr="006128F6">
              <w:rPr>
                <w:color w:val="000000"/>
                <w:lang w:eastAsia="en-GB"/>
              </w:rPr>
              <w:t xml:space="preserve">Weight decreased/Weight loss </w:t>
            </w:r>
          </w:p>
        </w:tc>
        <w:tc>
          <w:tcPr>
            <w:tcW w:w="1423" w:type="pct"/>
            <w:shd w:val="clear" w:color="auto" w:fill="auto"/>
          </w:tcPr>
          <w:p w14:paraId="79420167" w14:textId="77777777" w:rsidR="001C1284" w:rsidRPr="006128F6" w:rsidRDefault="001C1284" w:rsidP="006128F6">
            <w:pPr>
              <w:spacing w:line="240" w:lineRule="auto"/>
              <w:rPr>
                <w:color w:val="000000"/>
                <w:lang w:eastAsia="en-GB"/>
              </w:rPr>
            </w:pPr>
            <w:r w:rsidRPr="006128F6">
              <w:rPr>
                <w:color w:val="000000"/>
                <w:lang w:eastAsia="en-GB"/>
              </w:rPr>
              <w:t xml:space="preserve">Very common </w:t>
            </w:r>
          </w:p>
        </w:tc>
      </w:tr>
      <w:tr w:rsidR="001C1284" w:rsidRPr="006128F6" w14:paraId="30FDFFCB" w14:textId="77777777" w:rsidTr="0032436C">
        <w:trPr>
          <w:cantSplit/>
        </w:trPr>
        <w:tc>
          <w:tcPr>
            <w:tcW w:w="1780" w:type="pct"/>
            <w:vMerge/>
            <w:shd w:val="clear" w:color="auto" w:fill="auto"/>
          </w:tcPr>
          <w:p w14:paraId="5C5D37AE" w14:textId="77777777" w:rsidR="001C1284" w:rsidRPr="006128F6" w:rsidRDefault="001C1284" w:rsidP="006128F6">
            <w:pPr>
              <w:spacing w:line="240" w:lineRule="auto"/>
              <w:rPr>
                <w:szCs w:val="22"/>
              </w:rPr>
            </w:pPr>
          </w:p>
        </w:tc>
        <w:tc>
          <w:tcPr>
            <w:tcW w:w="1797" w:type="pct"/>
            <w:shd w:val="clear" w:color="auto" w:fill="auto"/>
            <w:vAlign w:val="bottom"/>
          </w:tcPr>
          <w:p w14:paraId="7F2DE859" w14:textId="77777777" w:rsidR="001C1284" w:rsidRPr="006128F6" w:rsidRDefault="001C1284" w:rsidP="006128F6">
            <w:pPr>
              <w:spacing w:line="240" w:lineRule="auto"/>
              <w:rPr>
                <w:color w:val="000000"/>
                <w:lang w:eastAsia="en-GB"/>
              </w:rPr>
            </w:pPr>
            <w:r w:rsidRPr="006128F6">
              <w:rPr>
                <w:color w:val="000000"/>
                <w:lang w:eastAsia="en-GB"/>
              </w:rPr>
              <w:t xml:space="preserve">Anorexia </w:t>
            </w:r>
          </w:p>
        </w:tc>
        <w:tc>
          <w:tcPr>
            <w:tcW w:w="1423" w:type="pct"/>
            <w:shd w:val="clear" w:color="auto" w:fill="auto"/>
          </w:tcPr>
          <w:p w14:paraId="1F378BE1" w14:textId="77777777" w:rsidR="001C1284" w:rsidRPr="006128F6" w:rsidRDefault="001C1284" w:rsidP="006128F6">
            <w:pPr>
              <w:spacing w:line="240" w:lineRule="auto"/>
              <w:rPr>
                <w:color w:val="000000"/>
                <w:lang w:eastAsia="en-GB"/>
              </w:rPr>
            </w:pPr>
            <w:r w:rsidRPr="006128F6">
              <w:rPr>
                <w:color w:val="000000"/>
                <w:lang w:eastAsia="en-GB"/>
              </w:rPr>
              <w:t xml:space="preserve">Very common </w:t>
            </w:r>
          </w:p>
        </w:tc>
      </w:tr>
      <w:tr w:rsidR="00D46C1D" w:rsidRPr="006128F6" w14:paraId="016E9501" w14:textId="77777777" w:rsidTr="0032436C">
        <w:trPr>
          <w:cantSplit/>
        </w:trPr>
        <w:tc>
          <w:tcPr>
            <w:tcW w:w="1780" w:type="pct"/>
            <w:vMerge/>
            <w:shd w:val="clear" w:color="auto" w:fill="auto"/>
          </w:tcPr>
          <w:p w14:paraId="1C212047" w14:textId="77777777" w:rsidR="00D46C1D" w:rsidRPr="006128F6" w:rsidRDefault="00D46C1D" w:rsidP="006128F6">
            <w:pPr>
              <w:spacing w:line="240" w:lineRule="auto"/>
              <w:rPr>
                <w:szCs w:val="22"/>
              </w:rPr>
            </w:pPr>
          </w:p>
        </w:tc>
        <w:tc>
          <w:tcPr>
            <w:tcW w:w="1797" w:type="pct"/>
            <w:shd w:val="clear" w:color="auto" w:fill="auto"/>
            <w:vAlign w:val="bottom"/>
          </w:tcPr>
          <w:p w14:paraId="3DE01158" w14:textId="6D63DA2F" w:rsidR="00D46C1D" w:rsidRPr="006128F6" w:rsidRDefault="00D46C1D" w:rsidP="006128F6">
            <w:pPr>
              <w:spacing w:line="240" w:lineRule="auto"/>
              <w:rPr>
                <w:color w:val="000000"/>
                <w:lang w:eastAsia="en-GB"/>
              </w:rPr>
            </w:pPr>
            <w:r>
              <w:rPr>
                <w:color w:val="000000"/>
                <w:lang w:eastAsia="en-GB"/>
              </w:rPr>
              <w:t>Tumour lysis syndrome</w:t>
            </w:r>
          </w:p>
        </w:tc>
        <w:tc>
          <w:tcPr>
            <w:tcW w:w="1423" w:type="pct"/>
            <w:shd w:val="clear" w:color="auto" w:fill="auto"/>
          </w:tcPr>
          <w:p w14:paraId="580636BB" w14:textId="66BB8E0C" w:rsidR="00D46C1D" w:rsidRPr="006128F6" w:rsidRDefault="00D46C1D" w:rsidP="006128F6">
            <w:pPr>
              <w:spacing w:line="240" w:lineRule="auto"/>
              <w:rPr>
                <w:color w:val="000000"/>
                <w:lang w:eastAsia="en-GB"/>
              </w:rPr>
            </w:pPr>
            <w:r>
              <w:rPr>
                <w:color w:val="000000"/>
                <w:lang w:eastAsia="en-GB"/>
              </w:rPr>
              <w:t>Not known</w:t>
            </w:r>
          </w:p>
        </w:tc>
      </w:tr>
      <w:tr w:rsidR="001C1284" w:rsidRPr="006128F6" w14:paraId="482EF0DF" w14:textId="77777777" w:rsidTr="00081416">
        <w:trPr>
          <w:cantSplit/>
        </w:trPr>
        <w:tc>
          <w:tcPr>
            <w:tcW w:w="1780" w:type="pct"/>
            <w:vMerge/>
            <w:tcBorders>
              <w:bottom w:val="single" w:sz="4" w:space="0" w:color="auto"/>
            </w:tcBorders>
            <w:shd w:val="clear" w:color="auto" w:fill="auto"/>
          </w:tcPr>
          <w:p w14:paraId="1B4AEC69" w14:textId="77777777" w:rsidR="001C1284" w:rsidRPr="006128F6" w:rsidRDefault="001C1284" w:rsidP="006128F6">
            <w:pPr>
              <w:spacing w:line="240" w:lineRule="auto"/>
              <w:rPr>
                <w:szCs w:val="22"/>
              </w:rPr>
            </w:pPr>
          </w:p>
        </w:tc>
        <w:tc>
          <w:tcPr>
            <w:tcW w:w="1797" w:type="pct"/>
            <w:shd w:val="clear" w:color="auto" w:fill="auto"/>
            <w:vAlign w:val="bottom"/>
          </w:tcPr>
          <w:p w14:paraId="245C2D92" w14:textId="77777777" w:rsidR="001C1284" w:rsidRPr="006128F6" w:rsidRDefault="001C1284" w:rsidP="006128F6">
            <w:pPr>
              <w:spacing w:line="240" w:lineRule="auto"/>
              <w:rPr>
                <w:color w:val="000000"/>
                <w:lang w:eastAsia="en-GB"/>
              </w:rPr>
            </w:pPr>
            <w:r w:rsidRPr="006128F6">
              <w:rPr>
                <w:color w:val="000000"/>
                <w:lang w:eastAsia="en-GB"/>
              </w:rPr>
              <w:t xml:space="preserve">Hyperkalaemia </w:t>
            </w:r>
          </w:p>
        </w:tc>
        <w:tc>
          <w:tcPr>
            <w:tcW w:w="1423" w:type="pct"/>
            <w:shd w:val="clear" w:color="auto" w:fill="auto"/>
          </w:tcPr>
          <w:p w14:paraId="7F4D0111" w14:textId="77777777" w:rsidR="001C1284" w:rsidRPr="006128F6" w:rsidRDefault="001C1284" w:rsidP="006128F6">
            <w:pPr>
              <w:spacing w:line="240" w:lineRule="auto"/>
              <w:rPr>
                <w:color w:val="000000"/>
                <w:lang w:eastAsia="en-GB"/>
              </w:rPr>
            </w:pPr>
            <w:r w:rsidRPr="006128F6">
              <w:rPr>
                <w:color w:val="000000"/>
                <w:lang w:eastAsia="en-GB"/>
              </w:rPr>
              <w:t xml:space="preserve">Not known </w:t>
            </w:r>
          </w:p>
        </w:tc>
      </w:tr>
      <w:tr w:rsidR="00BE2D90" w:rsidRPr="006128F6" w14:paraId="7D474EFD" w14:textId="77777777" w:rsidTr="00FF5946">
        <w:trPr>
          <w:cantSplit/>
        </w:trPr>
        <w:tc>
          <w:tcPr>
            <w:tcW w:w="1780" w:type="pct"/>
            <w:vMerge w:val="restart"/>
            <w:tcBorders>
              <w:top w:val="single" w:sz="4" w:space="0" w:color="auto"/>
              <w:left w:val="single" w:sz="4" w:space="0" w:color="auto"/>
              <w:right w:val="single" w:sz="4" w:space="0" w:color="auto"/>
            </w:tcBorders>
            <w:shd w:val="clear" w:color="auto" w:fill="auto"/>
          </w:tcPr>
          <w:p w14:paraId="4BDB730D" w14:textId="77777777" w:rsidR="00BE2D90" w:rsidRPr="006128F6" w:rsidRDefault="00BE2D90" w:rsidP="002634DD">
            <w:pPr>
              <w:keepNext/>
              <w:spacing w:line="240" w:lineRule="auto"/>
              <w:rPr>
                <w:szCs w:val="22"/>
              </w:rPr>
            </w:pPr>
            <w:r w:rsidRPr="006128F6">
              <w:rPr>
                <w:szCs w:val="22"/>
              </w:rPr>
              <w:lastRenderedPageBreak/>
              <w:t>Psychiatric disorders</w:t>
            </w:r>
          </w:p>
        </w:tc>
        <w:tc>
          <w:tcPr>
            <w:tcW w:w="1797" w:type="pct"/>
            <w:tcBorders>
              <w:left w:val="single" w:sz="4" w:space="0" w:color="auto"/>
            </w:tcBorders>
            <w:shd w:val="clear" w:color="auto" w:fill="auto"/>
            <w:vAlign w:val="bottom"/>
          </w:tcPr>
          <w:p w14:paraId="3CD9A3F9" w14:textId="77777777" w:rsidR="00BE2D90" w:rsidRPr="006128F6" w:rsidRDefault="00BE2D90" w:rsidP="006128F6">
            <w:pPr>
              <w:spacing w:line="240" w:lineRule="auto"/>
              <w:rPr>
                <w:color w:val="000000"/>
                <w:lang w:eastAsia="en-GB"/>
              </w:rPr>
            </w:pPr>
            <w:r w:rsidRPr="006128F6">
              <w:rPr>
                <w:color w:val="000000"/>
                <w:lang w:eastAsia="en-GB"/>
              </w:rPr>
              <w:t xml:space="preserve">Insomnia </w:t>
            </w:r>
          </w:p>
        </w:tc>
        <w:tc>
          <w:tcPr>
            <w:tcW w:w="1423" w:type="pct"/>
            <w:shd w:val="clear" w:color="auto" w:fill="auto"/>
          </w:tcPr>
          <w:p w14:paraId="047450AA" w14:textId="77777777" w:rsidR="00BE2D90" w:rsidRPr="006128F6" w:rsidRDefault="00BE2D90" w:rsidP="006128F6">
            <w:pPr>
              <w:spacing w:line="240" w:lineRule="auto"/>
              <w:rPr>
                <w:color w:val="000000"/>
                <w:lang w:eastAsia="en-GB"/>
              </w:rPr>
            </w:pPr>
            <w:r w:rsidRPr="006128F6">
              <w:rPr>
                <w:color w:val="000000"/>
                <w:lang w:eastAsia="en-GB"/>
              </w:rPr>
              <w:t xml:space="preserve">Very common </w:t>
            </w:r>
          </w:p>
        </w:tc>
      </w:tr>
      <w:tr w:rsidR="00BE2D90" w:rsidRPr="006128F6" w14:paraId="07CE3D07" w14:textId="77777777" w:rsidTr="00FF5946">
        <w:trPr>
          <w:cantSplit/>
        </w:trPr>
        <w:tc>
          <w:tcPr>
            <w:tcW w:w="1780" w:type="pct"/>
            <w:vMerge/>
            <w:tcBorders>
              <w:left w:val="single" w:sz="4" w:space="0" w:color="auto"/>
              <w:right w:val="single" w:sz="4" w:space="0" w:color="auto"/>
            </w:tcBorders>
            <w:shd w:val="clear" w:color="auto" w:fill="auto"/>
          </w:tcPr>
          <w:p w14:paraId="33AE39D2" w14:textId="77777777" w:rsidR="00BE2D90" w:rsidRPr="006128F6" w:rsidRDefault="00BE2D90" w:rsidP="002634DD">
            <w:pPr>
              <w:keepNext/>
              <w:spacing w:line="240" w:lineRule="auto"/>
              <w:rPr>
                <w:szCs w:val="22"/>
              </w:rPr>
            </w:pPr>
          </w:p>
        </w:tc>
        <w:tc>
          <w:tcPr>
            <w:tcW w:w="1797" w:type="pct"/>
            <w:tcBorders>
              <w:left w:val="single" w:sz="4" w:space="0" w:color="auto"/>
            </w:tcBorders>
            <w:shd w:val="clear" w:color="auto" w:fill="auto"/>
            <w:vAlign w:val="bottom"/>
          </w:tcPr>
          <w:p w14:paraId="3DECF525" w14:textId="77777777" w:rsidR="00BE2D90" w:rsidRPr="006128F6" w:rsidRDefault="00BE2D90" w:rsidP="006128F6">
            <w:pPr>
              <w:spacing w:line="240" w:lineRule="auto"/>
              <w:rPr>
                <w:color w:val="000000"/>
                <w:lang w:eastAsia="en-GB"/>
              </w:rPr>
            </w:pPr>
            <w:r w:rsidRPr="006128F6">
              <w:rPr>
                <w:color w:val="000000"/>
                <w:lang w:eastAsia="en-GB"/>
              </w:rPr>
              <w:t>Anxiety</w:t>
            </w:r>
          </w:p>
        </w:tc>
        <w:tc>
          <w:tcPr>
            <w:tcW w:w="1423" w:type="pct"/>
            <w:shd w:val="clear" w:color="auto" w:fill="auto"/>
          </w:tcPr>
          <w:p w14:paraId="46856DB3" w14:textId="460E0EDE" w:rsidR="00BE2D90" w:rsidRPr="006128F6" w:rsidRDefault="00BE2D90" w:rsidP="006128F6">
            <w:pPr>
              <w:spacing w:line="240" w:lineRule="auto"/>
              <w:rPr>
                <w:color w:val="000000"/>
                <w:lang w:eastAsia="en-GB"/>
              </w:rPr>
            </w:pPr>
            <w:r w:rsidRPr="006128F6">
              <w:rPr>
                <w:color w:val="000000"/>
                <w:lang w:eastAsia="en-GB"/>
              </w:rPr>
              <w:t xml:space="preserve">Common </w:t>
            </w:r>
          </w:p>
        </w:tc>
      </w:tr>
      <w:tr w:rsidR="00BE2D90" w:rsidRPr="006128F6" w14:paraId="6A746565" w14:textId="77777777" w:rsidTr="00FF5946">
        <w:trPr>
          <w:cantSplit/>
        </w:trPr>
        <w:tc>
          <w:tcPr>
            <w:tcW w:w="1780" w:type="pct"/>
            <w:vMerge/>
            <w:tcBorders>
              <w:left w:val="single" w:sz="4" w:space="0" w:color="auto"/>
              <w:bottom w:val="nil"/>
              <w:right w:val="single" w:sz="4" w:space="0" w:color="auto"/>
            </w:tcBorders>
            <w:shd w:val="clear" w:color="auto" w:fill="auto"/>
          </w:tcPr>
          <w:p w14:paraId="0E07F696" w14:textId="77777777" w:rsidR="00BE2D90" w:rsidRPr="006128F6" w:rsidRDefault="00BE2D90" w:rsidP="002634DD">
            <w:pPr>
              <w:keepNext/>
              <w:spacing w:line="240" w:lineRule="auto"/>
              <w:rPr>
                <w:szCs w:val="22"/>
              </w:rPr>
            </w:pPr>
          </w:p>
        </w:tc>
        <w:tc>
          <w:tcPr>
            <w:tcW w:w="1797" w:type="pct"/>
            <w:tcBorders>
              <w:left w:val="single" w:sz="4" w:space="0" w:color="auto"/>
            </w:tcBorders>
            <w:shd w:val="clear" w:color="auto" w:fill="auto"/>
            <w:vAlign w:val="bottom"/>
          </w:tcPr>
          <w:p w14:paraId="628B7F14" w14:textId="77777777" w:rsidR="00BE2D90" w:rsidRPr="006128F6" w:rsidRDefault="00BE2D90" w:rsidP="006128F6">
            <w:pPr>
              <w:spacing w:line="240" w:lineRule="auto"/>
              <w:rPr>
                <w:color w:val="000000"/>
                <w:lang w:eastAsia="en-GB"/>
              </w:rPr>
            </w:pPr>
            <w:r w:rsidRPr="006128F6">
              <w:rPr>
                <w:color w:val="000000"/>
                <w:lang w:eastAsia="en-GB"/>
              </w:rPr>
              <w:t xml:space="preserve">Depression </w:t>
            </w:r>
          </w:p>
        </w:tc>
        <w:tc>
          <w:tcPr>
            <w:tcW w:w="1423" w:type="pct"/>
            <w:shd w:val="clear" w:color="auto" w:fill="auto"/>
          </w:tcPr>
          <w:p w14:paraId="1C971103" w14:textId="77777777" w:rsidR="00BE2D90" w:rsidRPr="006128F6" w:rsidRDefault="00BE2D90" w:rsidP="006128F6">
            <w:pPr>
              <w:spacing w:line="240" w:lineRule="auto"/>
              <w:rPr>
                <w:color w:val="000000"/>
                <w:lang w:eastAsia="en-GB"/>
              </w:rPr>
            </w:pPr>
            <w:r w:rsidRPr="006128F6">
              <w:rPr>
                <w:color w:val="000000"/>
                <w:lang w:eastAsia="en-GB"/>
              </w:rPr>
              <w:t xml:space="preserve">Common </w:t>
            </w:r>
          </w:p>
        </w:tc>
      </w:tr>
      <w:tr w:rsidR="00BE2D90" w:rsidRPr="006128F6" w14:paraId="4D9B30C1" w14:textId="77777777" w:rsidTr="00060B21">
        <w:trPr>
          <w:cantSplit/>
        </w:trPr>
        <w:tc>
          <w:tcPr>
            <w:tcW w:w="1780" w:type="pct"/>
            <w:vMerge w:val="restart"/>
            <w:tcBorders>
              <w:top w:val="single" w:sz="4" w:space="0" w:color="auto"/>
              <w:left w:val="single" w:sz="4" w:space="0" w:color="auto"/>
              <w:right w:val="single" w:sz="4" w:space="0" w:color="auto"/>
            </w:tcBorders>
            <w:shd w:val="clear" w:color="auto" w:fill="auto"/>
          </w:tcPr>
          <w:p w14:paraId="450C0D7A" w14:textId="77777777" w:rsidR="00BE2D90" w:rsidRPr="006128F6" w:rsidRDefault="00BE2D90" w:rsidP="002634DD">
            <w:pPr>
              <w:keepNext/>
              <w:spacing w:line="240" w:lineRule="auto"/>
              <w:rPr>
                <w:szCs w:val="22"/>
              </w:rPr>
            </w:pPr>
            <w:r w:rsidRPr="006128F6">
              <w:rPr>
                <w:szCs w:val="22"/>
              </w:rPr>
              <w:t>Nervous system disorders</w:t>
            </w:r>
          </w:p>
        </w:tc>
        <w:tc>
          <w:tcPr>
            <w:tcW w:w="1797" w:type="pct"/>
            <w:tcBorders>
              <w:left w:val="single" w:sz="4" w:space="0" w:color="auto"/>
            </w:tcBorders>
            <w:shd w:val="clear" w:color="auto" w:fill="auto"/>
            <w:vAlign w:val="bottom"/>
          </w:tcPr>
          <w:p w14:paraId="7A6DE246" w14:textId="77777777" w:rsidR="00BE2D90" w:rsidRPr="006128F6" w:rsidRDefault="00BE2D90" w:rsidP="00D41CC1">
            <w:pPr>
              <w:keepNext/>
              <w:keepLines/>
              <w:spacing w:line="240" w:lineRule="auto"/>
              <w:rPr>
                <w:color w:val="000000"/>
                <w:lang w:eastAsia="en-GB"/>
              </w:rPr>
            </w:pPr>
            <w:r w:rsidRPr="006128F6">
              <w:rPr>
                <w:color w:val="000000"/>
                <w:vertAlign w:val="superscript"/>
                <w:lang w:eastAsia="en-GB"/>
              </w:rPr>
              <w:t>1</w:t>
            </w:r>
            <w:r w:rsidRPr="006128F6">
              <w:rPr>
                <w:color w:val="000000"/>
                <w:lang w:eastAsia="en-GB"/>
              </w:rPr>
              <w:t xml:space="preserve">Tremor </w:t>
            </w:r>
          </w:p>
        </w:tc>
        <w:tc>
          <w:tcPr>
            <w:tcW w:w="1423" w:type="pct"/>
            <w:shd w:val="clear" w:color="auto" w:fill="auto"/>
          </w:tcPr>
          <w:p w14:paraId="648E9947" w14:textId="77777777" w:rsidR="00BE2D90" w:rsidRPr="006128F6" w:rsidRDefault="00BE2D90" w:rsidP="00D41CC1">
            <w:pPr>
              <w:keepNext/>
              <w:keepLines/>
              <w:spacing w:line="240" w:lineRule="auto"/>
              <w:rPr>
                <w:color w:val="000000"/>
                <w:lang w:eastAsia="en-GB"/>
              </w:rPr>
            </w:pPr>
            <w:r w:rsidRPr="006128F6">
              <w:rPr>
                <w:color w:val="000000"/>
                <w:lang w:eastAsia="en-GB"/>
              </w:rPr>
              <w:t xml:space="preserve">Very common </w:t>
            </w:r>
          </w:p>
        </w:tc>
      </w:tr>
      <w:tr w:rsidR="00BE2D90" w:rsidRPr="006128F6" w14:paraId="1E3FE572" w14:textId="77777777" w:rsidTr="00060B21">
        <w:trPr>
          <w:cantSplit/>
        </w:trPr>
        <w:tc>
          <w:tcPr>
            <w:tcW w:w="1780" w:type="pct"/>
            <w:vMerge/>
            <w:tcBorders>
              <w:left w:val="single" w:sz="4" w:space="0" w:color="auto"/>
              <w:right w:val="single" w:sz="4" w:space="0" w:color="auto"/>
            </w:tcBorders>
            <w:shd w:val="clear" w:color="auto" w:fill="auto"/>
          </w:tcPr>
          <w:p w14:paraId="55AA2E89" w14:textId="77777777" w:rsidR="00BE2D90" w:rsidRPr="006128F6" w:rsidRDefault="00BE2D90" w:rsidP="002634DD">
            <w:pPr>
              <w:keepNext/>
              <w:spacing w:line="240" w:lineRule="auto"/>
              <w:rPr>
                <w:szCs w:val="22"/>
              </w:rPr>
            </w:pPr>
          </w:p>
        </w:tc>
        <w:tc>
          <w:tcPr>
            <w:tcW w:w="1797" w:type="pct"/>
            <w:tcBorders>
              <w:left w:val="single" w:sz="4" w:space="0" w:color="auto"/>
            </w:tcBorders>
            <w:shd w:val="clear" w:color="auto" w:fill="auto"/>
            <w:vAlign w:val="bottom"/>
          </w:tcPr>
          <w:p w14:paraId="7CC8101D" w14:textId="77777777" w:rsidR="00BE2D90" w:rsidRPr="006128F6" w:rsidRDefault="00BE2D90" w:rsidP="00D41CC1">
            <w:pPr>
              <w:keepNext/>
              <w:keepLines/>
              <w:spacing w:line="240" w:lineRule="auto"/>
              <w:rPr>
                <w:color w:val="000000"/>
                <w:lang w:eastAsia="en-GB"/>
              </w:rPr>
            </w:pPr>
            <w:r w:rsidRPr="006128F6">
              <w:rPr>
                <w:color w:val="000000"/>
                <w:lang w:eastAsia="en-GB"/>
              </w:rPr>
              <w:t xml:space="preserve">Dizziness </w:t>
            </w:r>
          </w:p>
        </w:tc>
        <w:tc>
          <w:tcPr>
            <w:tcW w:w="1423" w:type="pct"/>
            <w:shd w:val="clear" w:color="auto" w:fill="auto"/>
          </w:tcPr>
          <w:p w14:paraId="221F1A47" w14:textId="77777777" w:rsidR="00BE2D90" w:rsidRPr="006128F6" w:rsidRDefault="00BE2D90" w:rsidP="00D41CC1">
            <w:pPr>
              <w:keepNext/>
              <w:keepLines/>
              <w:spacing w:line="240" w:lineRule="auto"/>
              <w:rPr>
                <w:color w:val="000000"/>
                <w:lang w:eastAsia="en-GB"/>
              </w:rPr>
            </w:pPr>
            <w:r w:rsidRPr="006128F6">
              <w:rPr>
                <w:color w:val="000000"/>
                <w:lang w:eastAsia="en-GB"/>
              </w:rPr>
              <w:t xml:space="preserve">Very common </w:t>
            </w:r>
          </w:p>
        </w:tc>
      </w:tr>
      <w:tr w:rsidR="00BE2D90" w:rsidRPr="006128F6" w14:paraId="7BBEB5C5" w14:textId="77777777" w:rsidTr="00060B21">
        <w:trPr>
          <w:cantSplit/>
        </w:trPr>
        <w:tc>
          <w:tcPr>
            <w:tcW w:w="1780" w:type="pct"/>
            <w:vMerge/>
            <w:tcBorders>
              <w:left w:val="single" w:sz="4" w:space="0" w:color="auto"/>
              <w:right w:val="single" w:sz="4" w:space="0" w:color="auto"/>
            </w:tcBorders>
            <w:shd w:val="clear" w:color="auto" w:fill="auto"/>
          </w:tcPr>
          <w:p w14:paraId="1451FD1D" w14:textId="77777777" w:rsidR="00BE2D90" w:rsidRPr="006128F6" w:rsidRDefault="00BE2D90" w:rsidP="002634DD">
            <w:pPr>
              <w:keepNext/>
              <w:spacing w:line="240" w:lineRule="auto"/>
              <w:rPr>
                <w:szCs w:val="22"/>
              </w:rPr>
            </w:pPr>
          </w:p>
        </w:tc>
        <w:tc>
          <w:tcPr>
            <w:tcW w:w="1797" w:type="pct"/>
            <w:tcBorders>
              <w:left w:val="single" w:sz="4" w:space="0" w:color="auto"/>
            </w:tcBorders>
            <w:shd w:val="clear" w:color="auto" w:fill="auto"/>
            <w:vAlign w:val="bottom"/>
          </w:tcPr>
          <w:p w14:paraId="28680BF1" w14:textId="77777777" w:rsidR="00BE2D90" w:rsidRPr="006128F6" w:rsidRDefault="00BE2D90" w:rsidP="006128F6">
            <w:pPr>
              <w:keepNext/>
              <w:keepLines/>
              <w:spacing w:line="240" w:lineRule="auto"/>
              <w:rPr>
                <w:color w:val="000000"/>
                <w:lang w:eastAsia="en-GB"/>
              </w:rPr>
            </w:pPr>
            <w:r w:rsidRPr="006128F6">
              <w:rPr>
                <w:color w:val="000000"/>
                <w:lang w:eastAsia="en-GB"/>
              </w:rPr>
              <w:t xml:space="preserve">Headache </w:t>
            </w:r>
          </w:p>
        </w:tc>
        <w:tc>
          <w:tcPr>
            <w:tcW w:w="1423" w:type="pct"/>
            <w:shd w:val="clear" w:color="auto" w:fill="auto"/>
          </w:tcPr>
          <w:p w14:paraId="3A9EDE30" w14:textId="77777777" w:rsidR="00BE2D90" w:rsidRPr="006128F6" w:rsidRDefault="00BE2D90" w:rsidP="006128F6">
            <w:pPr>
              <w:keepNext/>
              <w:keepLines/>
              <w:spacing w:line="240" w:lineRule="auto"/>
              <w:rPr>
                <w:color w:val="000000"/>
                <w:lang w:eastAsia="en-GB"/>
              </w:rPr>
            </w:pPr>
            <w:r w:rsidRPr="006128F6">
              <w:rPr>
                <w:color w:val="000000"/>
                <w:lang w:eastAsia="en-GB"/>
              </w:rPr>
              <w:t xml:space="preserve">Very common </w:t>
            </w:r>
          </w:p>
        </w:tc>
      </w:tr>
      <w:tr w:rsidR="00BE2D90" w:rsidRPr="006128F6" w14:paraId="3EF5E896" w14:textId="77777777" w:rsidTr="00060B21">
        <w:trPr>
          <w:cantSplit/>
        </w:trPr>
        <w:tc>
          <w:tcPr>
            <w:tcW w:w="1780" w:type="pct"/>
            <w:vMerge/>
            <w:tcBorders>
              <w:left w:val="single" w:sz="4" w:space="0" w:color="auto"/>
              <w:right w:val="single" w:sz="4" w:space="0" w:color="auto"/>
            </w:tcBorders>
            <w:shd w:val="clear" w:color="auto" w:fill="auto"/>
          </w:tcPr>
          <w:p w14:paraId="5E503AB4" w14:textId="77777777" w:rsidR="00BE2D90" w:rsidRPr="006128F6" w:rsidRDefault="00BE2D90" w:rsidP="002634DD">
            <w:pPr>
              <w:keepNext/>
              <w:spacing w:line="240" w:lineRule="auto"/>
              <w:rPr>
                <w:szCs w:val="22"/>
              </w:rPr>
            </w:pPr>
          </w:p>
        </w:tc>
        <w:tc>
          <w:tcPr>
            <w:tcW w:w="1797" w:type="pct"/>
            <w:tcBorders>
              <w:left w:val="single" w:sz="4" w:space="0" w:color="auto"/>
            </w:tcBorders>
            <w:shd w:val="clear" w:color="auto" w:fill="auto"/>
            <w:vAlign w:val="bottom"/>
          </w:tcPr>
          <w:p w14:paraId="46E8FA36" w14:textId="77777777" w:rsidR="00BE2D90" w:rsidRPr="006128F6" w:rsidRDefault="00BE2D90" w:rsidP="006128F6">
            <w:pPr>
              <w:keepNext/>
              <w:keepLines/>
              <w:spacing w:line="240" w:lineRule="auto"/>
              <w:rPr>
                <w:color w:val="000000"/>
                <w:lang w:eastAsia="en-GB"/>
              </w:rPr>
            </w:pPr>
            <w:r w:rsidRPr="006128F6">
              <w:rPr>
                <w:color w:val="000000"/>
                <w:lang w:eastAsia="en-GB"/>
              </w:rPr>
              <w:t xml:space="preserve">Paraesthesia </w:t>
            </w:r>
          </w:p>
        </w:tc>
        <w:tc>
          <w:tcPr>
            <w:tcW w:w="1423" w:type="pct"/>
            <w:shd w:val="clear" w:color="auto" w:fill="auto"/>
          </w:tcPr>
          <w:p w14:paraId="72D3B5E4" w14:textId="77777777" w:rsidR="00BE2D90" w:rsidRPr="006128F6" w:rsidRDefault="00BE2D90" w:rsidP="006128F6">
            <w:pPr>
              <w:keepNext/>
              <w:keepLines/>
              <w:spacing w:line="240" w:lineRule="auto"/>
              <w:rPr>
                <w:color w:val="000000"/>
                <w:lang w:eastAsia="en-GB"/>
              </w:rPr>
            </w:pPr>
            <w:r w:rsidRPr="006128F6">
              <w:rPr>
                <w:color w:val="000000"/>
                <w:lang w:eastAsia="en-GB"/>
              </w:rPr>
              <w:t xml:space="preserve">Very common </w:t>
            </w:r>
          </w:p>
        </w:tc>
      </w:tr>
      <w:tr w:rsidR="00BE2D90" w:rsidRPr="006128F6" w14:paraId="1076D676" w14:textId="77777777" w:rsidTr="00060B21">
        <w:trPr>
          <w:cantSplit/>
        </w:trPr>
        <w:tc>
          <w:tcPr>
            <w:tcW w:w="1780" w:type="pct"/>
            <w:vMerge/>
            <w:tcBorders>
              <w:left w:val="single" w:sz="4" w:space="0" w:color="auto"/>
              <w:right w:val="single" w:sz="4" w:space="0" w:color="auto"/>
            </w:tcBorders>
            <w:shd w:val="clear" w:color="auto" w:fill="auto"/>
          </w:tcPr>
          <w:p w14:paraId="7AE88699" w14:textId="77777777" w:rsidR="00BE2D90" w:rsidRPr="006128F6" w:rsidRDefault="00BE2D90" w:rsidP="002634DD">
            <w:pPr>
              <w:keepNext/>
              <w:spacing w:line="240" w:lineRule="auto"/>
              <w:rPr>
                <w:szCs w:val="22"/>
              </w:rPr>
            </w:pPr>
          </w:p>
        </w:tc>
        <w:tc>
          <w:tcPr>
            <w:tcW w:w="1797" w:type="pct"/>
            <w:tcBorders>
              <w:left w:val="single" w:sz="4" w:space="0" w:color="auto"/>
            </w:tcBorders>
            <w:shd w:val="clear" w:color="auto" w:fill="auto"/>
            <w:vAlign w:val="bottom"/>
          </w:tcPr>
          <w:p w14:paraId="4580A00E" w14:textId="77777777" w:rsidR="00BE2D90" w:rsidRPr="006128F6" w:rsidRDefault="00BE2D90" w:rsidP="006128F6">
            <w:pPr>
              <w:keepNext/>
              <w:keepLines/>
              <w:spacing w:line="240" w:lineRule="auto"/>
              <w:rPr>
                <w:color w:val="000000"/>
                <w:lang w:eastAsia="en-GB"/>
              </w:rPr>
            </w:pPr>
            <w:r w:rsidRPr="006128F6">
              <w:rPr>
                <w:color w:val="000000"/>
                <w:lang w:eastAsia="en-GB"/>
              </w:rPr>
              <w:t xml:space="preserve">Dysgeusia </w:t>
            </w:r>
          </w:p>
        </w:tc>
        <w:tc>
          <w:tcPr>
            <w:tcW w:w="1423" w:type="pct"/>
            <w:shd w:val="clear" w:color="auto" w:fill="auto"/>
          </w:tcPr>
          <w:p w14:paraId="72891851" w14:textId="77777777" w:rsidR="00BE2D90" w:rsidRPr="006128F6" w:rsidRDefault="00BE2D90" w:rsidP="006128F6">
            <w:pPr>
              <w:keepNext/>
              <w:keepLines/>
              <w:spacing w:line="240" w:lineRule="auto"/>
              <w:rPr>
                <w:color w:val="000000"/>
                <w:lang w:eastAsia="en-GB"/>
              </w:rPr>
            </w:pPr>
            <w:r w:rsidRPr="006128F6">
              <w:rPr>
                <w:color w:val="000000"/>
                <w:lang w:eastAsia="en-GB"/>
              </w:rPr>
              <w:t xml:space="preserve">Very common </w:t>
            </w:r>
          </w:p>
        </w:tc>
      </w:tr>
      <w:tr w:rsidR="00BE2D90" w:rsidRPr="006128F6" w14:paraId="7D99F815" w14:textId="77777777" w:rsidTr="00060B21">
        <w:trPr>
          <w:cantSplit/>
        </w:trPr>
        <w:tc>
          <w:tcPr>
            <w:tcW w:w="1780" w:type="pct"/>
            <w:vMerge/>
            <w:tcBorders>
              <w:left w:val="single" w:sz="4" w:space="0" w:color="auto"/>
              <w:right w:val="single" w:sz="4" w:space="0" w:color="auto"/>
            </w:tcBorders>
            <w:shd w:val="clear" w:color="auto" w:fill="auto"/>
          </w:tcPr>
          <w:p w14:paraId="3A0E2A3C" w14:textId="77777777" w:rsidR="00BE2D90" w:rsidRPr="006128F6" w:rsidRDefault="00BE2D90" w:rsidP="002634DD">
            <w:pPr>
              <w:keepNext/>
              <w:spacing w:line="240" w:lineRule="auto"/>
              <w:rPr>
                <w:szCs w:val="22"/>
              </w:rPr>
            </w:pPr>
          </w:p>
        </w:tc>
        <w:tc>
          <w:tcPr>
            <w:tcW w:w="1797" w:type="pct"/>
            <w:tcBorders>
              <w:left w:val="single" w:sz="4" w:space="0" w:color="auto"/>
            </w:tcBorders>
            <w:shd w:val="clear" w:color="auto" w:fill="auto"/>
            <w:vAlign w:val="bottom"/>
          </w:tcPr>
          <w:p w14:paraId="4C771092" w14:textId="77777777" w:rsidR="00BE2D90" w:rsidRPr="006128F6" w:rsidRDefault="00BE2D90" w:rsidP="006128F6">
            <w:pPr>
              <w:keepNext/>
              <w:keepLines/>
              <w:spacing w:line="240" w:lineRule="auto"/>
              <w:rPr>
                <w:color w:val="000000"/>
                <w:lang w:eastAsia="en-GB"/>
              </w:rPr>
            </w:pPr>
            <w:r w:rsidRPr="006128F6">
              <w:rPr>
                <w:color w:val="000000"/>
                <w:lang w:eastAsia="en-GB"/>
              </w:rPr>
              <w:t xml:space="preserve">Peripheral neuropathy </w:t>
            </w:r>
          </w:p>
        </w:tc>
        <w:tc>
          <w:tcPr>
            <w:tcW w:w="1423" w:type="pct"/>
            <w:shd w:val="clear" w:color="auto" w:fill="auto"/>
          </w:tcPr>
          <w:p w14:paraId="0EC3838A" w14:textId="77777777" w:rsidR="00BE2D90" w:rsidRPr="006128F6" w:rsidRDefault="00BE2D90" w:rsidP="006128F6">
            <w:pPr>
              <w:keepNext/>
              <w:keepLines/>
              <w:spacing w:line="240" w:lineRule="auto"/>
              <w:rPr>
                <w:color w:val="000000"/>
                <w:lang w:eastAsia="en-GB"/>
              </w:rPr>
            </w:pPr>
            <w:r w:rsidRPr="006128F6">
              <w:rPr>
                <w:color w:val="000000"/>
                <w:lang w:eastAsia="en-GB"/>
              </w:rPr>
              <w:t xml:space="preserve">Common </w:t>
            </w:r>
          </w:p>
        </w:tc>
      </w:tr>
      <w:tr w:rsidR="00BE2D90" w:rsidRPr="006128F6" w14:paraId="5F6F905D" w14:textId="77777777" w:rsidTr="00060B21">
        <w:trPr>
          <w:cantSplit/>
        </w:trPr>
        <w:tc>
          <w:tcPr>
            <w:tcW w:w="1780" w:type="pct"/>
            <w:vMerge/>
            <w:tcBorders>
              <w:left w:val="single" w:sz="4" w:space="0" w:color="auto"/>
              <w:right w:val="single" w:sz="4" w:space="0" w:color="auto"/>
            </w:tcBorders>
            <w:shd w:val="clear" w:color="auto" w:fill="auto"/>
          </w:tcPr>
          <w:p w14:paraId="16CF2B40" w14:textId="77777777" w:rsidR="00BE2D90" w:rsidRPr="006128F6" w:rsidRDefault="00BE2D90" w:rsidP="006128F6">
            <w:pPr>
              <w:spacing w:line="240" w:lineRule="auto"/>
              <w:rPr>
                <w:szCs w:val="22"/>
              </w:rPr>
            </w:pPr>
          </w:p>
        </w:tc>
        <w:tc>
          <w:tcPr>
            <w:tcW w:w="1797" w:type="pct"/>
            <w:tcBorders>
              <w:left w:val="single" w:sz="4" w:space="0" w:color="auto"/>
            </w:tcBorders>
            <w:shd w:val="clear" w:color="auto" w:fill="auto"/>
            <w:vAlign w:val="bottom"/>
          </w:tcPr>
          <w:p w14:paraId="24BB0633" w14:textId="77777777" w:rsidR="00BE2D90" w:rsidRPr="006128F6" w:rsidRDefault="00BE2D90" w:rsidP="006128F6">
            <w:pPr>
              <w:keepNext/>
              <w:keepLines/>
              <w:spacing w:line="240" w:lineRule="auto"/>
              <w:rPr>
                <w:color w:val="000000"/>
                <w:lang w:eastAsia="en-GB"/>
              </w:rPr>
            </w:pPr>
            <w:r w:rsidRPr="006128F6">
              <w:rPr>
                <w:color w:val="000000"/>
                <w:lang w:eastAsia="en-GB"/>
              </w:rPr>
              <w:t xml:space="preserve">Hypertonia </w:t>
            </w:r>
          </w:p>
        </w:tc>
        <w:tc>
          <w:tcPr>
            <w:tcW w:w="1423" w:type="pct"/>
            <w:shd w:val="clear" w:color="auto" w:fill="auto"/>
          </w:tcPr>
          <w:p w14:paraId="35E9A519" w14:textId="77777777" w:rsidR="00BE2D90" w:rsidRPr="006128F6" w:rsidRDefault="00BE2D90" w:rsidP="006128F6">
            <w:pPr>
              <w:keepNext/>
              <w:keepLines/>
              <w:spacing w:line="240" w:lineRule="auto"/>
              <w:rPr>
                <w:color w:val="000000"/>
                <w:lang w:eastAsia="en-GB"/>
              </w:rPr>
            </w:pPr>
            <w:r w:rsidRPr="006128F6">
              <w:rPr>
                <w:color w:val="000000"/>
                <w:lang w:eastAsia="en-GB"/>
              </w:rPr>
              <w:t xml:space="preserve">Common </w:t>
            </w:r>
          </w:p>
        </w:tc>
      </w:tr>
      <w:tr w:rsidR="00BE2D90" w:rsidRPr="006128F6" w14:paraId="786A361A" w14:textId="77777777" w:rsidTr="00060B21">
        <w:trPr>
          <w:cantSplit/>
        </w:trPr>
        <w:tc>
          <w:tcPr>
            <w:tcW w:w="1780" w:type="pct"/>
            <w:vMerge/>
            <w:tcBorders>
              <w:left w:val="single" w:sz="4" w:space="0" w:color="auto"/>
              <w:bottom w:val="nil"/>
              <w:right w:val="single" w:sz="4" w:space="0" w:color="auto"/>
            </w:tcBorders>
            <w:shd w:val="clear" w:color="auto" w:fill="auto"/>
          </w:tcPr>
          <w:p w14:paraId="56022948" w14:textId="77777777" w:rsidR="00BE2D90" w:rsidRPr="006128F6" w:rsidRDefault="00BE2D90" w:rsidP="006128F6">
            <w:pPr>
              <w:spacing w:line="240" w:lineRule="auto"/>
              <w:rPr>
                <w:szCs w:val="22"/>
              </w:rPr>
            </w:pPr>
          </w:p>
        </w:tc>
        <w:tc>
          <w:tcPr>
            <w:tcW w:w="1797" w:type="pct"/>
            <w:tcBorders>
              <w:left w:val="single" w:sz="4" w:space="0" w:color="auto"/>
            </w:tcBorders>
            <w:shd w:val="clear" w:color="auto" w:fill="auto"/>
            <w:vAlign w:val="bottom"/>
          </w:tcPr>
          <w:p w14:paraId="2BF6A5C5" w14:textId="77777777" w:rsidR="00BE2D90" w:rsidRPr="006128F6" w:rsidRDefault="00BE2D90" w:rsidP="006128F6">
            <w:pPr>
              <w:keepNext/>
              <w:keepLines/>
              <w:spacing w:line="240" w:lineRule="auto"/>
              <w:rPr>
                <w:color w:val="000000"/>
                <w:lang w:eastAsia="en-GB"/>
              </w:rPr>
            </w:pPr>
            <w:r w:rsidRPr="006128F6">
              <w:rPr>
                <w:color w:val="000000"/>
                <w:lang w:eastAsia="en-GB"/>
              </w:rPr>
              <w:t xml:space="preserve">Somnolence </w:t>
            </w:r>
          </w:p>
        </w:tc>
        <w:tc>
          <w:tcPr>
            <w:tcW w:w="1423" w:type="pct"/>
            <w:shd w:val="clear" w:color="auto" w:fill="auto"/>
          </w:tcPr>
          <w:p w14:paraId="30423EA6" w14:textId="77777777" w:rsidR="00BE2D90" w:rsidRPr="006128F6" w:rsidRDefault="00BE2D90" w:rsidP="006128F6">
            <w:pPr>
              <w:keepNext/>
              <w:keepLines/>
              <w:spacing w:line="240" w:lineRule="auto"/>
              <w:rPr>
                <w:color w:val="000000"/>
                <w:lang w:eastAsia="en-GB"/>
              </w:rPr>
            </w:pPr>
            <w:r w:rsidRPr="006128F6">
              <w:rPr>
                <w:color w:val="000000"/>
                <w:lang w:eastAsia="en-GB"/>
              </w:rPr>
              <w:t xml:space="preserve">Common </w:t>
            </w:r>
          </w:p>
        </w:tc>
      </w:tr>
      <w:tr w:rsidR="00BE2D90" w:rsidRPr="006128F6" w14:paraId="054E1EDB" w14:textId="77777777" w:rsidTr="00EE467A">
        <w:trPr>
          <w:cantSplit/>
        </w:trPr>
        <w:tc>
          <w:tcPr>
            <w:tcW w:w="1780" w:type="pct"/>
            <w:vMerge w:val="restart"/>
            <w:tcBorders>
              <w:top w:val="single" w:sz="4" w:space="0" w:color="auto"/>
            </w:tcBorders>
            <w:shd w:val="clear" w:color="auto" w:fill="auto"/>
          </w:tcPr>
          <w:p w14:paraId="6D3A18A4" w14:textId="77777777" w:rsidR="00BE2D90" w:rsidRPr="006128F6" w:rsidRDefault="00BE2D90" w:rsidP="006128F6">
            <w:pPr>
              <w:keepNext/>
              <w:spacing w:line="240" w:lineRule="auto"/>
              <w:rPr>
                <w:szCs w:val="22"/>
              </w:rPr>
            </w:pPr>
            <w:r w:rsidRPr="006128F6">
              <w:rPr>
                <w:rFonts w:eastAsia="SimSun"/>
                <w:szCs w:val="22"/>
                <w:lang w:eastAsia="en-GB"/>
              </w:rPr>
              <w:t>Eye disorders</w:t>
            </w:r>
          </w:p>
        </w:tc>
        <w:tc>
          <w:tcPr>
            <w:tcW w:w="1797" w:type="pct"/>
            <w:shd w:val="clear" w:color="auto" w:fill="auto"/>
            <w:vAlign w:val="bottom"/>
          </w:tcPr>
          <w:p w14:paraId="68D03B5E" w14:textId="77777777" w:rsidR="00BE2D90" w:rsidRPr="006128F6" w:rsidRDefault="00BE2D90" w:rsidP="006128F6">
            <w:pPr>
              <w:spacing w:line="240" w:lineRule="auto"/>
              <w:rPr>
                <w:color w:val="000000"/>
                <w:lang w:eastAsia="en-GB"/>
              </w:rPr>
            </w:pPr>
            <w:r w:rsidRPr="006128F6">
              <w:rPr>
                <w:color w:val="000000"/>
                <w:lang w:eastAsia="en-GB"/>
              </w:rPr>
              <w:t xml:space="preserve">Conjunctivitis </w:t>
            </w:r>
          </w:p>
        </w:tc>
        <w:tc>
          <w:tcPr>
            <w:tcW w:w="1423" w:type="pct"/>
            <w:shd w:val="clear" w:color="auto" w:fill="auto"/>
          </w:tcPr>
          <w:p w14:paraId="178285A7" w14:textId="77777777" w:rsidR="00BE2D90" w:rsidRPr="006128F6" w:rsidRDefault="00BE2D90" w:rsidP="006128F6">
            <w:pPr>
              <w:spacing w:line="240" w:lineRule="auto"/>
              <w:rPr>
                <w:color w:val="000000"/>
                <w:lang w:eastAsia="en-GB"/>
              </w:rPr>
            </w:pPr>
            <w:r w:rsidRPr="006128F6">
              <w:rPr>
                <w:color w:val="000000"/>
                <w:lang w:eastAsia="en-GB"/>
              </w:rPr>
              <w:t xml:space="preserve">Very common </w:t>
            </w:r>
          </w:p>
        </w:tc>
      </w:tr>
      <w:tr w:rsidR="00BE2D90" w:rsidRPr="006128F6" w14:paraId="19E48D07" w14:textId="77777777" w:rsidTr="00EE467A">
        <w:trPr>
          <w:cantSplit/>
        </w:trPr>
        <w:tc>
          <w:tcPr>
            <w:tcW w:w="1780" w:type="pct"/>
            <w:vMerge/>
            <w:shd w:val="clear" w:color="auto" w:fill="auto"/>
          </w:tcPr>
          <w:p w14:paraId="21025A1A" w14:textId="77777777" w:rsidR="00BE2D90" w:rsidRPr="006128F6" w:rsidRDefault="00BE2D90" w:rsidP="006128F6">
            <w:pPr>
              <w:keepNext/>
              <w:spacing w:line="240" w:lineRule="auto"/>
              <w:rPr>
                <w:rFonts w:eastAsia="SimSun"/>
                <w:szCs w:val="22"/>
                <w:lang w:eastAsia="en-GB"/>
              </w:rPr>
            </w:pPr>
          </w:p>
        </w:tc>
        <w:tc>
          <w:tcPr>
            <w:tcW w:w="1797" w:type="pct"/>
            <w:shd w:val="clear" w:color="auto" w:fill="auto"/>
            <w:vAlign w:val="bottom"/>
          </w:tcPr>
          <w:p w14:paraId="7247672B" w14:textId="77777777" w:rsidR="00BE2D90" w:rsidRPr="006128F6" w:rsidRDefault="00BE2D90" w:rsidP="006128F6">
            <w:pPr>
              <w:spacing w:line="240" w:lineRule="auto"/>
              <w:rPr>
                <w:color w:val="000000"/>
                <w:lang w:eastAsia="en-GB"/>
              </w:rPr>
            </w:pPr>
            <w:r w:rsidRPr="006128F6">
              <w:rPr>
                <w:color w:val="000000"/>
                <w:lang w:eastAsia="en-GB"/>
              </w:rPr>
              <w:t xml:space="preserve">Lacrimation increased </w:t>
            </w:r>
          </w:p>
        </w:tc>
        <w:tc>
          <w:tcPr>
            <w:tcW w:w="1423" w:type="pct"/>
            <w:shd w:val="clear" w:color="auto" w:fill="auto"/>
          </w:tcPr>
          <w:p w14:paraId="384DC0A7" w14:textId="77777777" w:rsidR="00BE2D90" w:rsidRPr="006128F6" w:rsidRDefault="00BE2D90" w:rsidP="006128F6">
            <w:pPr>
              <w:spacing w:line="240" w:lineRule="auto"/>
              <w:rPr>
                <w:color w:val="000000"/>
                <w:lang w:eastAsia="en-GB"/>
              </w:rPr>
            </w:pPr>
            <w:r w:rsidRPr="006128F6">
              <w:rPr>
                <w:color w:val="000000"/>
                <w:lang w:eastAsia="en-GB"/>
              </w:rPr>
              <w:t xml:space="preserve">Very common </w:t>
            </w:r>
          </w:p>
        </w:tc>
      </w:tr>
      <w:tr w:rsidR="00BE2D90" w:rsidRPr="006128F6" w14:paraId="0677CAC4" w14:textId="77777777" w:rsidTr="00EE467A">
        <w:trPr>
          <w:cantSplit/>
        </w:trPr>
        <w:tc>
          <w:tcPr>
            <w:tcW w:w="1780" w:type="pct"/>
            <w:vMerge/>
            <w:shd w:val="clear" w:color="auto" w:fill="auto"/>
          </w:tcPr>
          <w:p w14:paraId="70030E85" w14:textId="77777777" w:rsidR="00BE2D90" w:rsidRPr="006128F6" w:rsidRDefault="00BE2D90" w:rsidP="006128F6">
            <w:pPr>
              <w:keepNext/>
              <w:spacing w:line="240" w:lineRule="auto"/>
              <w:rPr>
                <w:rFonts w:eastAsia="SimSun"/>
                <w:szCs w:val="22"/>
                <w:lang w:eastAsia="en-GB"/>
              </w:rPr>
            </w:pPr>
          </w:p>
        </w:tc>
        <w:tc>
          <w:tcPr>
            <w:tcW w:w="1797" w:type="pct"/>
            <w:shd w:val="clear" w:color="auto" w:fill="auto"/>
            <w:vAlign w:val="bottom"/>
          </w:tcPr>
          <w:p w14:paraId="4051015F" w14:textId="77777777" w:rsidR="00BE2D90" w:rsidRPr="006128F6" w:rsidRDefault="00BE2D90" w:rsidP="006128F6">
            <w:pPr>
              <w:spacing w:line="240" w:lineRule="auto"/>
              <w:rPr>
                <w:color w:val="000000"/>
                <w:lang w:eastAsia="en-GB"/>
              </w:rPr>
            </w:pPr>
            <w:r w:rsidRPr="006128F6">
              <w:rPr>
                <w:color w:val="000000"/>
                <w:lang w:eastAsia="en-GB"/>
              </w:rPr>
              <w:t xml:space="preserve">Dry eye </w:t>
            </w:r>
          </w:p>
        </w:tc>
        <w:tc>
          <w:tcPr>
            <w:tcW w:w="1423" w:type="pct"/>
            <w:shd w:val="clear" w:color="auto" w:fill="auto"/>
          </w:tcPr>
          <w:p w14:paraId="7EAE797E" w14:textId="77777777" w:rsidR="00BE2D90" w:rsidRPr="006128F6" w:rsidRDefault="00BE2D90" w:rsidP="006128F6">
            <w:pPr>
              <w:spacing w:line="240" w:lineRule="auto"/>
              <w:rPr>
                <w:color w:val="000000"/>
                <w:lang w:eastAsia="en-GB"/>
              </w:rPr>
            </w:pPr>
            <w:r w:rsidRPr="006128F6">
              <w:rPr>
                <w:color w:val="000000"/>
                <w:lang w:eastAsia="en-GB"/>
              </w:rPr>
              <w:t xml:space="preserve">Common </w:t>
            </w:r>
          </w:p>
        </w:tc>
      </w:tr>
      <w:tr w:rsidR="00BE2D90" w:rsidRPr="006128F6" w14:paraId="338045BB" w14:textId="77777777" w:rsidTr="00EE467A">
        <w:trPr>
          <w:cantSplit/>
        </w:trPr>
        <w:tc>
          <w:tcPr>
            <w:tcW w:w="1780" w:type="pct"/>
            <w:vMerge/>
            <w:shd w:val="clear" w:color="auto" w:fill="auto"/>
          </w:tcPr>
          <w:p w14:paraId="3CAA7B93" w14:textId="77777777" w:rsidR="00BE2D90" w:rsidRPr="006128F6" w:rsidRDefault="00BE2D90" w:rsidP="006128F6">
            <w:pPr>
              <w:keepNext/>
              <w:spacing w:line="240" w:lineRule="auto"/>
              <w:rPr>
                <w:rFonts w:eastAsia="SimSun"/>
                <w:szCs w:val="22"/>
                <w:lang w:eastAsia="en-GB"/>
              </w:rPr>
            </w:pPr>
          </w:p>
        </w:tc>
        <w:tc>
          <w:tcPr>
            <w:tcW w:w="1797" w:type="pct"/>
            <w:shd w:val="clear" w:color="auto" w:fill="auto"/>
            <w:vAlign w:val="bottom"/>
          </w:tcPr>
          <w:p w14:paraId="73537CFB" w14:textId="77777777" w:rsidR="00BE2D90" w:rsidRPr="006128F6" w:rsidRDefault="00BE2D90" w:rsidP="006128F6">
            <w:pPr>
              <w:spacing w:line="240" w:lineRule="auto"/>
              <w:rPr>
                <w:color w:val="000000"/>
                <w:lang w:eastAsia="en-GB"/>
              </w:rPr>
            </w:pPr>
            <w:r w:rsidRPr="006128F6">
              <w:rPr>
                <w:color w:val="000000"/>
                <w:lang w:eastAsia="en-GB"/>
              </w:rPr>
              <w:t xml:space="preserve">Papilloedema </w:t>
            </w:r>
          </w:p>
        </w:tc>
        <w:tc>
          <w:tcPr>
            <w:tcW w:w="1423" w:type="pct"/>
            <w:shd w:val="clear" w:color="auto" w:fill="auto"/>
          </w:tcPr>
          <w:p w14:paraId="64EEAD6E" w14:textId="77777777" w:rsidR="00BE2D90" w:rsidRPr="006128F6" w:rsidRDefault="00BE2D90" w:rsidP="006128F6">
            <w:pPr>
              <w:spacing w:line="240" w:lineRule="auto"/>
              <w:rPr>
                <w:color w:val="000000"/>
                <w:lang w:eastAsia="en-GB"/>
              </w:rPr>
            </w:pPr>
            <w:r w:rsidRPr="006128F6">
              <w:rPr>
                <w:color w:val="000000"/>
                <w:lang w:eastAsia="en-GB"/>
              </w:rPr>
              <w:t xml:space="preserve">Not known </w:t>
            </w:r>
          </w:p>
        </w:tc>
      </w:tr>
      <w:tr w:rsidR="00BE2D90" w:rsidRPr="006128F6" w14:paraId="23306DFA" w14:textId="77777777" w:rsidTr="00EE467A">
        <w:trPr>
          <w:cantSplit/>
        </w:trPr>
        <w:tc>
          <w:tcPr>
            <w:tcW w:w="1780" w:type="pct"/>
            <w:vMerge/>
            <w:shd w:val="clear" w:color="auto" w:fill="auto"/>
          </w:tcPr>
          <w:p w14:paraId="5AFFD892" w14:textId="77777777" w:rsidR="00BE2D90" w:rsidRPr="006128F6" w:rsidRDefault="00BE2D90" w:rsidP="006128F6">
            <w:pPr>
              <w:spacing w:line="240" w:lineRule="auto"/>
              <w:rPr>
                <w:rFonts w:eastAsia="SimSun"/>
                <w:szCs w:val="22"/>
                <w:lang w:eastAsia="en-GB"/>
              </w:rPr>
            </w:pPr>
          </w:p>
        </w:tc>
        <w:tc>
          <w:tcPr>
            <w:tcW w:w="1797" w:type="pct"/>
            <w:shd w:val="clear" w:color="auto" w:fill="auto"/>
            <w:vAlign w:val="bottom"/>
          </w:tcPr>
          <w:p w14:paraId="24243760" w14:textId="77777777" w:rsidR="00BE2D90" w:rsidRPr="006128F6" w:rsidRDefault="00BE2D90" w:rsidP="006128F6">
            <w:pPr>
              <w:spacing w:line="240" w:lineRule="auto"/>
              <w:rPr>
                <w:color w:val="000000"/>
                <w:lang w:eastAsia="en-GB"/>
              </w:rPr>
            </w:pPr>
            <w:r w:rsidRPr="006128F6">
              <w:rPr>
                <w:color w:val="000000"/>
                <w:lang w:eastAsia="en-GB"/>
              </w:rPr>
              <w:t xml:space="preserve">Retinal haemorrhage </w:t>
            </w:r>
          </w:p>
        </w:tc>
        <w:tc>
          <w:tcPr>
            <w:tcW w:w="1423" w:type="pct"/>
            <w:shd w:val="clear" w:color="auto" w:fill="auto"/>
          </w:tcPr>
          <w:p w14:paraId="1C6D2BA7" w14:textId="77777777" w:rsidR="00BE2D90" w:rsidRPr="006128F6" w:rsidRDefault="00BE2D90" w:rsidP="006128F6">
            <w:pPr>
              <w:spacing w:line="240" w:lineRule="auto"/>
              <w:rPr>
                <w:color w:val="000000"/>
                <w:lang w:eastAsia="en-GB"/>
              </w:rPr>
            </w:pPr>
            <w:r w:rsidRPr="006128F6">
              <w:rPr>
                <w:color w:val="000000"/>
                <w:lang w:eastAsia="en-GB"/>
              </w:rPr>
              <w:t xml:space="preserve">Not known </w:t>
            </w:r>
          </w:p>
        </w:tc>
      </w:tr>
      <w:tr w:rsidR="001C1284" w:rsidRPr="006128F6" w14:paraId="3074D97D" w14:textId="77777777" w:rsidTr="00081416">
        <w:trPr>
          <w:cantSplit/>
        </w:trPr>
        <w:tc>
          <w:tcPr>
            <w:tcW w:w="1780" w:type="pct"/>
            <w:tcBorders>
              <w:bottom w:val="single" w:sz="4" w:space="0" w:color="auto"/>
            </w:tcBorders>
            <w:shd w:val="clear" w:color="auto" w:fill="auto"/>
          </w:tcPr>
          <w:p w14:paraId="13F7CE2A" w14:textId="77777777" w:rsidR="001C1284" w:rsidRPr="006128F6" w:rsidRDefault="001C1284" w:rsidP="006128F6">
            <w:pPr>
              <w:spacing w:line="240" w:lineRule="auto"/>
              <w:rPr>
                <w:rFonts w:eastAsia="SimSun"/>
                <w:szCs w:val="22"/>
                <w:lang w:eastAsia="en-GB"/>
              </w:rPr>
            </w:pPr>
            <w:r w:rsidRPr="006128F6">
              <w:rPr>
                <w:color w:val="000000"/>
                <w:lang w:eastAsia="en-GB"/>
              </w:rPr>
              <w:t>Ear and labyrinth disorders</w:t>
            </w:r>
          </w:p>
        </w:tc>
        <w:tc>
          <w:tcPr>
            <w:tcW w:w="1797" w:type="pct"/>
            <w:shd w:val="clear" w:color="auto" w:fill="auto"/>
          </w:tcPr>
          <w:p w14:paraId="24ACD988" w14:textId="77777777" w:rsidR="001C1284" w:rsidRPr="006128F6" w:rsidRDefault="001C1284" w:rsidP="006128F6">
            <w:pPr>
              <w:spacing w:line="240" w:lineRule="auto"/>
              <w:rPr>
                <w:color w:val="000000"/>
                <w:lang w:eastAsia="en-GB"/>
              </w:rPr>
            </w:pPr>
            <w:r w:rsidRPr="006128F6">
              <w:rPr>
                <w:color w:val="000000"/>
                <w:lang w:eastAsia="en-GB"/>
              </w:rPr>
              <w:t xml:space="preserve">Deafness </w:t>
            </w:r>
          </w:p>
        </w:tc>
        <w:tc>
          <w:tcPr>
            <w:tcW w:w="1423" w:type="pct"/>
            <w:shd w:val="clear" w:color="auto" w:fill="auto"/>
          </w:tcPr>
          <w:p w14:paraId="1621F9B2" w14:textId="77777777" w:rsidR="001C1284" w:rsidRPr="006128F6" w:rsidRDefault="001C1284" w:rsidP="006128F6">
            <w:pPr>
              <w:spacing w:line="240" w:lineRule="auto"/>
              <w:rPr>
                <w:color w:val="000000"/>
                <w:lang w:eastAsia="en-GB"/>
              </w:rPr>
            </w:pPr>
            <w:r w:rsidRPr="006128F6">
              <w:rPr>
                <w:color w:val="000000"/>
                <w:lang w:eastAsia="en-GB"/>
              </w:rPr>
              <w:t>Uncommon</w:t>
            </w:r>
          </w:p>
        </w:tc>
      </w:tr>
      <w:tr w:rsidR="00BE2D90" w:rsidRPr="006128F6" w14:paraId="4868987D" w14:textId="77777777" w:rsidTr="003705F5">
        <w:trPr>
          <w:cantSplit/>
        </w:trPr>
        <w:tc>
          <w:tcPr>
            <w:tcW w:w="1780" w:type="pct"/>
            <w:vMerge w:val="restart"/>
            <w:tcBorders>
              <w:top w:val="single" w:sz="4" w:space="0" w:color="auto"/>
              <w:left w:val="single" w:sz="4" w:space="0" w:color="auto"/>
              <w:right w:val="single" w:sz="4" w:space="0" w:color="auto"/>
            </w:tcBorders>
            <w:shd w:val="clear" w:color="auto" w:fill="auto"/>
          </w:tcPr>
          <w:p w14:paraId="0DC85041" w14:textId="77777777" w:rsidR="00BE2D90" w:rsidRPr="006128F6" w:rsidRDefault="00BE2D90" w:rsidP="006128F6">
            <w:pPr>
              <w:spacing w:line="240" w:lineRule="auto"/>
              <w:rPr>
                <w:szCs w:val="22"/>
              </w:rPr>
            </w:pPr>
            <w:r w:rsidRPr="006128F6">
              <w:rPr>
                <w:szCs w:val="22"/>
              </w:rPr>
              <w:t>Cardiac disorders</w:t>
            </w:r>
          </w:p>
        </w:tc>
        <w:tc>
          <w:tcPr>
            <w:tcW w:w="1797" w:type="pct"/>
            <w:tcBorders>
              <w:left w:val="single" w:sz="4" w:space="0" w:color="auto"/>
            </w:tcBorders>
            <w:shd w:val="clear" w:color="auto" w:fill="auto"/>
            <w:vAlign w:val="bottom"/>
          </w:tcPr>
          <w:p w14:paraId="58BB77CC" w14:textId="77777777" w:rsidR="00BE2D90" w:rsidRPr="006128F6" w:rsidRDefault="00BE2D90" w:rsidP="006128F6">
            <w:pPr>
              <w:spacing w:line="240" w:lineRule="auto"/>
              <w:rPr>
                <w:color w:val="000000"/>
                <w:lang w:eastAsia="en-GB"/>
              </w:rPr>
            </w:pPr>
            <w:r w:rsidRPr="006128F6">
              <w:rPr>
                <w:color w:val="000000"/>
                <w:vertAlign w:val="superscript"/>
                <w:lang w:eastAsia="en-GB"/>
              </w:rPr>
              <w:t>1</w:t>
            </w:r>
            <w:r w:rsidRPr="006128F6">
              <w:rPr>
                <w:color w:val="000000"/>
                <w:lang w:eastAsia="en-GB"/>
              </w:rPr>
              <w:t xml:space="preserve">Blood pressure decreased </w:t>
            </w:r>
          </w:p>
        </w:tc>
        <w:tc>
          <w:tcPr>
            <w:tcW w:w="1423" w:type="pct"/>
            <w:shd w:val="clear" w:color="auto" w:fill="auto"/>
          </w:tcPr>
          <w:p w14:paraId="2AEFB111" w14:textId="77777777" w:rsidR="00BE2D90" w:rsidRPr="006128F6" w:rsidRDefault="00BE2D90" w:rsidP="006128F6">
            <w:pPr>
              <w:spacing w:line="240" w:lineRule="auto"/>
              <w:rPr>
                <w:color w:val="000000"/>
                <w:lang w:eastAsia="en-GB"/>
              </w:rPr>
            </w:pPr>
            <w:r w:rsidRPr="006128F6">
              <w:rPr>
                <w:color w:val="000000"/>
                <w:lang w:eastAsia="en-GB"/>
              </w:rPr>
              <w:t xml:space="preserve">Very common </w:t>
            </w:r>
          </w:p>
        </w:tc>
      </w:tr>
      <w:tr w:rsidR="00BE2D90" w:rsidRPr="006128F6" w14:paraId="75EE2035" w14:textId="77777777" w:rsidTr="003705F5">
        <w:trPr>
          <w:cantSplit/>
        </w:trPr>
        <w:tc>
          <w:tcPr>
            <w:tcW w:w="1780" w:type="pct"/>
            <w:vMerge/>
            <w:tcBorders>
              <w:left w:val="single" w:sz="4" w:space="0" w:color="auto"/>
              <w:right w:val="single" w:sz="4" w:space="0" w:color="auto"/>
            </w:tcBorders>
            <w:shd w:val="clear" w:color="auto" w:fill="auto"/>
          </w:tcPr>
          <w:p w14:paraId="6FAEDFE7" w14:textId="77777777" w:rsidR="00BE2D90" w:rsidRPr="006128F6" w:rsidRDefault="00BE2D90" w:rsidP="006128F6">
            <w:pPr>
              <w:spacing w:line="240" w:lineRule="auto"/>
              <w:rPr>
                <w:szCs w:val="22"/>
              </w:rPr>
            </w:pPr>
          </w:p>
        </w:tc>
        <w:tc>
          <w:tcPr>
            <w:tcW w:w="1797" w:type="pct"/>
            <w:tcBorders>
              <w:left w:val="single" w:sz="4" w:space="0" w:color="auto"/>
            </w:tcBorders>
            <w:shd w:val="clear" w:color="auto" w:fill="auto"/>
            <w:vAlign w:val="bottom"/>
          </w:tcPr>
          <w:p w14:paraId="22D0A1B9" w14:textId="77777777" w:rsidR="00BE2D90" w:rsidRPr="006128F6" w:rsidRDefault="00BE2D90" w:rsidP="006128F6">
            <w:pPr>
              <w:spacing w:line="240" w:lineRule="auto"/>
              <w:rPr>
                <w:color w:val="000000"/>
                <w:lang w:eastAsia="en-GB"/>
              </w:rPr>
            </w:pPr>
            <w:r w:rsidRPr="006128F6">
              <w:rPr>
                <w:color w:val="000000"/>
                <w:vertAlign w:val="superscript"/>
                <w:lang w:eastAsia="en-GB"/>
              </w:rPr>
              <w:t>1</w:t>
            </w:r>
            <w:r w:rsidRPr="006128F6">
              <w:rPr>
                <w:color w:val="000000"/>
                <w:lang w:eastAsia="en-GB"/>
              </w:rPr>
              <w:t xml:space="preserve">Blood pressure increased </w:t>
            </w:r>
          </w:p>
        </w:tc>
        <w:tc>
          <w:tcPr>
            <w:tcW w:w="1423" w:type="pct"/>
            <w:shd w:val="clear" w:color="auto" w:fill="auto"/>
          </w:tcPr>
          <w:p w14:paraId="38D8F2FA" w14:textId="77777777" w:rsidR="00BE2D90" w:rsidRPr="006128F6" w:rsidRDefault="00BE2D90" w:rsidP="006128F6">
            <w:pPr>
              <w:spacing w:line="240" w:lineRule="auto"/>
              <w:rPr>
                <w:color w:val="000000"/>
                <w:lang w:eastAsia="en-GB"/>
              </w:rPr>
            </w:pPr>
            <w:r w:rsidRPr="006128F6">
              <w:rPr>
                <w:color w:val="000000"/>
                <w:lang w:eastAsia="en-GB"/>
              </w:rPr>
              <w:t xml:space="preserve">Very common </w:t>
            </w:r>
          </w:p>
        </w:tc>
      </w:tr>
      <w:tr w:rsidR="00BE2D90" w:rsidRPr="006128F6" w14:paraId="0D89A24F" w14:textId="77777777" w:rsidTr="003705F5">
        <w:trPr>
          <w:cantSplit/>
        </w:trPr>
        <w:tc>
          <w:tcPr>
            <w:tcW w:w="1780" w:type="pct"/>
            <w:vMerge/>
            <w:tcBorders>
              <w:left w:val="single" w:sz="4" w:space="0" w:color="auto"/>
              <w:right w:val="single" w:sz="4" w:space="0" w:color="auto"/>
            </w:tcBorders>
            <w:shd w:val="clear" w:color="auto" w:fill="auto"/>
          </w:tcPr>
          <w:p w14:paraId="4B5684B8" w14:textId="77777777" w:rsidR="00BE2D90" w:rsidRPr="006128F6" w:rsidRDefault="00BE2D90" w:rsidP="006128F6">
            <w:pPr>
              <w:spacing w:line="240" w:lineRule="auto"/>
              <w:rPr>
                <w:szCs w:val="22"/>
              </w:rPr>
            </w:pPr>
          </w:p>
        </w:tc>
        <w:tc>
          <w:tcPr>
            <w:tcW w:w="1797" w:type="pct"/>
            <w:tcBorders>
              <w:left w:val="single" w:sz="4" w:space="0" w:color="auto"/>
            </w:tcBorders>
            <w:shd w:val="clear" w:color="auto" w:fill="auto"/>
            <w:vAlign w:val="bottom"/>
          </w:tcPr>
          <w:p w14:paraId="512E5D3C" w14:textId="77777777" w:rsidR="00BE2D90" w:rsidRPr="006128F6" w:rsidRDefault="00BE2D90" w:rsidP="006128F6">
            <w:pPr>
              <w:spacing w:line="240" w:lineRule="auto"/>
              <w:rPr>
                <w:color w:val="000000"/>
                <w:lang w:eastAsia="en-GB"/>
              </w:rPr>
            </w:pPr>
            <w:r w:rsidRPr="006128F6">
              <w:rPr>
                <w:color w:val="000000"/>
                <w:vertAlign w:val="superscript"/>
                <w:lang w:eastAsia="en-GB"/>
              </w:rPr>
              <w:t>1</w:t>
            </w:r>
            <w:r w:rsidRPr="006128F6">
              <w:rPr>
                <w:color w:val="000000"/>
                <w:lang w:eastAsia="en-GB"/>
              </w:rPr>
              <w:t xml:space="preserve">Heart beat irregular </w:t>
            </w:r>
          </w:p>
        </w:tc>
        <w:tc>
          <w:tcPr>
            <w:tcW w:w="1423" w:type="pct"/>
            <w:shd w:val="clear" w:color="auto" w:fill="auto"/>
          </w:tcPr>
          <w:p w14:paraId="7ABBB131" w14:textId="77777777" w:rsidR="00BE2D90" w:rsidRPr="006128F6" w:rsidRDefault="00BE2D90" w:rsidP="006128F6">
            <w:pPr>
              <w:spacing w:line="240" w:lineRule="auto"/>
              <w:rPr>
                <w:color w:val="000000"/>
                <w:lang w:eastAsia="en-GB"/>
              </w:rPr>
            </w:pPr>
            <w:r w:rsidRPr="006128F6">
              <w:rPr>
                <w:color w:val="000000"/>
                <w:lang w:eastAsia="en-GB"/>
              </w:rPr>
              <w:t xml:space="preserve">Very common </w:t>
            </w:r>
          </w:p>
        </w:tc>
      </w:tr>
      <w:tr w:rsidR="00BE2D90" w:rsidRPr="006128F6" w14:paraId="7FF94410" w14:textId="77777777" w:rsidTr="003705F5">
        <w:trPr>
          <w:cantSplit/>
        </w:trPr>
        <w:tc>
          <w:tcPr>
            <w:tcW w:w="1780" w:type="pct"/>
            <w:vMerge/>
            <w:tcBorders>
              <w:left w:val="single" w:sz="4" w:space="0" w:color="auto"/>
              <w:right w:val="single" w:sz="4" w:space="0" w:color="auto"/>
            </w:tcBorders>
            <w:shd w:val="clear" w:color="auto" w:fill="auto"/>
          </w:tcPr>
          <w:p w14:paraId="1770B574" w14:textId="77777777" w:rsidR="00BE2D90" w:rsidRPr="006128F6" w:rsidRDefault="00BE2D90" w:rsidP="006128F6">
            <w:pPr>
              <w:spacing w:line="240" w:lineRule="auto"/>
              <w:rPr>
                <w:szCs w:val="22"/>
              </w:rPr>
            </w:pPr>
          </w:p>
        </w:tc>
        <w:tc>
          <w:tcPr>
            <w:tcW w:w="1797" w:type="pct"/>
            <w:tcBorders>
              <w:left w:val="single" w:sz="4" w:space="0" w:color="auto"/>
            </w:tcBorders>
            <w:shd w:val="clear" w:color="auto" w:fill="auto"/>
            <w:vAlign w:val="bottom"/>
          </w:tcPr>
          <w:p w14:paraId="59EDD318" w14:textId="77777777" w:rsidR="00BE2D90" w:rsidRPr="006128F6" w:rsidRDefault="00BE2D90" w:rsidP="006128F6">
            <w:pPr>
              <w:spacing w:line="240" w:lineRule="auto"/>
              <w:rPr>
                <w:color w:val="000000"/>
                <w:lang w:eastAsia="en-GB"/>
              </w:rPr>
            </w:pPr>
            <w:r w:rsidRPr="006128F6">
              <w:rPr>
                <w:color w:val="000000"/>
                <w:vertAlign w:val="superscript"/>
                <w:lang w:eastAsia="en-GB"/>
              </w:rPr>
              <w:t>1</w:t>
            </w:r>
            <w:r w:rsidRPr="006128F6">
              <w:rPr>
                <w:color w:val="000000"/>
                <w:lang w:eastAsia="en-GB"/>
              </w:rPr>
              <w:t xml:space="preserve">Cardiac flutter </w:t>
            </w:r>
          </w:p>
        </w:tc>
        <w:tc>
          <w:tcPr>
            <w:tcW w:w="1423" w:type="pct"/>
            <w:shd w:val="clear" w:color="auto" w:fill="auto"/>
          </w:tcPr>
          <w:p w14:paraId="13C82327" w14:textId="77777777" w:rsidR="00BE2D90" w:rsidRPr="006128F6" w:rsidRDefault="00BE2D90" w:rsidP="006128F6">
            <w:pPr>
              <w:spacing w:line="240" w:lineRule="auto"/>
              <w:rPr>
                <w:color w:val="000000"/>
                <w:lang w:eastAsia="en-GB"/>
              </w:rPr>
            </w:pPr>
            <w:r w:rsidRPr="006128F6">
              <w:rPr>
                <w:color w:val="000000"/>
                <w:lang w:eastAsia="en-GB"/>
              </w:rPr>
              <w:t xml:space="preserve">Very common </w:t>
            </w:r>
          </w:p>
        </w:tc>
      </w:tr>
      <w:tr w:rsidR="00BE2D90" w:rsidRPr="006128F6" w14:paraId="6FFA804E" w14:textId="77777777" w:rsidTr="003705F5">
        <w:trPr>
          <w:cantSplit/>
        </w:trPr>
        <w:tc>
          <w:tcPr>
            <w:tcW w:w="1780" w:type="pct"/>
            <w:vMerge/>
            <w:tcBorders>
              <w:left w:val="single" w:sz="4" w:space="0" w:color="auto"/>
              <w:right w:val="single" w:sz="4" w:space="0" w:color="auto"/>
            </w:tcBorders>
            <w:shd w:val="clear" w:color="auto" w:fill="auto"/>
          </w:tcPr>
          <w:p w14:paraId="18B52329" w14:textId="77777777" w:rsidR="00BE2D90" w:rsidRPr="006128F6" w:rsidRDefault="00BE2D90" w:rsidP="006128F6">
            <w:pPr>
              <w:spacing w:line="240" w:lineRule="auto"/>
              <w:rPr>
                <w:szCs w:val="22"/>
              </w:rPr>
            </w:pPr>
          </w:p>
        </w:tc>
        <w:tc>
          <w:tcPr>
            <w:tcW w:w="1797" w:type="pct"/>
            <w:tcBorders>
              <w:left w:val="single" w:sz="4" w:space="0" w:color="auto"/>
            </w:tcBorders>
            <w:shd w:val="clear" w:color="auto" w:fill="auto"/>
            <w:vAlign w:val="bottom"/>
          </w:tcPr>
          <w:p w14:paraId="78128D6B" w14:textId="77777777" w:rsidR="00BE2D90" w:rsidRPr="006128F6" w:rsidRDefault="00BE2D90" w:rsidP="006128F6">
            <w:pPr>
              <w:spacing w:line="240" w:lineRule="auto"/>
              <w:rPr>
                <w:color w:val="000000"/>
                <w:lang w:eastAsia="en-GB"/>
              </w:rPr>
            </w:pPr>
            <w:r w:rsidRPr="006128F6">
              <w:rPr>
                <w:color w:val="000000"/>
                <w:lang w:eastAsia="en-GB"/>
              </w:rPr>
              <w:t xml:space="preserve">Ejection fraction decreased* </w:t>
            </w:r>
          </w:p>
        </w:tc>
        <w:tc>
          <w:tcPr>
            <w:tcW w:w="1423" w:type="pct"/>
            <w:shd w:val="clear" w:color="auto" w:fill="auto"/>
          </w:tcPr>
          <w:p w14:paraId="7AC8448B" w14:textId="77777777" w:rsidR="00BE2D90" w:rsidRPr="006128F6" w:rsidRDefault="00BE2D90" w:rsidP="006128F6">
            <w:pPr>
              <w:spacing w:line="240" w:lineRule="auto"/>
              <w:rPr>
                <w:color w:val="000000"/>
                <w:lang w:eastAsia="en-GB"/>
              </w:rPr>
            </w:pPr>
            <w:r w:rsidRPr="006128F6">
              <w:rPr>
                <w:color w:val="000000"/>
                <w:lang w:eastAsia="en-GB"/>
              </w:rPr>
              <w:t xml:space="preserve">Very common </w:t>
            </w:r>
          </w:p>
        </w:tc>
      </w:tr>
      <w:tr w:rsidR="00BE2D90" w:rsidRPr="006128F6" w14:paraId="1BF54E8C" w14:textId="77777777" w:rsidTr="003705F5">
        <w:trPr>
          <w:cantSplit/>
        </w:trPr>
        <w:tc>
          <w:tcPr>
            <w:tcW w:w="1780" w:type="pct"/>
            <w:vMerge/>
            <w:tcBorders>
              <w:left w:val="single" w:sz="4" w:space="0" w:color="auto"/>
              <w:right w:val="single" w:sz="4" w:space="0" w:color="auto"/>
            </w:tcBorders>
            <w:shd w:val="clear" w:color="auto" w:fill="auto"/>
          </w:tcPr>
          <w:p w14:paraId="78191B41" w14:textId="77777777" w:rsidR="00BE2D90" w:rsidRPr="006128F6" w:rsidRDefault="00BE2D90" w:rsidP="006128F6">
            <w:pPr>
              <w:spacing w:line="240" w:lineRule="auto"/>
              <w:rPr>
                <w:szCs w:val="22"/>
              </w:rPr>
            </w:pPr>
          </w:p>
        </w:tc>
        <w:tc>
          <w:tcPr>
            <w:tcW w:w="1797" w:type="pct"/>
            <w:tcBorders>
              <w:left w:val="single" w:sz="4" w:space="0" w:color="auto"/>
            </w:tcBorders>
            <w:shd w:val="clear" w:color="auto" w:fill="auto"/>
            <w:vAlign w:val="bottom"/>
          </w:tcPr>
          <w:p w14:paraId="7637949B" w14:textId="77777777" w:rsidR="00BE2D90" w:rsidRPr="006128F6" w:rsidRDefault="00BE2D90" w:rsidP="006128F6">
            <w:pPr>
              <w:spacing w:line="240" w:lineRule="auto"/>
              <w:rPr>
                <w:color w:val="000000"/>
                <w:lang w:eastAsia="en-GB"/>
              </w:rPr>
            </w:pPr>
            <w:r w:rsidRPr="006128F6">
              <w:rPr>
                <w:color w:val="000000"/>
                <w:vertAlign w:val="superscript"/>
                <w:lang w:eastAsia="en-GB"/>
              </w:rPr>
              <w:t>+</w:t>
            </w:r>
            <w:r w:rsidRPr="006128F6">
              <w:rPr>
                <w:color w:val="000000"/>
                <w:lang w:eastAsia="en-GB"/>
              </w:rPr>
              <w:t>Cardiac failure (congestive)</w:t>
            </w:r>
          </w:p>
        </w:tc>
        <w:tc>
          <w:tcPr>
            <w:tcW w:w="1423" w:type="pct"/>
            <w:shd w:val="clear" w:color="auto" w:fill="auto"/>
          </w:tcPr>
          <w:p w14:paraId="4D4CF239" w14:textId="77777777" w:rsidR="00BE2D90" w:rsidRPr="006128F6" w:rsidRDefault="00BE2D90" w:rsidP="006128F6">
            <w:pPr>
              <w:spacing w:line="240" w:lineRule="auto"/>
              <w:rPr>
                <w:color w:val="000000"/>
                <w:lang w:eastAsia="en-GB"/>
              </w:rPr>
            </w:pPr>
            <w:r w:rsidRPr="006128F6">
              <w:rPr>
                <w:color w:val="000000"/>
                <w:lang w:eastAsia="en-GB"/>
              </w:rPr>
              <w:t xml:space="preserve">Common </w:t>
            </w:r>
          </w:p>
        </w:tc>
      </w:tr>
      <w:tr w:rsidR="00BE2D90" w:rsidRPr="006128F6" w14:paraId="5DB3C2FE" w14:textId="77777777" w:rsidTr="003705F5">
        <w:trPr>
          <w:cantSplit/>
        </w:trPr>
        <w:tc>
          <w:tcPr>
            <w:tcW w:w="1780" w:type="pct"/>
            <w:vMerge/>
            <w:tcBorders>
              <w:left w:val="single" w:sz="4" w:space="0" w:color="auto"/>
              <w:right w:val="single" w:sz="4" w:space="0" w:color="auto"/>
            </w:tcBorders>
            <w:shd w:val="clear" w:color="auto" w:fill="auto"/>
          </w:tcPr>
          <w:p w14:paraId="2CD32288" w14:textId="77777777" w:rsidR="00BE2D90" w:rsidRPr="006128F6" w:rsidRDefault="00BE2D90" w:rsidP="006128F6">
            <w:pPr>
              <w:spacing w:line="240" w:lineRule="auto"/>
              <w:rPr>
                <w:szCs w:val="22"/>
              </w:rPr>
            </w:pPr>
          </w:p>
        </w:tc>
        <w:tc>
          <w:tcPr>
            <w:tcW w:w="1797" w:type="pct"/>
            <w:tcBorders>
              <w:left w:val="single" w:sz="4" w:space="0" w:color="auto"/>
            </w:tcBorders>
            <w:shd w:val="clear" w:color="auto" w:fill="auto"/>
            <w:vAlign w:val="bottom"/>
          </w:tcPr>
          <w:p w14:paraId="3AE094CC" w14:textId="77777777" w:rsidR="00BE2D90" w:rsidRPr="006128F6" w:rsidRDefault="00BE2D90" w:rsidP="006128F6">
            <w:pPr>
              <w:spacing w:line="240" w:lineRule="auto"/>
              <w:rPr>
                <w:color w:val="000000"/>
                <w:lang w:eastAsia="en-GB"/>
              </w:rPr>
            </w:pPr>
            <w:r w:rsidRPr="006128F6">
              <w:rPr>
                <w:color w:val="000000"/>
                <w:vertAlign w:val="superscript"/>
                <w:lang w:eastAsia="en-GB"/>
              </w:rPr>
              <w:t>+1</w:t>
            </w:r>
            <w:r w:rsidRPr="006128F6">
              <w:rPr>
                <w:color w:val="000000"/>
                <w:lang w:eastAsia="en-GB"/>
              </w:rPr>
              <w:t xml:space="preserve">Supraventricular tachyarrhythmia </w:t>
            </w:r>
          </w:p>
        </w:tc>
        <w:tc>
          <w:tcPr>
            <w:tcW w:w="1423" w:type="pct"/>
            <w:shd w:val="clear" w:color="auto" w:fill="auto"/>
          </w:tcPr>
          <w:p w14:paraId="54B92455" w14:textId="77777777" w:rsidR="00BE2D90" w:rsidRPr="006128F6" w:rsidRDefault="00BE2D90" w:rsidP="006128F6">
            <w:pPr>
              <w:spacing w:line="240" w:lineRule="auto"/>
              <w:rPr>
                <w:color w:val="000000"/>
                <w:lang w:eastAsia="en-GB"/>
              </w:rPr>
            </w:pPr>
            <w:r w:rsidRPr="006128F6">
              <w:rPr>
                <w:color w:val="000000"/>
                <w:lang w:eastAsia="en-GB"/>
              </w:rPr>
              <w:t xml:space="preserve">Common </w:t>
            </w:r>
          </w:p>
        </w:tc>
      </w:tr>
      <w:tr w:rsidR="00BE2D90" w:rsidRPr="006128F6" w14:paraId="40434A79" w14:textId="77777777" w:rsidTr="003705F5">
        <w:trPr>
          <w:cantSplit/>
        </w:trPr>
        <w:tc>
          <w:tcPr>
            <w:tcW w:w="1780" w:type="pct"/>
            <w:vMerge/>
            <w:tcBorders>
              <w:left w:val="single" w:sz="4" w:space="0" w:color="auto"/>
              <w:right w:val="single" w:sz="4" w:space="0" w:color="auto"/>
            </w:tcBorders>
            <w:shd w:val="clear" w:color="auto" w:fill="auto"/>
          </w:tcPr>
          <w:p w14:paraId="544C7C9D" w14:textId="77777777" w:rsidR="00BE2D90" w:rsidRPr="006128F6" w:rsidRDefault="00BE2D90" w:rsidP="006128F6">
            <w:pPr>
              <w:spacing w:line="240" w:lineRule="auto"/>
              <w:rPr>
                <w:szCs w:val="22"/>
              </w:rPr>
            </w:pPr>
          </w:p>
        </w:tc>
        <w:tc>
          <w:tcPr>
            <w:tcW w:w="1797" w:type="pct"/>
            <w:tcBorders>
              <w:left w:val="single" w:sz="4" w:space="0" w:color="auto"/>
            </w:tcBorders>
            <w:shd w:val="clear" w:color="auto" w:fill="auto"/>
            <w:vAlign w:val="bottom"/>
          </w:tcPr>
          <w:p w14:paraId="155573EC" w14:textId="77777777" w:rsidR="00BE2D90" w:rsidRPr="006128F6" w:rsidRDefault="00BE2D90" w:rsidP="006128F6">
            <w:pPr>
              <w:spacing w:line="240" w:lineRule="auto"/>
              <w:rPr>
                <w:color w:val="000000"/>
                <w:lang w:eastAsia="en-GB"/>
              </w:rPr>
            </w:pPr>
            <w:r w:rsidRPr="006128F6">
              <w:rPr>
                <w:color w:val="000000"/>
                <w:lang w:eastAsia="en-GB"/>
              </w:rPr>
              <w:t>Cardiomyopathy</w:t>
            </w:r>
          </w:p>
        </w:tc>
        <w:tc>
          <w:tcPr>
            <w:tcW w:w="1423" w:type="pct"/>
            <w:shd w:val="clear" w:color="auto" w:fill="auto"/>
          </w:tcPr>
          <w:p w14:paraId="0A4CD2E5" w14:textId="77777777" w:rsidR="00BE2D90" w:rsidRPr="006128F6" w:rsidRDefault="00BE2D90" w:rsidP="006128F6">
            <w:pPr>
              <w:spacing w:line="240" w:lineRule="auto"/>
              <w:rPr>
                <w:color w:val="000000"/>
                <w:lang w:eastAsia="en-GB"/>
              </w:rPr>
            </w:pPr>
            <w:r w:rsidRPr="006128F6">
              <w:rPr>
                <w:color w:val="000000"/>
                <w:lang w:eastAsia="en-GB"/>
              </w:rPr>
              <w:t xml:space="preserve">Common </w:t>
            </w:r>
          </w:p>
        </w:tc>
      </w:tr>
      <w:tr w:rsidR="00BE2D90" w:rsidRPr="006128F6" w14:paraId="1D5B1324" w14:textId="77777777" w:rsidTr="003705F5">
        <w:trPr>
          <w:cantSplit/>
        </w:trPr>
        <w:tc>
          <w:tcPr>
            <w:tcW w:w="1780" w:type="pct"/>
            <w:vMerge/>
            <w:tcBorders>
              <w:left w:val="single" w:sz="4" w:space="0" w:color="auto"/>
              <w:right w:val="single" w:sz="4" w:space="0" w:color="auto"/>
            </w:tcBorders>
            <w:shd w:val="clear" w:color="auto" w:fill="auto"/>
          </w:tcPr>
          <w:p w14:paraId="18728377" w14:textId="77777777" w:rsidR="00BE2D90" w:rsidRPr="006128F6" w:rsidRDefault="00BE2D90" w:rsidP="009C3080">
            <w:pPr>
              <w:spacing w:line="240" w:lineRule="auto"/>
              <w:rPr>
                <w:szCs w:val="22"/>
              </w:rPr>
            </w:pPr>
          </w:p>
        </w:tc>
        <w:tc>
          <w:tcPr>
            <w:tcW w:w="1797" w:type="pct"/>
            <w:tcBorders>
              <w:left w:val="single" w:sz="4" w:space="0" w:color="auto"/>
            </w:tcBorders>
            <w:shd w:val="clear" w:color="auto" w:fill="auto"/>
          </w:tcPr>
          <w:p w14:paraId="7C2A1FB4" w14:textId="33C094E3" w:rsidR="00BE2D90" w:rsidRPr="006128F6" w:rsidRDefault="00BE2D90" w:rsidP="009C3080">
            <w:pPr>
              <w:spacing w:line="240" w:lineRule="auto"/>
              <w:rPr>
                <w:color w:val="000000"/>
                <w:lang w:eastAsia="en-GB"/>
              </w:rPr>
            </w:pPr>
            <w:r w:rsidRPr="00500A35">
              <w:rPr>
                <w:szCs w:val="22"/>
                <w:vertAlign w:val="superscript"/>
              </w:rPr>
              <w:t>1</w:t>
            </w:r>
            <w:r w:rsidRPr="00500A35">
              <w:rPr>
                <w:szCs w:val="22"/>
              </w:rPr>
              <w:t>Palpitation</w:t>
            </w:r>
          </w:p>
        </w:tc>
        <w:tc>
          <w:tcPr>
            <w:tcW w:w="1423" w:type="pct"/>
            <w:shd w:val="clear" w:color="auto" w:fill="auto"/>
          </w:tcPr>
          <w:p w14:paraId="770F346C" w14:textId="7E1C86BB" w:rsidR="00BE2D90" w:rsidRPr="006128F6" w:rsidRDefault="00BE2D90" w:rsidP="009C3080">
            <w:pPr>
              <w:spacing w:line="240" w:lineRule="auto"/>
              <w:rPr>
                <w:color w:val="000000"/>
                <w:lang w:eastAsia="en-GB"/>
              </w:rPr>
            </w:pPr>
            <w:r>
              <w:rPr>
                <w:szCs w:val="22"/>
              </w:rPr>
              <w:t>Common</w:t>
            </w:r>
          </w:p>
        </w:tc>
      </w:tr>
      <w:tr w:rsidR="00BE2D90" w:rsidRPr="006128F6" w14:paraId="6BA21882" w14:textId="77777777" w:rsidTr="003705F5">
        <w:trPr>
          <w:cantSplit/>
        </w:trPr>
        <w:tc>
          <w:tcPr>
            <w:tcW w:w="1780" w:type="pct"/>
            <w:vMerge/>
            <w:tcBorders>
              <w:left w:val="single" w:sz="4" w:space="0" w:color="auto"/>
              <w:right w:val="single" w:sz="4" w:space="0" w:color="auto"/>
            </w:tcBorders>
            <w:shd w:val="clear" w:color="auto" w:fill="auto"/>
          </w:tcPr>
          <w:p w14:paraId="708CCF08" w14:textId="77777777" w:rsidR="00BE2D90" w:rsidRPr="006128F6" w:rsidRDefault="00BE2D90" w:rsidP="009C3080">
            <w:pPr>
              <w:spacing w:line="240" w:lineRule="auto"/>
              <w:rPr>
                <w:szCs w:val="22"/>
              </w:rPr>
            </w:pPr>
          </w:p>
        </w:tc>
        <w:tc>
          <w:tcPr>
            <w:tcW w:w="1797" w:type="pct"/>
            <w:tcBorders>
              <w:left w:val="single" w:sz="4" w:space="0" w:color="auto"/>
            </w:tcBorders>
            <w:shd w:val="clear" w:color="auto" w:fill="auto"/>
            <w:vAlign w:val="bottom"/>
          </w:tcPr>
          <w:p w14:paraId="64EF6642" w14:textId="77777777" w:rsidR="00BE2D90" w:rsidRPr="006128F6" w:rsidRDefault="00BE2D90" w:rsidP="009C3080">
            <w:pPr>
              <w:spacing w:line="240" w:lineRule="auto"/>
              <w:rPr>
                <w:color w:val="000000"/>
                <w:lang w:eastAsia="en-GB"/>
              </w:rPr>
            </w:pPr>
            <w:r w:rsidRPr="006128F6">
              <w:rPr>
                <w:color w:val="000000"/>
                <w:lang w:eastAsia="en-GB"/>
              </w:rPr>
              <w:t xml:space="preserve">Pericardial effusion </w:t>
            </w:r>
          </w:p>
        </w:tc>
        <w:tc>
          <w:tcPr>
            <w:tcW w:w="1423" w:type="pct"/>
            <w:shd w:val="clear" w:color="auto" w:fill="auto"/>
          </w:tcPr>
          <w:p w14:paraId="4F32D1A9" w14:textId="77777777" w:rsidR="00BE2D90" w:rsidRPr="006128F6" w:rsidRDefault="00BE2D90" w:rsidP="009C3080">
            <w:pPr>
              <w:spacing w:line="240" w:lineRule="auto"/>
              <w:rPr>
                <w:color w:val="000000"/>
                <w:lang w:eastAsia="en-GB"/>
              </w:rPr>
            </w:pPr>
            <w:r w:rsidRPr="006128F6">
              <w:rPr>
                <w:color w:val="000000"/>
                <w:lang w:eastAsia="en-GB"/>
              </w:rPr>
              <w:t xml:space="preserve">Uncommon </w:t>
            </w:r>
          </w:p>
        </w:tc>
      </w:tr>
      <w:tr w:rsidR="00BE2D90" w:rsidRPr="006128F6" w14:paraId="138CEE17" w14:textId="77777777" w:rsidTr="003705F5">
        <w:trPr>
          <w:cantSplit/>
        </w:trPr>
        <w:tc>
          <w:tcPr>
            <w:tcW w:w="1780" w:type="pct"/>
            <w:vMerge/>
            <w:tcBorders>
              <w:left w:val="single" w:sz="4" w:space="0" w:color="auto"/>
              <w:right w:val="single" w:sz="4" w:space="0" w:color="auto"/>
            </w:tcBorders>
            <w:shd w:val="clear" w:color="auto" w:fill="auto"/>
          </w:tcPr>
          <w:p w14:paraId="44932471" w14:textId="77777777" w:rsidR="00BE2D90" w:rsidRPr="006128F6" w:rsidRDefault="00BE2D90" w:rsidP="009C3080">
            <w:pPr>
              <w:spacing w:line="240" w:lineRule="auto"/>
              <w:rPr>
                <w:szCs w:val="22"/>
              </w:rPr>
            </w:pPr>
          </w:p>
        </w:tc>
        <w:tc>
          <w:tcPr>
            <w:tcW w:w="1797" w:type="pct"/>
            <w:tcBorders>
              <w:left w:val="single" w:sz="4" w:space="0" w:color="auto"/>
            </w:tcBorders>
            <w:shd w:val="clear" w:color="auto" w:fill="auto"/>
            <w:vAlign w:val="bottom"/>
          </w:tcPr>
          <w:p w14:paraId="5BE9EE92" w14:textId="77777777" w:rsidR="00BE2D90" w:rsidRPr="006128F6" w:rsidRDefault="00BE2D90" w:rsidP="009C3080">
            <w:pPr>
              <w:spacing w:line="240" w:lineRule="auto"/>
              <w:rPr>
                <w:color w:val="000000"/>
                <w:lang w:eastAsia="en-GB"/>
              </w:rPr>
            </w:pPr>
            <w:r w:rsidRPr="006128F6">
              <w:rPr>
                <w:color w:val="000000"/>
                <w:lang w:eastAsia="en-GB"/>
              </w:rPr>
              <w:t xml:space="preserve">Cardiogenic shock </w:t>
            </w:r>
          </w:p>
        </w:tc>
        <w:tc>
          <w:tcPr>
            <w:tcW w:w="1423" w:type="pct"/>
            <w:shd w:val="clear" w:color="auto" w:fill="auto"/>
          </w:tcPr>
          <w:p w14:paraId="387249FB" w14:textId="77777777" w:rsidR="00BE2D90" w:rsidRPr="006128F6" w:rsidRDefault="00BE2D90" w:rsidP="009C3080">
            <w:pPr>
              <w:spacing w:line="240" w:lineRule="auto"/>
              <w:rPr>
                <w:color w:val="000000"/>
                <w:lang w:eastAsia="en-GB"/>
              </w:rPr>
            </w:pPr>
            <w:r w:rsidRPr="006128F6">
              <w:rPr>
                <w:color w:val="000000"/>
                <w:lang w:eastAsia="en-GB"/>
              </w:rPr>
              <w:t xml:space="preserve">Not known </w:t>
            </w:r>
          </w:p>
        </w:tc>
      </w:tr>
      <w:tr w:rsidR="00BE2D90" w:rsidRPr="006128F6" w14:paraId="5FBAEDBE" w14:textId="77777777" w:rsidTr="003705F5">
        <w:trPr>
          <w:cantSplit/>
        </w:trPr>
        <w:tc>
          <w:tcPr>
            <w:tcW w:w="1780" w:type="pct"/>
            <w:vMerge/>
            <w:tcBorders>
              <w:left w:val="single" w:sz="4" w:space="0" w:color="auto"/>
              <w:bottom w:val="single" w:sz="4" w:space="0" w:color="auto"/>
              <w:right w:val="single" w:sz="4" w:space="0" w:color="auto"/>
            </w:tcBorders>
            <w:shd w:val="clear" w:color="auto" w:fill="auto"/>
          </w:tcPr>
          <w:p w14:paraId="174C1A6C" w14:textId="77777777" w:rsidR="00BE2D90" w:rsidRPr="006128F6" w:rsidRDefault="00BE2D90" w:rsidP="009C3080">
            <w:pPr>
              <w:spacing w:line="240" w:lineRule="auto"/>
              <w:rPr>
                <w:szCs w:val="22"/>
              </w:rPr>
            </w:pPr>
          </w:p>
        </w:tc>
        <w:tc>
          <w:tcPr>
            <w:tcW w:w="1797" w:type="pct"/>
            <w:tcBorders>
              <w:left w:val="single" w:sz="4" w:space="0" w:color="auto"/>
            </w:tcBorders>
            <w:shd w:val="clear" w:color="auto" w:fill="auto"/>
            <w:vAlign w:val="bottom"/>
          </w:tcPr>
          <w:p w14:paraId="5D9E5CF3" w14:textId="77777777" w:rsidR="00BE2D90" w:rsidRPr="006128F6" w:rsidRDefault="00BE2D90" w:rsidP="009C3080">
            <w:pPr>
              <w:spacing w:line="240" w:lineRule="auto"/>
              <w:rPr>
                <w:color w:val="000000"/>
                <w:lang w:eastAsia="en-GB"/>
              </w:rPr>
            </w:pPr>
            <w:r w:rsidRPr="006128F6">
              <w:rPr>
                <w:color w:val="000000"/>
                <w:lang w:eastAsia="en-GB"/>
              </w:rPr>
              <w:t xml:space="preserve">Gallop rhythm present </w:t>
            </w:r>
          </w:p>
        </w:tc>
        <w:tc>
          <w:tcPr>
            <w:tcW w:w="1423" w:type="pct"/>
            <w:shd w:val="clear" w:color="auto" w:fill="auto"/>
          </w:tcPr>
          <w:p w14:paraId="1F60CD91" w14:textId="77777777" w:rsidR="00BE2D90" w:rsidRPr="006128F6" w:rsidRDefault="00BE2D90" w:rsidP="009C3080">
            <w:pPr>
              <w:spacing w:line="240" w:lineRule="auto"/>
              <w:rPr>
                <w:color w:val="000000"/>
                <w:lang w:eastAsia="en-GB"/>
              </w:rPr>
            </w:pPr>
            <w:r w:rsidRPr="006128F6">
              <w:rPr>
                <w:color w:val="000000"/>
                <w:lang w:eastAsia="en-GB"/>
              </w:rPr>
              <w:t xml:space="preserve">Not known </w:t>
            </w:r>
          </w:p>
        </w:tc>
      </w:tr>
      <w:tr w:rsidR="009C3080" w:rsidRPr="006128F6" w14:paraId="6295BF02" w14:textId="77777777" w:rsidTr="00081416">
        <w:trPr>
          <w:cantSplit/>
        </w:trPr>
        <w:tc>
          <w:tcPr>
            <w:tcW w:w="1780" w:type="pct"/>
            <w:vMerge w:val="restart"/>
            <w:tcBorders>
              <w:top w:val="single" w:sz="4" w:space="0" w:color="auto"/>
            </w:tcBorders>
            <w:shd w:val="clear" w:color="auto" w:fill="auto"/>
          </w:tcPr>
          <w:p w14:paraId="213F8976" w14:textId="77777777" w:rsidR="009C3080" w:rsidRPr="006128F6" w:rsidRDefault="009C3080" w:rsidP="009C3080">
            <w:pPr>
              <w:spacing w:line="240" w:lineRule="auto"/>
              <w:rPr>
                <w:szCs w:val="22"/>
              </w:rPr>
            </w:pPr>
            <w:r w:rsidRPr="006128F6">
              <w:rPr>
                <w:rFonts w:eastAsia="SimSun"/>
                <w:szCs w:val="22"/>
                <w:lang w:eastAsia="en-GB"/>
              </w:rPr>
              <w:t>Vascular disorders</w:t>
            </w:r>
          </w:p>
        </w:tc>
        <w:tc>
          <w:tcPr>
            <w:tcW w:w="1797" w:type="pct"/>
            <w:shd w:val="clear" w:color="auto" w:fill="auto"/>
            <w:vAlign w:val="bottom"/>
          </w:tcPr>
          <w:p w14:paraId="1D893BE0" w14:textId="77777777" w:rsidR="009C3080" w:rsidRPr="006128F6" w:rsidRDefault="009C3080" w:rsidP="009C3080">
            <w:pPr>
              <w:spacing w:line="240" w:lineRule="auto"/>
              <w:rPr>
                <w:color w:val="000000"/>
                <w:lang w:eastAsia="en-GB"/>
              </w:rPr>
            </w:pPr>
            <w:r w:rsidRPr="006128F6">
              <w:rPr>
                <w:color w:val="000000"/>
                <w:lang w:eastAsia="en-GB"/>
              </w:rPr>
              <w:t xml:space="preserve">Hot flush </w:t>
            </w:r>
          </w:p>
        </w:tc>
        <w:tc>
          <w:tcPr>
            <w:tcW w:w="1423" w:type="pct"/>
            <w:shd w:val="clear" w:color="auto" w:fill="auto"/>
          </w:tcPr>
          <w:p w14:paraId="34CAC935" w14:textId="77777777" w:rsidR="009C3080" w:rsidRPr="006128F6" w:rsidRDefault="009C3080" w:rsidP="009C3080">
            <w:pPr>
              <w:spacing w:line="240" w:lineRule="auto"/>
              <w:rPr>
                <w:color w:val="000000"/>
                <w:lang w:eastAsia="en-GB"/>
              </w:rPr>
            </w:pPr>
            <w:r w:rsidRPr="006128F6">
              <w:rPr>
                <w:color w:val="000000"/>
                <w:lang w:eastAsia="en-GB"/>
              </w:rPr>
              <w:t xml:space="preserve">Very common </w:t>
            </w:r>
          </w:p>
        </w:tc>
      </w:tr>
      <w:tr w:rsidR="009C3080" w:rsidRPr="006128F6" w14:paraId="4B1D0A29" w14:textId="77777777" w:rsidTr="0032436C">
        <w:trPr>
          <w:cantSplit/>
        </w:trPr>
        <w:tc>
          <w:tcPr>
            <w:tcW w:w="1780" w:type="pct"/>
            <w:vMerge/>
            <w:shd w:val="clear" w:color="auto" w:fill="auto"/>
          </w:tcPr>
          <w:p w14:paraId="25CD97E1" w14:textId="77777777" w:rsidR="009C3080" w:rsidRPr="006128F6" w:rsidRDefault="009C3080" w:rsidP="009C3080">
            <w:pPr>
              <w:spacing w:line="240" w:lineRule="auto"/>
              <w:rPr>
                <w:rFonts w:eastAsia="SimSun"/>
                <w:szCs w:val="22"/>
                <w:lang w:eastAsia="en-GB"/>
              </w:rPr>
            </w:pPr>
          </w:p>
        </w:tc>
        <w:tc>
          <w:tcPr>
            <w:tcW w:w="1797" w:type="pct"/>
            <w:shd w:val="clear" w:color="auto" w:fill="auto"/>
            <w:vAlign w:val="bottom"/>
          </w:tcPr>
          <w:p w14:paraId="5B4858A5" w14:textId="77777777" w:rsidR="009C3080" w:rsidRPr="006128F6" w:rsidRDefault="009C3080" w:rsidP="009C3080">
            <w:pPr>
              <w:spacing w:line="240" w:lineRule="auto"/>
              <w:rPr>
                <w:color w:val="000000"/>
                <w:lang w:eastAsia="en-GB"/>
              </w:rPr>
            </w:pPr>
            <w:r w:rsidRPr="006128F6">
              <w:rPr>
                <w:color w:val="000000"/>
                <w:vertAlign w:val="superscript"/>
                <w:lang w:eastAsia="en-GB"/>
              </w:rPr>
              <w:t>+1</w:t>
            </w:r>
            <w:r w:rsidRPr="006128F6">
              <w:rPr>
                <w:color w:val="000000"/>
                <w:lang w:eastAsia="en-GB"/>
              </w:rPr>
              <w:t>Hypotension</w:t>
            </w:r>
          </w:p>
        </w:tc>
        <w:tc>
          <w:tcPr>
            <w:tcW w:w="1423" w:type="pct"/>
            <w:shd w:val="clear" w:color="auto" w:fill="auto"/>
          </w:tcPr>
          <w:p w14:paraId="017D9DD8" w14:textId="77777777" w:rsidR="009C3080" w:rsidRPr="006128F6" w:rsidRDefault="009C3080" w:rsidP="009C3080">
            <w:pPr>
              <w:spacing w:line="240" w:lineRule="auto"/>
              <w:rPr>
                <w:color w:val="000000"/>
                <w:lang w:eastAsia="en-GB"/>
              </w:rPr>
            </w:pPr>
            <w:r w:rsidRPr="006128F6">
              <w:rPr>
                <w:color w:val="000000"/>
                <w:lang w:eastAsia="en-GB"/>
              </w:rPr>
              <w:t xml:space="preserve">Common </w:t>
            </w:r>
          </w:p>
        </w:tc>
      </w:tr>
      <w:tr w:rsidR="009C3080" w:rsidRPr="006128F6" w14:paraId="4B8782E2" w14:textId="77777777" w:rsidTr="0032436C">
        <w:trPr>
          <w:cantSplit/>
        </w:trPr>
        <w:tc>
          <w:tcPr>
            <w:tcW w:w="1780" w:type="pct"/>
            <w:vMerge/>
            <w:shd w:val="clear" w:color="auto" w:fill="auto"/>
          </w:tcPr>
          <w:p w14:paraId="341BA48F" w14:textId="77777777" w:rsidR="009C3080" w:rsidRPr="006128F6" w:rsidRDefault="009C3080" w:rsidP="009C3080">
            <w:pPr>
              <w:spacing w:line="240" w:lineRule="auto"/>
              <w:rPr>
                <w:rFonts w:eastAsia="SimSun"/>
                <w:szCs w:val="22"/>
                <w:lang w:eastAsia="en-GB"/>
              </w:rPr>
            </w:pPr>
          </w:p>
        </w:tc>
        <w:tc>
          <w:tcPr>
            <w:tcW w:w="1797" w:type="pct"/>
            <w:shd w:val="clear" w:color="auto" w:fill="auto"/>
            <w:vAlign w:val="bottom"/>
          </w:tcPr>
          <w:p w14:paraId="2384C2D7" w14:textId="77777777" w:rsidR="009C3080" w:rsidRPr="006128F6" w:rsidRDefault="009C3080" w:rsidP="009C3080">
            <w:pPr>
              <w:spacing w:line="240" w:lineRule="auto"/>
              <w:rPr>
                <w:color w:val="000000"/>
                <w:lang w:eastAsia="en-GB"/>
              </w:rPr>
            </w:pPr>
            <w:r w:rsidRPr="006128F6">
              <w:rPr>
                <w:color w:val="000000"/>
                <w:lang w:eastAsia="en-GB"/>
              </w:rPr>
              <w:t xml:space="preserve">Vasodilatation </w:t>
            </w:r>
          </w:p>
        </w:tc>
        <w:tc>
          <w:tcPr>
            <w:tcW w:w="1423" w:type="pct"/>
            <w:shd w:val="clear" w:color="auto" w:fill="auto"/>
          </w:tcPr>
          <w:p w14:paraId="3733711F" w14:textId="77777777" w:rsidR="009C3080" w:rsidRPr="006128F6" w:rsidRDefault="009C3080" w:rsidP="009C3080">
            <w:pPr>
              <w:spacing w:line="240" w:lineRule="auto"/>
              <w:rPr>
                <w:color w:val="000000"/>
                <w:lang w:eastAsia="en-GB"/>
              </w:rPr>
            </w:pPr>
            <w:r w:rsidRPr="006128F6">
              <w:rPr>
                <w:color w:val="000000"/>
                <w:lang w:eastAsia="en-GB"/>
              </w:rPr>
              <w:t xml:space="preserve">Common </w:t>
            </w:r>
          </w:p>
        </w:tc>
      </w:tr>
      <w:tr w:rsidR="00D41CC1" w:rsidRPr="006128F6" w14:paraId="2454AB8A" w14:textId="77777777" w:rsidTr="00081416">
        <w:trPr>
          <w:cantSplit/>
          <w:trHeight w:val="57"/>
        </w:trPr>
        <w:tc>
          <w:tcPr>
            <w:tcW w:w="1780" w:type="pct"/>
            <w:vMerge w:val="restart"/>
            <w:shd w:val="clear" w:color="auto" w:fill="auto"/>
          </w:tcPr>
          <w:p w14:paraId="28B50307" w14:textId="62D4094A" w:rsidR="00D41CC1" w:rsidRPr="006128F6" w:rsidRDefault="00D41CC1" w:rsidP="009C3080">
            <w:pPr>
              <w:spacing w:line="240" w:lineRule="auto"/>
              <w:rPr>
                <w:szCs w:val="22"/>
              </w:rPr>
            </w:pPr>
            <w:r w:rsidRPr="006128F6">
              <w:rPr>
                <w:szCs w:val="22"/>
              </w:rPr>
              <w:t>Respiratory, thoracic and mediastinal disorders</w:t>
            </w:r>
          </w:p>
        </w:tc>
        <w:tc>
          <w:tcPr>
            <w:tcW w:w="1797" w:type="pct"/>
            <w:shd w:val="clear" w:color="auto" w:fill="auto"/>
          </w:tcPr>
          <w:p w14:paraId="4341DEBD" w14:textId="208796DA" w:rsidR="00D41CC1" w:rsidRPr="006128F6" w:rsidRDefault="00D41CC1" w:rsidP="003265E6">
            <w:pPr>
              <w:spacing w:line="240" w:lineRule="auto"/>
              <w:rPr>
                <w:color w:val="000000"/>
                <w:lang w:eastAsia="en-GB"/>
              </w:rPr>
            </w:pPr>
            <w:r w:rsidRPr="006128F6">
              <w:rPr>
                <w:color w:val="000000"/>
                <w:vertAlign w:val="superscript"/>
                <w:lang w:eastAsia="en-GB"/>
              </w:rPr>
              <w:t>+</w:t>
            </w:r>
            <w:r w:rsidRPr="006128F6">
              <w:rPr>
                <w:color w:val="000000"/>
                <w:lang w:eastAsia="en-GB"/>
              </w:rPr>
              <w:t>Dyspnoea</w:t>
            </w:r>
          </w:p>
        </w:tc>
        <w:tc>
          <w:tcPr>
            <w:tcW w:w="1423" w:type="pct"/>
            <w:shd w:val="clear" w:color="auto" w:fill="auto"/>
          </w:tcPr>
          <w:p w14:paraId="510ABF2B" w14:textId="6B0E2180" w:rsidR="00D41CC1" w:rsidRPr="006128F6" w:rsidRDefault="00D41CC1" w:rsidP="009C3080">
            <w:pPr>
              <w:spacing w:line="240" w:lineRule="auto"/>
              <w:rPr>
                <w:color w:val="000000"/>
                <w:lang w:eastAsia="en-GB"/>
              </w:rPr>
            </w:pPr>
            <w:r w:rsidRPr="006128F6">
              <w:rPr>
                <w:color w:val="000000"/>
                <w:lang w:eastAsia="en-GB"/>
              </w:rPr>
              <w:t xml:space="preserve">Very common </w:t>
            </w:r>
          </w:p>
        </w:tc>
      </w:tr>
      <w:tr w:rsidR="009C3080" w:rsidRPr="006128F6" w14:paraId="63A5748F" w14:textId="77777777" w:rsidTr="0032436C">
        <w:trPr>
          <w:cantSplit/>
        </w:trPr>
        <w:tc>
          <w:tcPr>
            <w:tcW w:w="1780" w:type="pct"/>
            <w:vMerge/>
            <w:shd w:val="clear" w:color="auto" w:fill="auto"/>
          </w:tcPr>
          <w:p w14:paraId="327FEEE6" w14:textId="77777777" w:rsidR="009C3080" w:rsidRPr="006128F6" w:rsidRDefault="009C3080" w:rsidP="009C3080">
            <w:pPr>
              <w:spacing w:line="240" w:lineRule="auto"/>
              <w:rPr>
                <w:szCs w:val="22"/>
              </w:rPr>
            </w:pPr>
          </w:p>
        </w:tc>
        <w:tc>
          <w:tcPr>
            <w:tcW w:w="1797" w:type="pct"/>
            <w:shd w:val="clear" w:color="auto" w:fill="auto"/>
            <w:vAlign w:val="bottom"/>
          </w:tcPr>
          <w:p w14:paraId="70FCABD1" w14:textId="77777777" w:rsidR="009C3080" w:rsidRPr="006128F6" w:rsidRDefault="009C3080" w:rsidP="009C3080">
            <w:pPr>
              <w:spacing w:line="240" w:lineRule="auto"/>
              <w:rPr>
                <w:color w:val="000000"/>
                <w:lang w:eastAsia="en-GB"/>
              </w:rPr>
            </w:pPr>
            <w:r w:rsidRPr="006128F6">
              <w:rPr>
                <w:color w:val="000000"/>
                <w:lang w:eastAsia="en-GB"/>
              </w:rPr>
              <w:t xml:space="preserve">Cough </w:t>
            </w:r>
          </w:p>
        </w:tc>
        <w:tc>
          <w:tcPr>
            <w:tcW w:w="1423" w:type="pct"/>
            <w:shd w:val="clear" w:color="auto" w:fill="auto"/>
          </w:tcPr>
          <w:p w14:paraId="28586EF5" w14:textId="77777777" w:rsidR="009C3080" w:rsidRPr="006128F6" w:rsidRDefault="009C3080" w:rsidP="009C3080">
            <w:pPr>
              <w:spacing w:line="240" w:lineRule="auto"/>
              <w:rPr>
                <w:color w:val="000000"/>
                <w:lang w:eastAsia="en-GB"/>
              </w:rPr>
            </w:pPr>
            <w:r w:rsidRPr="006128F6">
              <w:rPr>
                <w:color w:val="000000"/>
                <w:lang w:eastAsia="en-GB"/>
              </w:rPr>
              <w:t xml:space="preserve">Very common </w:t>
            </w:r>
          </w:p>
        </w:tc>
      </w:tr>
      <w:tr w:rsidR="009C3080" w:rsidRPr="006128F6" w14:paraId="496B0702" w14:textId="77777777" w:rsidTr="0032436C">
        <w:trPr>
          <w:cantSplit/>
        </w:trPr>
        <w:tc>
          <w:tcPr>
            <w:tcW w:w="1780" w:type="pct"/>
            <w:vMerge/>
            <w:shd w:val="clear" w:color="auto" w:fill="auto"/>
          </w:tcPr>
          <w:p w14:paraId="5D757DB2" w14:textId="77777777" w:rsidR="009C3080" w:rsidRPr="006128F6" w:rsidRDefault="009C3080" w:rsidP="009C3080">
            <w:pPr>
              <w:spacing w:line="240" w:lineRule="auto"/>
              <w:rPr>
                <w:szCs w:val="22"/>
              </w:rPr>
            </w:pPr>
          </w:p>
        </w:tc>
        <w:tc>
          <w:tcPr>
            <w:tcW w:w="1797" w:type="pct"/>
            <w:shd w:val="clear" w:color="auto" w:fill="auto"/>
            <w:vAlign w:val="bottom"/>
          </w:tcPr>
          <w:p w14:paraId="7F63F724" w14:textId="77777777" w:rsidR="009C3080" w:rsidRPr="006128F6" w:rsidRDefault="009C3080" w:rsidP="009C3080">
            <w:pPr>
              <w:spacing w:line="240" w:lineRule="auto"/>
              <w:rPr>
                <w:color w:val="000000"/>
                <w:lang w:eastAsia="en-GB"/>
              </w:rPr>
            </w:pPr>
            <w:r w:rsidRPr="006128F6">
              <w:rPr>
                <w:color w:val="000000"/>
                <w:lang w:eastAsia="en-GB"/>
              </w:rPr>
              <w:t xml:space="preserve">Epistaxis </w:t>
            </w:r>
          </w:p>
        </w:tc>
        <w:tc>
          <w:tcPr>
            <w:tcW w:w="1423" w:type="pct"/>
            <w:shd w:val="clear" w:color="auto" w:fill="auto"/>
          </w:tcPr>
          <w:p w14:paraId="390D2C58" w14:textId="77777777" w:rsidR="009C3080" w:rsidRPr="006128F6" w:rsidRDefault="009C3080" w:rsidP="009C3080">
            <w:pPr>
              <w:spacing w:line="240" w:lineRule="auto"/>
              <w:rPr>
                <w:color w:val="000000"/>
                <w:lang w:eastAsia="en-GB"/>
              </w:rPr>
            </w:pPr>
            <w:r w:rsidRPr="006128F6">
              <w:rPr>
                <w:color w:val="000000"/>
                <w:lang w:eastAsia="en-GB"/>
              </w:rPr>
              <w:t xml:space="preserve">Very common </w:t>
            </w:r>
          </w:p>
        </w:tc>
      </w:tr>
      <w:tr w:rsidR="009C3080" w:rsidRPr="006128F6" w14:paraId="1377CB9A" w14:textId="77777777" w:rsidTr="0032436C">
        <w:trPr>
          <w:cantSplit/>
        </w:trPr>
        <w:tc>
          <w:tcPr>
            <w:tcW w:w="1780" w:type="pct"/>
            <w:vMerge/>
            <w:shd w:val="clear" w:color="auto" w:fill="auto"/>
          </w:tcPr>
          <w:p w14:paraId="29F8A5CE" w14:textId="77777777" w:rsidR="009C3080" w:rsidRPr="006128F6" w:rsidRDefault="009C3080" w:rsidP="009C3080">
            <w:pPr>
              <w:spacing w:line="240" w:lineRule="auto"/>
              <w:rPr>
                <w:szCs w:val="22"/>
              </w:rPr>
            </w:pPr>
          </w:p>
        </w:tc>
        <w:tc>
          <w:tcPr>
            <w:tcW w:w="1797" w:type="pct"/>
            <w:shd w:val="clear" w:color="auto" w:fill="auto"/>
            <w:vAlign w:val="bottom"/>
          </w:tcPr>
          <w:p w14:paraId="42FD8DA7" w14:textId="77777777" w:rsidR="009C3080" w:rsidRPr="006128F6" w:rsidRDefault="009C3080" w:rsidP="009C3080">
            <w:pPr>
              <w:spacing w:line="240" w:lineRule="auto"/>
              <w:rPr>
                <w:color w:val="000000"/>
                <w:lang w:eastAsia="en-GB"/>
              </w:rPr>
            </w:pPr>
            <w:r w:rsidRPr="006128F6">
              <w:rPr>
                <w:color w:val="000000"/>
                <w:lang w:eastAsia="en-GB"/>
              </w:rPr>
              <w:t xml:space="preserve">Rhinorrhoea </w:t>
            </w:r>
          </w:p>
        </w:tc>
        <w:tc>
          <w:tcPr>
            <w:tcW w:w="1423" w:type="pct"/>
            <w:shd w:val="clear" w:color="auto" w:fill="auto"/>
          </w:tcPr>
          <w:p w14:paraId="143013E4" w14:textId="77777777" w:rsidR="009C3080" w:rsidRPr="006128F6" w:rsidRDefault="009C3080" w:rsidP="009C3080">
            <w:pPr>
              <w:spacing w:line="240" w:lineRule="auto"/>
              <w:rPr>
                <w:color w:val="000000"/>
                <w:lang w:eastAsia="en-GB"/>
              </w:rPr>
            </w:pPr>
            <w:r w:rsidRPr="006128F6">
              <w:rPr>
                <w:color w:val="000000"/>
                <w:lang w:eastAsia="en-GB"/>
              </w:rPr>
              <w:t xml:space="preserve">Very common </w:t>
            </w:r>
          </w:p>
        </w:tc>
      </w:tr>
      <w:tr w:rsidR="009C3080" w:rsidRPr="006128F6" w14:paraId="03085053" w14:textId="77777777" w:rsidTr="0032436C">
        <w:trPr>
          <w:cantSplit/>
        </w:trPr>
        <w:tc>
          <w:tcPr>
            <w:tcW w:w="1780" w:type="pct"/>
            <w:vMerge/>
            <w:shd w:val="clear" w:color="auto" w:fill="auto"/>
          </w:tcPr>
          <w:p w14:paraId="75CA8824" w14:textId="77777777" w:rsidR="009C3080" w:rsidRPr="006128F6" w:rsidRDefault="009C3080" w:rsidP="009C3080">
            <w:pPr>
              <w:spacing w:line="240" w:lineRule="auto"/>
              <w:rPr>
                <w:szCs w:val="22"/>
              </w:rPr>
            </w:pPr>
          </w:p>
        </w:tc>
        <w:tc>
          <w:tcPr>
            <w:tcW w:w="1797" w:type="pct"/>
            <w:shd w:val="clear" w:color="auto" w:fill="auto"/>
            <w:vAlign w:val="bottom"/>
          </w:tcPr>
          <w:p w14:paraId="75D5CBEE" w14:textId="77777777" w:rsidR="009C3080" w:rsidRPr="006128F6" w:rsidRDefault="009C3080" w:rsidP="009C3080">
            <w:pPr>
              <w:spacing w:line="240" w:lineRule="auto"/>
              <w:rPr>
                <w:color w:val="000000"/>
                <w:lang w:eastAsia="en-GB"/>
              </w:rPr>
            </w:pPr>
            <w:r w:rsidRPr="006128F6">
              <w:rPr>
                <w:color w:val="000000"/>
                <w:vertAlign w:val="superscript"/>
                <w:lang w:eastAsia="en-GB"/>
              </w:rPr>
              <w:t>+</w:t>
            </w:r>
            <w:r w:rsidRPr="006128F6">
              <w:rPr>
                <w:color w:val="000000"/>
                <w:lang w:eastAsia="en-GB"/>
              </w:rPr>
              <w:t>Pneumonia</w:t>
            </w:r>
          </w:p>
        </w:tc>
        <w:tc>
          <w:tcPr>
            <w:tcW w:w="1423" w:type="pct"/>
            <w:shd w:val="clear" w:color="auto" w:fill="auto"/>
          </w:tcPr>
          <w:p w14:paraId="25FD573C" w14:textId="77777777" w:rsidR="009C3080" w:rsidRPr="006128F6" w:rsidRDefault="009C3080" w:rsidP="009C3080">
            <w:pPr>
              <w:spacing w:line="240" w:lineRule="auto"/>
              <w:rPr>
                <w:color w:val="000000"/>
                <w:lang w:eastAsia="en-GB"/>
              </w:rPr>
            </w:pPr>
            <w:r w:rsidRPr="006128F6">
              <w:rPr>
                <w:color w:val="000000"/>
                <w:lang w:eastAsia="en-GB"/>
              </w:rPr>
              <w:t xml:space="preserve">Common </w:t>
            </w:r>
          </w:p>
        </w:tc>
      </w:tr>
      <w:tr w:rsidR="009C3080" w:rsidRPr="006128F6" w14:paraId="15EAA412" w14:textId="77777777" w:rsidTr="0032436C">
        <w:trPr>
          <w:cantSplit/>
        </w:trPr>
        <w:tc>
          <w:tcPr>
            <w:tcW w:w="1780" w:type="pct"/>
            <w:vMerge/>
            <w:shd w:val="clear" w:color="auto" w:fill="auto"/>
          </w:tcPr>
          <w:p w14:paraId="70FE241E" w14:textId="77777777" w:rsidR="009C3080" w:rsidRPr="006128F6" w:rsidRDefault="009C3080" w:rsidP="009C3080">
            <w:pPr>
              <w:spacing w:line="240" w:lineRule="auto"/>
              <w:rPr>
                <w:szCs w:val="22"/>
              </w:rPr>
            </w:pPr>
          </w:p>
        </w:tc>
        <w:tc>
          <w:tcPr>
            <w:tcW w:w="1797" w:type="pct"/>
            <w:shd w:val="clear" w:color="auto" w:fill="auto"/>
            <w:vAlign w:val="bottom"/>
          </w:tcPr>
          <w:p w14:paraId="60BC73EE" w14:textId="77777777" w:rsidR="009C3080" w:rsidRPr="006128F6" w:rsidRDefault="009C3080" w:rsidP="009C3080">
            <w:pPr>
              <w:spacing w:line="240" w:lineRule="auto"/>
              <w:rPr>
                <w:color w:val="000000"/>
                <w:lang w:eastAsia="en-GB"/>
              </w:rPr>
            </w:pPr>
            <w:r w:rsidRPr="006128F6">
              <w:rPr>
                <w:color w:val="000000"/>
                <w:lang w:eastAsia="en-GB"/>
              </w:rPr>
              <w:t>Asthma</w:t>
            </w:r>
          </w:p>
        </w:tc>
        <w:tc>
          <w:tcPr>
            <w:tcW w:w="1423" w:type="pct"/>
            <w:shd w:val="clear" w:color="auto" w:fill="auto"/>
          </w:tcPr>
          <w:p w14:paraId="38B86AEC" w14:textId="77777777" w:rsidR="009C3080" w:rsidRPr="006128F6" w:rsidRDefault="009C3080" w:rsidP="009C3080">
            <w:pPr>
              <w:spacing w:line="240" w:lineRule="auto"/>
              <w:rPr>
                <w:color w:val="000000"/>
                <w:lang w:eastAsia="en-GB"/>
              </w:rPr>
            </w:pPr>
            <w:r w:rsidRPr="006128F6">
              <w:rPr>
                <w:color w:val="000000"/>
                <w:lang w:eastAsia="en-GB"/>
              </w:rPr>
              <w:t xml:space="preserve">Common </w:t>
            </w:r>
          </w:p>
        </w:tc>
      </w:tr>
      <w:tr w:rsidR="009C3080" w:rsidRPr="006128F6" w14:paraId="4B2E81CF" w14:textId="77777777" w:rsidTr="0032436C">
        <w:trPr>
          <w:cantSplit/>
        </w:trPr>
        <w:tc>
          <w:tcPr>
            <w:tcW w:w="1780" w:type="pct"/>
            <w:vMerge/>
            <w:shd w:val="clear" w:color="auto" w:fill="auto"/>
          </w:tcPr>
          <w:p w14:paraId="65A51330" w14:textId="77777777" w:rsidR="009C3080" w:rsidRPr="006128F6" w:rsidRDefault="009C3080" w:rsidP="009C3080">
            <w:pPr>
              <w:spacing w:line="240" w:lineRule="auto"/>
              <w:rPr>
                <w:szCs w:val="22"/>
              </w:rPr>
            </w:pPr>
          </w:p>
        </w:tc>
        <w:tc>
          <w:tcPr>
            <w:tcW w:w="1797" w:type="pct"/>
            <w:shd w:val="clear" w:color="auto" w:fill="auto"/>
            <w:vAlign w:val="bottom"/>
          </w:tcPr>
          <w:p w14:paraId="08DE11AD" w14:textId="77777777" w:rsidR="009C3080" w:rsidRPr="006128F6" w:rsidRDefault="009C3080" w:rsidP="009C3080">
            <w:pPr>
              <w:spacing w:line="240" w:lineRule="auto"/>
              <w:rPr>
                <w:color w:val="000000"/>
                <w:lang w:eastAsia="en-GB"/>
              </w:rPr>
            </w:pPr>
            <w:r w:rsidRPr="006128F6">
              <w:rPr>
                <w:color w:val="000000"/>
                <w:lang w:eastAsia="en-GB"/>
              </w:rPr>
              <w:t xml:space="preserve">Lung disorder </w:t>
            </w:r>
          </w:p>
        </w:tc>
        <w:tc>
          <w:tcPr>
            <w:tcW w:w="1423" w:type="pct"/>
            <w:shd w:val="clear" w:color="auto" w:fill="auto"/>
          </w:tcPr>
          <w:p w14:paraId="4A58C947" w14:textId="77777777" w:rsidR="009C3080" w:rsidRPr="006128F6" w:rsidRDefault="009C3080" w:rsidP="009C3080">
            <w:pPr>
              <w:spacing w:line="240" w:lineRule="auto"/>
              <w:rPr>
                <w:color w:val="000000"/>
                <w:lang w:eastAsia="en-GB"/>
              </w:rPr>
            </w:pPr>
            <w:r w:rsidRPr="006128F6">
              <w:rPr>
                <w:color w:val="000000"/>
                <w:lang w:eastAsia="en-GB"/>
              </w:rPr>
              <w:t xml:space="preserve">Common </w:t>
            </w:r>
          </w:p>
        </w:tc>
      </w:tr>
      <w:tr w:rsidR="009C3080" w:rsidRPr="006128F6" w14:paraId="4432E1E6" w14:textId="77777777" w:rsidTr="0032436C">
        <w:trPr>
          <w:cantSplit/>
        </w:trPr>
        <w:tc>
          <w:tcPr>
            <w:tcW w:w="1780" w:type="pct"/>
            <w:vMerge/>
            <w:shd w:val="clear" w:color="auto" w:fill="auto"/>
          </w:tcPr>
          <w:p w14:paraId="5236B3F2" w14:textId="77777777" w:rsidR="009C3080" w:rsidRPr="006128F6" w:rsidRDefault="009C3080" w:rsidP="009C3080">
            <w:pPr>
              <w:spacing w:line="240" w:lineRule="auto"/>
              <w:rPr>
                <w:szCs w:val="22"/>
              </w:rPr>
            </w:pPr>
          </w:p>
        </w:tc>
        <w:tc>
          <w:tcPr>
            <w:tcW w:w="1797" w:type="pct"/>
            <w:shd w:val="clear" w:color="auto" w:fill="auto"/>
            <w:vAlign w:val="bottom"/>
          </w:tcPr>
          <w:p w14:paraId="17A22B46" w14:textId="77777777" w:rsidR="009C3080" w:rsidRPr="006128F6" w:rsidRDefault="009C3080" w:rsidP="009C3080">
            <w:pPr>
              <w:spacing w:line="240" w:lineRule="auto"/>
              <w:rPr>
                <w:color w:val="000000"/>
                <w:lang w:eastAsia="en-GB"/>
              </w:rPr>
            </w:pPr>
            <w:r w:rsidRPr="006128F6">
              <w:rPr>
                <w:color w:val="000000"/>
                <w:vertAlign w:val="superscript"/>
                <w:lang w:eastAsia="en-GB"/>
              </w:rPr>
              <w:t>+</w:t>
            </w:r>
            <w:r w:rsidRPr="006128F6">
              <w:rPr>
                <w:color w:val="000000"/>
                <w:lang w:eastAsia="en-GB"/>
              </w:rPr>
              <w:t>Pleural effusion</w:t>
            </w:r>
          </w:p>
        </w:tc>
        <w:tc>
          <w:tcPr>
            <w:tcW w:w="1423" w:type="pct"/>
            <w:shd w:val="clear" w:color="auto" w:fill="auto"/>
          </w:tcPr>
          <w:p w14:paraId="4362E689" w14:textId="77777777" w:rsidR="009C3080" w:rsidRPr="006128F6" w:rsidRDefault="009C3080" w:rsidP="009C3080">
            <w:pPr>
              <w:spacing w:line="240" w:lineRule="auto"/>
              <w:rPr>
                <w:color w:val="000000"/>
                <w:lang w:eastAsia="en-GB"/>
              </w:rPr>
            </w:pPr>
            <w:r w:rsidRPr="006128F6">
              <w:rPr>
                <w:color w:val="000000"/>
                <w:lang w:eastAsia="en-GB"/>
              </w:rPr>
              <w:t xml:space="preserve">Common </w:t>
            </w:r>
          </w:p>
        </w:tc>
      </w:tr>
      <w:tr w:rsidR="009C3080" w:rsidRPr="006128F6" w14:paraId="6B560885" w14:textId="77777777" w:rsidTr="00081416">
        <w:trPr>
          <w:cantSplit/>
        </w:trPr>
        <w:tc>
          <w:tcPr>
            <w:tcW w:w="1780" w:type="pct"/>
            <w:vMerge/>
            <w:shd w:val="clear" w:color="auto" w:fill="auto"/>
          </w:tcPr>
          <w:p w14:paraId="60795E76" w14:textId="77777777" w:rsidR="009C3080" w:rsidRPr="006128F6" w:rsidRDefault="009C3080" w:rsidP="009C3080">
            <w:pPr>
              <w:spacing w:line="240" w:lineRule="auto"/>
              <w:rPr>
                <w:szCs w:val="22"/>
              </w:rPr>
            </w:pPr>
          </w:p>
        </w:tc>
        <w:tc>
          <w:tcPr>
            <w:tcW w:w="1797" w:type="pct"/>
            <w:shd w:val="clear" w:color="auto" w:fill="auto"/>
          </w:tcPr>
          <w:p w14:paraId="2B29B274" w14:textId="5AE77F6D" w:rsidR="009C3080" w:rsidRPr="006128F6" w:rsidRDefault="009C3080" w:rsidP="009C3080">
            <w:pPr>
              <w:spacing w:line="240" w:lineRule="auto"/>
              <w:rPr>
                <w:color w:val="000000"/>
                <w:lang w:eastAsia="en-GB"/>
              </w:rPr>
            </w:pPr>
            <w:r w:rsidRPr="00500A35">
              <w:rPr>
                <w:szCs w:val="22"/>
                <w:vertAlign w:val="superscript"/>
              </w:rPr>
              <w:t>+1</w:t>
            </w:r>
            <w:r w:rsidRPr="00500A35">
              <w:rPr>
                <w:szCs w:val="22"/>
              </w:rPr>
              <w:t>Wheezing</w:t>
            </w:r>
          </w:p>
        </w:tc>
        <w:tc>
          <w:tcPr>
            <w:tcW w:w="1423" w:type="pct"/>
            <w:shd w:val="clear" w:color="auto" w:fill="auto"/>
          </w:tcPr>
          <w:p w14:paraId="79AFE0F5" w14:textId="7E1050B6" w:rsidR="009C3080" w:rsidRPr="006128F6" w:rsidRDefault="009C3080" w:rsidP="009C3080">
            <w:pPr>
              <w:spacing w:line="240" w:lineRule="auto"/>
              <w:rPr>
                <w:color w:val="000000"/>
                <w:lang w:eastAsia="en-GB"/>
              </w:rPr>
            </w:pPr>
            <w:r>
              <w:rPr>
                <w:szCs w:val="22"/>
              </w:rPr>
              <w:t>Uncommon</w:t>
            </w:r>
          </w:p>
        </w:tc>
      </w:tr>
      <w:tr w:rsidR="009C3080" w:rsidRPr="006128F6" w14:paraId="70DD7C58" w14:textId="77777777" w:rsidTr="0032436C">
        <w:trPr>
          <w:cantSplit/>
        </w:trPr>
        <w:tc>
          <w:tcPr>
            <w:tcW w:w="1780" w:type="pct"/>
            <w:vMerge/>
            <w:shd w:val="clear" w:color="auto" w:fill="auto"/>
          </w:tcPr>
          <w:p w14:paraId="6F10FD02" w14:textId="77777777" w:rsidR="009C3080" w:rsidRPr="006128F6" w:rsidRDefault="009C3080" w:rsidP="009C3080">
            <w:pPr>
              <w:spacing w:line="240" w:lineRule="auto"/>
              <w:rPr>
                <w:szCs w:val="22"/>
              </w:rPr>
            </w:pPr>
          </w:p>
        </w:tc>
        <w:tc>
          <w:tcPr>
            <w:tcW w:w="1797" w:type="pct"/>
            <w:shd w:val="clear" w:color="auto" w:fill="auto"/>
            <w:vAlign w:val="bottom"/>
          </w:tcPr>
          <w:p w14:paraId="79C7285D" w14:textId="77777777" w:rsidR="009C3080" w:rsidRPr="006128F6" w:rsidRDefault="009C3080" w:rsidP="009C3080">
            <w:pPr>
              <w:spacing w:line="240" w:lineRule="auto"/>
              <w:rPr>
                <w:color w:val="000000"/>
                <w:lang w:eastAsia="en-GB"/>
              </w:rPr>
            </w:pPr>
            <w:r w:rsidRPr="006128F6">
              <w:rPr>
                <w:color w:val="000000"/>
                <w:lang w:eastAsia="en-GB"/>
              </w:rPr>
              <w:t xml:space="preserve">Pneumonitis </w:t>
            </w:r>
          </w:p>
        </w:tc>
        <w:tc>
          <w:tcPr>
            <w:tcW w:w="1423" w:type="pct"/>
            <w:shd w:val="clear" w:color="auto" w:fill="auto"/>
          </w:tcPr>
          <w:p w14:paraId="686474B0" w14:textId="7A0E962B" w:rsidR="009C3080" w:rsidRPr="006128F6" w:rsidRDefault="009C3080" w:rsidP="009C3080">
            <w:pPr>
              <w:spacing w:line="240" w:lineRule="auto"/>
              <w:rPr>
                <w:color w:val="000000"/>
                <w:lang w:eastAsia="en-GB"/>
              </w:rPr>
            </w:pPr>
            <w:r>
              <w:rPr>
                <w:color w:val="000000"/>
                <w:lang w:eastAsia="en-GB"/>
              </w:rPr>
              <w:t>Uncommon</w:t>
            </w:r>
          </w:p>
        </w:tc>
      </w:tr>
      <w:tr w:rsidR="009C3080" w:rsidRPr="006128F6" w14:paraId="070FE172" w14:textId="77777777" w:rsidTr="0032436C">
        <w:trPr>
          <w:cantSplit/>
        </w:trPr>
        <w:tc>
          <w:tcPr>
            <w:tcW w:w="1780" w:type="pct"/>
            <w:vMerge/>
            <w:shd w:val="clear" w:color="auto" w:fill="auto"/>
          </w:tcPr>
          <w:p w14:paraId="7BF83832" w14:textId="77777777" w:rsidR="009C3080" w:rsidRPr="006128F6" w:rsidRDefault="009C3080" w:rsidP="009C3080">
            <w:pPr>
              <w:spacing w:line="240" w:lineRule="auto"/>
              <w:rPr>
                <w:szCs w:val="22"/>
              </w:rPr>
            </w:pPr>
          </w:p>
        </w:tc>
        <w:tc>
          <w:tcPr>
            <w:tcW w:w="1797" w:type="pct"/>
            <w:shd w:val="clear" w:color="auto" w:fill="auto"/>
            <w:vAlign w:val="bottom"/>
          </w:tcPr>
          <w:p w14:paraId="7C90DCA8" w14:textId="77777777" w:rsidR="009C3080" w:rsidRPr="006128F6" w:rsidRDefault="009C3080" w:rsidP="009C3080">
            <w:pPr>
              <w:spacing w:line="240" w:lineRule="auto"/>
              <w:rPr>
                <w:color w:val="000000"/>
                <w:lang w:eastAsia="en-GB"/>
              </w:rPr>
            </w:pPr>
            <w:r w:rsidRPr="006128F6">
              <w:rPr>
                <w:color w:val="000000"/>
                <w:vertAlign w:val="superscript"/>
                <w:lang w:eastAsia="en-GB"/>
              </w:rPr>
              <w:t>+</w:t>
            </w:r>
            <w:r w:rsidRPr="006128F6">
              <w:rPr>
                <w:color w:val="000000"/>
                <w:lang w:eastAsia="en-GB"/>
              </w:rPr>
              <w:t>Pulmonary fibrosis</w:t>
            </w:r>
          </w:p>
        </w:tc>
        <w:tc>
          <w:tcPr>
            <w:tcW w:w="1423" w:type="pct"/>
            <w:shd w:val="clear" w:color="auto" w:fill="auto"/>
          </w:tcPr>
          <w:p w14:paraId="5C6E1B08" w14:textId="77777777" w:rsidR="009C3080" w:rsidRPr="006128F6" w:rsidRDefault="009C3080" w:rsidP="009C3080">
            <w:pPr>
              <w:spacing w:line="240" w:lineRule="auto"/>
              <w:rPr>
                <w:color w:val="000000"/>
                <w:lang w:eastAsia="en-GB"/>
              </w:rPr>
            </w:pPr>
            <w:r w:rsidRPr="006128F6">
              <w:rPr>
                <w:color w:val="000000"/>
                <w:lang w:eastAsia="en-GB"/>
              </w:rPr>
              <w:t xml:space="preserve">Not known </w:t>
            </w:r>
          </w:p>
        </w:tc>
      </w:tr>
      <w:tr w:rsidR="009C3080" w:rsidRPr="006128F6" w14:paraId="7CD07EAD" w14:textId="77777777" w:rsidTr="0032436C">
        <w:trPr>
          <w:cantSplit/>
        </w:trPr>
        <w:tc>
          <w:tcPr>
            <w:tcW w:w="1780" w:type="pct"/>
            <w:vMerge/>
            <w:shd w:val="clear" w:color="auto" w:fill="auto"/>
          </w:tcPr>
          <w:p w14:paraId="0748763C" w14:textId="77777777" w:rsidR="009C3080" w:rsidRPr="006128F6" w:rsidRDefault="009C3080" w:rsidP="009C3080">
            <w:pPr>
              <w:spacing w:line="240" w:lineRule="auto"/>
              <w:rPr>
                <w:szCs w:val="22"/>
              </w:rPr>
            </w:pPr>
          </w:p>
        </w:tc>
        <w:tc>
          <w:tcPr>
            <w:tcW w:w="1797" w:type="pct"/>
            <w:shd w:val="clear" w:color="auto" w:fill="auto"/>
            <w:vAlign w:val="bottom"/>
          </w:tcPr>
          <w:p w14:paraId="01EC8888" w14:textId="77777777" w:rsidR="009C3080" w:rsidRPr="006128F6" w:rsidRDefault="009C3080" w:rsidP="009C3080">
            <w:pPr>
              <w:spacing w:line="240" w:lineRule="auto"/>
              <w:rPr>
                <w:color w:val="000000"/>
                <w:lang w:eastAsia="en-GB"/>
              </w:rPr>
            </w:pPr>
            <w:r w:rsidRPr="006128F6">
              <w:rPr>
                <w:color w:val="000000"/>
                <w:vertAlign w:val="superscript"/>
                <w:lang w:eastAsia="en-GB"/>
              </w:rPr>
              <w:t>+</w:t>
            </w:r>
            <w:r w:rsidRPr="006128F6">
              <w:rPr>
                <w:color w:val="000000"/>
                <w:lang w:eastAsia="en-GB"/>
              </w:rPr>
              <w:t>Respiratory distress</w:t>
            </w:r>
          </w:p>
        </w:tc>
        <w:tc>
          <w:tcPr>
            <w:tcW w:w="1423" w:type="pct"/>
            <w:shd w:val="clear" w:color="auto" w:fill="auto"/>
          </w:tcPr>
          <w:p w14:paraId="6A3E8DBD" w14:textId="77777777" w:rsidR="009C3080" w:rsidRPr="006128F6" w:rsidRDefault="009C3080" w:rsidP="009C3080">
            <w:pPr>
              <w:spacing w:line="240" w:lineRule="auto"/>
              <w:rPr>
                <w:color w:val="000000"/>
                <w:lang w:eastAsia="en-GB"/>
              </w:rPr>
            </w:pPr>
            <w:r w:rsidRPr="006128F6">
              <w:rPr>
                <w:color w:val="000000"/>
                <w:lang w:eastAsia="en-GB"/>
              </w:rPr>
              <w:t xml:space="preserve">Not known </w:t>
            </w:r>
          </w:p>
        </w:tc>
      </w:tr>
      <w:tr w:rsidR="009C3080" w:rsidRPr="006128F6" w14:paraId="6532F052" w14:textId="77777777" w:rsidTr="0032436C">
        <w:trPr>
          <w:cantSplit/>
        </w:trPr>
        <w:tc>
          <w:tcPr>
            <w:tcW w:w="1780" w:type="pct"/>
            <w:vMerge/>
            <w:shd w:val="clear" w:color="auto" w:fill="auto"/>
          </w:tcPr>
          <w:p w14:paraId="65989CB8" w14:textId="77777777" w:rsidR="009C3080" w:rsidRPr="006128F6" w:rsidRDefault="009C3080" w:rsidP="009C3080">
            <w:pPr>
              <w:spacing w:line="240" w:lineRule="auto"/>
              <w:rPr>
                <w:szCs w:val="22"/>
              </w:rPr>
            </w:pPr>
          </w:p>
        </w:tc>
        <w:tc>
          <w:tcPr>
            <w:tcW w:w="1797" w:type="pct"/>
            <w:shd w:val="clear" w:color="auto" w:fill="auto"/>
            <w:vAlign w:val="bottom"/>
          </w:tcPr>
          <w:p w14:paraId="2AC13203" w14:textId="77777777" w:rsidR="009C3080" w:rsidRPr="006128F6" w:rsidRDefault="009C3080" w:rsidP="009C3080">
            <w:pPr>
              <w:spacing w:line="240" w:lineRule="auto"/>
              <w:rPr>
                <w:color w:val="000000"/>
                <w:lang w:eastAsia="en-GB"/>
              </w:rPr>
            </w:pPr>
            <w:r w:rsidRPr="006128F6">
              <w:rPr>
                <w:color w:val="000000"/>
                <w:vertAlign w:val="superscript"/>
                <w:lang w:eastAsia="en-GB"/>
              </w:rPr>
              <w:t>+</w:t>
            </w:r>
            <w:r w:rsidRPr="006128F6">
              <w:rPr>
                <w:color w:val="000000"/>
                <w:lang w:eastAsia="en-GB"/>
              </w:rPr>
              <w:t>Respiratory failure</w:t>
            </w:r>
          </w:p>
        </w:tc>
        <w:tc>
          <w:tcPr>
            <w:tcW w:w="1423" w:type="pct"/>
            <w:shd w:val="clear" w:color="auto" w:fill="auto"/>
          </w:tcPr>
          <w:p w14:paraId="50A85789" w14:textId="77777777" w:rsidR="009C3080" w:rsidRPr="006128F6" w:rsidRDefault="009C3080" w:rsidP="009C3080">
            <w:pPr>
              <w:spacing w:line="240" w:lineRule="auto"/>
              <w:rPr>
                <w:color w:val="000000"/>
                <w:lang w:eastAsia="en-GB"/>
              </w:rPr>
            </w:pPr>
            <w:r w:rsidRPr="006128F6">
              <w:rPr>
                <w:color w:val="000000"/>
                <w:lang w:eastAsia="en-GB"/>
              </w:rPr>
              <w:t xml:space="preserve">Not known </w:t>
            </w:r>
          </w:p>
        </w:tc>
      </w:tr>
      <w:tr w:rsidR="009C3080" w:rsidRPr="006128F6" w14:paraId="0510356B" w14:textId="77777777" w:rsidTr="0032436C">
        <w:trPr>
          <w:cantSplit/>
        </w:trPr>
        <w:tc>
          <w:tcPr>
            <w:tcW w:w="1780" w:type="pct"/>
            <w:vMerge/>
            <w:shd w:val="clear" w:color="auto" w:fill="auto"/>
          </w:tcPr>
          <w:p w14:paraId="6E3A538D" w14:textId="77777777" w:rsidR="009C3080" w:rsidRPr="006128F6" w:rsidRDefault="009C3080" w:rsidP="009C3080">
            <w:pPr>
              <w:spacing w:line="240" w:lineRule="auto"/>
              <w:rPr>
                <w:szCs w:val="22"/>
              </w:rPr>
            </w:pPr>
          </w:p>
        </w:tc>
        <w:tc>
          <w:tcPr>
            <w:tcW w:w="1797" w:type="pct"/>
            <w:shd w:val="clear" w:color="auto" w:fill="auto"/>
            <w:vAlign w:val="bottom"/>
          </w:tcPr>
          <w:p w14:paraId="4EA4394A" w14:textId="77777777" w:rsidR="009C3080" w:rsidRPr="006128F6" w:rsidRDefault="009C3080" w:rsidP="009C3080">
            <w:pPr>
              <w:spacing w:line="240" w:lineRule="auto"/>
              <w:rPr>
                <w:color w:val="000000"/>
                <w:lang w:eastAsia="en-GB"/>
              </w:rPr>
            </w:pPr>
            <w:r w:rsidRPr="006128F6">
              <w:rPr>
                <w:color w:val="000000"/>
                <w:vertAlign w:val="superscript"/>
                <w:lang w:eastAsia="en-GB"/>
              </w:rPr>
              <w:t>+</w:t>
            </w:r>
            <w:r w:rsidRPr="006128F6">
              <w:rPr>
                <w:color w:val="000000"/>
                <w:lang w:eastAsia="en-GB"/>
              </w:rPr>
              <w:t>Lung infiltration</w:t>
            </w:r>
          </w:p>
        </w:tc>
        <w:tc>
          <w:tcPr>
            <w:tcW w:w="1423" w:type="pct"/>
            <w:shd w:val="clear" w:color="auto" w:fill="auto"/>
          </w:tcPr>
          <w:p w14:paraId="0D36A979" w14:textId="77777777" w:rsidR="009C3080" w:rsidRPr="006128F6" w:rsidRDefault="009C3080" w:rsidP="009C3080">
            <w:pPr>
              <w:spacing w:line="240" w:lineRule="auto"/>
              <w:rPr>
                <w:color w:val="000000"/>
                <w:lang w:eastAsia="en-GB"/>
              </w:rPr>
            </w:pPr>
            <w:r w:rsidRPr="006128F6">
              <w:rPr>
                <w:color w:val="000000"/>
                <w:lang w:eastAsia="en-GB"/>
              </w:rPr>
              <w:t xml:space="preserve">Not known </w:t>
            </w:r>
          </w:p>
        </w:tc>
      </w:tr>
      <w:tr w:rsidR="009C3080" w:rsidRPr="006128F6" w14:paraId="7B5E4E98" w14:textId="77777777" w:rsidTr="0032436C">
        <w:trPr>
          <w:cantSplit/>
        </w:trPr>
        <w:tc>
          <w:tcPr>
            <w:tcW w:w="1780" w:type="pct"/>
            <w:vMerge/>
            <w:shd w:val="clear" w:color="auto" w:fill="auto"/>
          </w:tcPr>
          <w:p w14:paraId="59DDEEA9" w14:textId="77777777" w:rsidR="009C3080" w:rsidRPr="006128F6" w:rsidRDefault="009C3080" w:rsidP="009C3080">
            <w:pPr>
              <w:spacing w:line="240" w:lineRule="auto"/>
              <w:rPr>
                <w:szCs w:val="22"/>
              </w:rPr>
            </w:pPr>
          </w:p>
        </w:tc>
        <w:tc>
          <w:tcPr>
            <w:tcW w:w="1797" w:type="pct"/>
            <w:shd w:val="clear" w:color="auto" w:fill="auto"/>
            <w:vAlign w:val="bottom"/>
          </w:tcPr>
          <w:p w14:paraId="3219AA5A" w14:textId="77777777" w:rsidR="009C3080" w:rsidRPr="006128F6" w:rsidRDefault="009C3080" w:rsidP="009C3080">
            <w:pPr>
              <w:spacing w:line="240" w:lineRule="auto"/>
              <w:rPr>
                <w:color w:val="000000"/>
                <w:lang w:eastAsia="en-GB"/>
              </w:rPr>
            </w:pPr>
            <w:r w:rsidRPr="006128F6">
              <w:rPr>
                <w:color w:val="000000"/>
                <w:vertAlign w:val="superscript"/>
                <w:lang w:eastAsia="en-GB"/>
              </w:rPr>
              <w:t>+</w:t>
            </w:r>
            <w:r w:rsidRPr="006128F6">
              <w:rPr>
                <w:color w:val="000000"/>
                <w:lang w:eastAsia="en-GB"/>
              </w:rPr>
              <w:t>Acute pulmonary oedema</w:t>
            </w:r>
          </w:p>
        </w:tc>
        <w:tc>
          <w:tcPr>
            <w:tcW w:w="1423" w:type="pct"/>
            <w:shd w:val="clear" w:color="auto" w:fill="auto"/>
          </w:tcPr>
          <w:p w14:paraId="1DA91A2F" w14:textId="77777777" w:rsidR="009C3080" w:rsidRPr="006128F6" w:rsidRDefault="009C3080" w:rsidP="009C3080">
            <w:pPr>
              <w:spacing w:line="240" w:lineRule="auto"/>
              <w:rPr>
                <w:color w:val="000000"/>
                <w:lang w:eastAsia="en-GB"/>
              </w:rPr>
            </w:pPr>
            <w:r w:rsidRPr="006128F6">
              <w:rPr>
                <w:color w:val="000000"/>
                <w:lang w:eastAsia="en-GB"/>
              </w:rPr>
              <w:t xml:space="preserve">Not known </w:t>
            </w:r>
          </w:p>
        </w:tc>
      </w:tr>
      <w:tr w:rsidR="009C3080" w:rsidRPr="006128F6" w14:paraId="1E1D519E" w14:textId="77777777" w:rsidTr="0032436C">
        <w:trPr>
          <w:cantSplit/>
        </w:trPr>
        <w:tc>
          <w:tcPr>
            <w:tcW w:w="1780" w:type="pct"/>
            <w:vMerge/>
            <w:shd w:val="clear" w:color="auto" w:fill="auto"/>
          </w:tcPr>
          <w:p w14:paraId="6BFA0F08" w14:textId="77777777" w:rsidR="009C3080" w:rsidRPr="006128F6" w:rsidRDefault="009C3080" w:rsidP="009C3080">
            <w:pPr>
              <w:spacing w:line="240" w:lineRule="auto"/>
              <w:rPr>
                <w:szCs w:val="22"/>
              </w:rPr>
            </w:pPr>
          </w:p>
        </w:tc>
        <w:tc>
          <w:tcPr>
            <w:tcW w:w="1797" w:type="pct"/>
            <w:shd w:val="clear" w:color="auto" w:fill="auto"/>
            <w:vAlign w:val="bottom"/>
          </w:tcPr>
          <w:p w14:paraId="731FA2CF" w14:textId="77777777" w:rsidR="009C3080" w:rsidRPr="006128F6" w:rsidRDefault="009C3080" w:rsidP="009C3080">
            <w:pPr>
              <w:spacing w:line="240" w:lineRule="auto"/>
              <w:rPr>
                <w:color w:val="000000"/>
                <w:lang w:eastAsia="en-GB"/>
              </w:rPr>
            </w:pPr>
            <w:r w:rsidRPr="006128F6">
              <w:rPr>
                <w:color w:val="000000"/>
                <w:vertAlign w:val="superscript"/>
                <w:lang w:eastAsia="en-GB"/>
              </w:rPr>
              <w:t>+</w:t>
            </w:r>
            <w:r w:rsidRPr="006128F6">
              <w:rPr>
                <w:color w:val="000000"/>
                <w:lang w:eastAsia="en-GB"/>
              </w:rPr>
              <w:t>Acute respiratory distress syndrome</w:t>
            </w:r>
          </w:p>
        </w:tc>
        <w:tc>
          <w:tcPr>
            <w:tcW w:w="1423" w:type="pct"/>
            <w:shd w:val="clear" w:color="auto" w:fill="auto"/>
          </w:tcPr>
          <w:p w14:paraId="1FB5D79C" w14:textId="77777777" w:rsidR="009C3080" w:rsidRPr="006128F6" w:rsidRDefault="009C3080" w:rsidP="009C3080">
            <w:pPr>
              <w:spacing w:line="240" w:lineRule="auto"/>
              <w:rPr>
                <w:color w:val="000000"/>
                <w:lang w:eastAsia="en-GB"/>
              </w:rPr>
            </w:pPr>
            <w:r w:rsidRPr="006128F6">
              <w:rPr>
                <w:color w:val="000000"/>
                <w:lang w:eastAsia="en-GB"/>
              </w:rPr>
              <w:t xml:space="preserve">Not known </w:t>
            </w:r>
          </w:p>
        </w:tc>
      </w:tr>
      <w:tr w:rsidR="009C3080" w:rsidRPr="006128F6" w14:paraId="64E31475" w14:textId="77777777" w:rsidTr="0032436C">
        <w:trPr>
          <w:cantSplit/>
        </w:trPr>
        <w:tc>
          <w:tcPr>
            <w:tcW w:w="1780" w:type="pct"/>
            <w:vMerge/>
            <w:shd w:val="clear" w:color="auto" w:fill="auto"/>
          </w:tcPr>
          <w:p w14:paraId="65D0DAFC" w14:textId="77777777" w:rsidR="009C3080" w:rsidRPr="006128F6" w:rsidRDefault="009C3080" w:rsidP="009C3080">
            <w:pPr>
              <w:spacing w:line="240" w:lineRule="auto"/>
              <w:rPr>
                <w:szCs w:val="22"/>
              </w:rPr>
            </w:pPr>
          </w:p>
        </w:tc>
        <w:tc>
          <w:tcPr>
            <w:tcW w:w="1797" w:type="pct"/>
            <w:shd w:val="clear" w:color="auto" w:fill="auto"/>
            <w:vAlign w:val="bottom"/>
          </w:tcPr>
          <w:p w14:paraId="186DE56B" w14:textId="77777777" w:rsidR="009C3080" w:rsidRPr="006128F6" w:rsidRDefault="009C3080" w:rsidP="009C3080">
            <w:pPr>
              <w:spacing w:line="240" w:lineRule="auto"/>
              <w:rPr>
                <w:color w:val="000000"/>
                <w:lang w:eastAsia="en-GB"/>
              </w:rPr>
            </w:pPr>
            <w:r w:rsidRPr="006128F6">
              <w:rPr>
                <w:color w:val="000000"/>
                <w:vertAlign w:val="superscript"/>
                <w:lang w:eastAsia="en-GB"/>
              </w:rPr>
              <w:t>+</w:t>
            </w:r>
            <w:r w:rsidRPr="006128F6">
              <w:rPr>
                <w:color w:val="000000"/>
                <w:lang w:eastAsia="en-GB"/>
              </w:rPr>
              <w:t>Bronchospasm</w:t>
            </w:r>
          </w:p>
        </w:tc>
        <w:tc>
          <w:tcPr>
            <w:tcW w:w="1423" w:type="pct"/>
            <w:shd w:val="clear" w:color="auto" w:fill="auto"/>
          </w:tcPr>
          <w:p w14:paraId="4B06F49D" w14:textId="77777777" w:rsidR="009C3080" w:rsidRPr="006128F6" w:rsidRDefault="009C3080" w:rsidP="009C3080">
            <w:pPr>
              <w:spacing w:line="240" w:lineRule="auto"/>
              <w:rPr>
                <w:color w:val="000000"/>
                <w:lang w:eastAsia="en-GB"/>
              </w:rPr>
            </w:pPr>
            <w:r w:rsidRPr="006128F6">
              <w:rPr>
                <w:color w:val="000000"/>
                <w:lang w:eastAsia="en-GB"/>
              </w:rPr>
              <w:t xml:space="preserve">Not known </w:t>
            </w:r>
          </w:p>
        </w:tc>
      </w:tr>
      <w:tr w:rsidR="009C3080" w:rsidRPr="006128F6" w14:paraId="43534632" w14:textId="77777777" w:rsidTr="0032436C">
        <w:trPr>
          <w:cantSplit/>
        </w:trPr>
        <w:tc>
          <w:tcPr>
            <w:tcW w:w="1780" w:type="pct"/>
            <w:vMerge/>
            <w:shd w:val="clear" w:color="auto" w:fill="auto"/>
          </w:tcPr>
          <w:p w14:paraId="7694BC25" w14:textId="77777777" w:rsidR="009C3080" w:rsidRPr="006128F6" w:rsidRDefault="009C3080" w:rsidP="009C3080">
            <w:pPr>
              <w:spacing w:line="240" w:lineRule="auto"/>
              <w:rPr>
                <w:szCs w:val="22"/>
              </w:rPr>
            </w:pPr>
          </w:p>
        </w:tc>
        <w:tc>
          <w:tcPr>
            <w:tcW w:w="1797" w:type="pct"/>
            <w:shd w:val="clear" w:color="auto" w:fill="auto"/>
            <w:vAlign w:val="bottom"/>
          </w:tcPr>
          <w:p w14:paraId="4302CA02" w14:textId="77777777" w:rsidR="009C3080" w:rsidRPr="006128F6" w:rsidRDefault="009C3080" w:rsidP="009C3080">
            <w:pPr>
              <w:spacing w:line="240" w:lineRule="auto"/>
              <w:rPr>
                <w:color w:val="000000"/>
                <w:lang w:eastAsia="en-GB"/>
              </w:rPr>
            </w:pPr>
            <w:r w:rsidRPr="006128F6">
              <w:rPr>
                <w:color w:val="000000"/>
                <w:vertAlign w:val="superscript"/>
                <w:lang w:eastAsia="en-GB"/>
              </w:rPr>
              <w:t>+</w:t>
            </w:r>
            <w:r w:rsidRPr="006128F6">
              <w:rPr>
                <w:color w:val="000000"/>
                <w:lang w:eastAsia="en-GB"/>
              </w:rPr>
              <w:t>Hypoxia</w:t>
            </w:r>
          </w:p>
        </w:tc>
        <w:tc>
          <w:tcPr>
            <w:tcW w:w="1423" w:type="pct"/>
            <w:shd w:val="clear" w:color="auto" w:fill="auto"/>
          </w:tcPr>
          <w:p w14:paraId="5D0C7E39" w14:textId="77777777" w:rsidR="009C3080" w:rsidRPr="006128F6" w:rsidRDefault="009C3080" w:rsidP="009C3080">
            <w:pPr>
              <w:spacing w:line="240" w:lineRule="auto"/>
              <w:rPr>
                <w:color w:val="000000"/>
                <w:lang w:eastAsia="en-GB"/>
              </w:rPr>
            </w:pPr>
            <w:r w:rsidRPr="006128F6">
              <w:rPr>
                <w:color w:val="000000"/>
                <w:lang w:eastAsia="en-GB"/>
              </w:rPr>
              <w:t xml:space="preserve">Not known </w:t>
            </w:r>
          </w:p>
        </w:tc>
      </w:tr>
      <w:tr w:rsidR="009C3080" w:rsidRPr="006128F6" w14:paraId="52B48DE5" w14:textId="77777777" w:rsidTr="0032436C">
        <w:trPr>
          <w:cantSplit/>
        </w:trPr>
        <w:tc>
          <w:tcPr>
            <w:tcW w:w="1780" w:type="pct"/>
            <w:vMerge/>
            <w:shd w:val="clear" w:color="auto" w:fill="auto"/>
          </w:tcPr>
          <w:p w14:paraId="6CB8BECF" w14:textId="77777777" w:rsidR="009C3080" w:rsidRPr="006128F6" w:rsidRDefault="009C3080" w:rsidP="009C3080">
            <w:pPr>
              <w:spacing w:line="240" w:lineRule="auto"/>
              <w:rPr>
                <w:szCs w:val="22"/>
              </w:rPr>
            </w:pPr>
          </w:p>
        </w:tc>
        <w:tc>
          <w:tcPr>
            <w:tcW w:w="1797" w:type="pct"/>
            <w:shd w:val="clear" w:color="auto" w:fill="auto"/>
            <w:vAlign w:val="bottom"/>
          </w:tcPr>
          <w:p w14:paraId="067CF274" w14:textId="77777777" w:rsidR="009C3080" w:rsidRPr="006128F6" w:rsidRDefault="009C3080" w:rsidP="009C3080">
            <w:pPr>
              <w:spacing w:line="240" w:lineRule="auto"/>
              <w:rPr>
                <w:color w:val="000000"/>
                <w:lang w:eastAsia="en-GB"/>
              </w:rPr>
            </w:pPr>
            <w:r w:rsidRPr="006128F6">
              <w:rPr>
                <w:color w:val="000000"/>
                <w:vertAlign w:val="superscript"/>
                <w:lang w:eastAsia="en-GB"/>
              </w:rPr>
              <w:t>+</w:t>
            </w:r>
            <w:r w:rsidRPr="006128F6">
              <w:rPr>
                <w:color w:val="000000"/>
                <w:lang w:eastAsia="en-GB"/>
              </w:rPr>
              <w:t>Oxygen saturation decreased</w:t>
            </w:r>
          </w:p>
        </w:tc>
        <w:tc>
          <w:tcPr>
            <w:tcW w:w="1423" w:type="pct"/>
            <w:shd w:val="clear" w:color="auto" w:fill="auto"/>
          </w:tcPr>
          <w:p w14:paraId="026E0B4F" w14:textId="77777777" w:rsidR="009C3080" w:rsidRPr="006128F6" w:rsidRDefault="009C3080" w:rsidP="009C3080">
            <w:pPr>
              <w:spacing w:line="240" w:lineRule="auto"/>
              <w:rPr>
                <w:color w:val="000000"/>
                <w:lang w:eastAsia="en-GB"/>
              </w:rPr>
            </w:pPr>
            <w:r w:rsidRPr="006128F6">
              <w:rPr>
                <w:color w:val="000000"/>
                <w:lang w:eastAsia="en-GB"/>
              </w:rPr>
              <w:t xml:space="preserve">Not known </w:t>
            </w:r>
          </w:p>
        </w:tc>
      </w:tr>
      <w:tr w:rsidR="009C3080" w:rsidRPr="006128F6" w14:paraId="1D124411" w14:textId="77777777" w:rsidTr="0032436C">
        <w:trPr>
          <w:cantSplit/>
        </w:trPr>
        <w:tc>
          <w:tcPr>
            <w:tcW w:w="1780" w:type="pct"/>
            <w:vMerge/>
            <w:shd w:val="clear" w:color="auto" w:fill="auto"/>
          </w:tcPr>
          <w:p w14:paraId="73B46CDF" w14:textId="77777777" w:rsidR="009C3080" w:rsidRPr="006128F6" w:rsidRDefault="009C3080" w:rsidP="009C3080">
            <w:pPr>
              <w:spacing w:line="240" w:lineRule="auto"/>
              <w:rPr>
                <w:szCs w:val="22"/>
              </w:rPr>
            </w:pPr>
          </w:p>
        </w:tc>
        <w:tc>
          <w:tcPr>
            <w:tcW w:w="1797" w:type="pct"/>
            <w:shd w:val="clear" w:color="auto" w:fill="auto"/>
            <w:vAlign w:val="bottom"/>
          </w:tcPr>
          <w:p w14:paraId="6BC1A051" w14:textId="77777777" w:rsidR="009C3080" w:rsidRPr="006128F6" w:rsidRDefault="009C3080" w:rsidP="009C3080">
            <w:pPr>
              <w:spacing w:line="240" w:lineRule="auto"/>
              <w:rPr>
                <w:color w:val="000000"/>
                <w:lang w:eastAsia="en-GB"/>
              </w:rPr>
            </w:pPr>
            <w:r w:rsidRPr="006128F6">
              <w:rPr>
                <w:color w:val="000000"/>
                <w:lang w:eastAsia="en-GB"/>
              </w:rPr>
              <w:t xml:space="preserve">Laryngeal oedema </w:t>
            </w:r>
          </w:p>
        </w:tc>
        <w:tc>
          <w:tcPr>
            <w:tcW w:w="1423" w:type="pct"/>
            <w:shd w:val="clear" w:color="auto" w:fill="auto"/>
          </w:tcPr>
          <w:p w14:paraId="7E30469F" w14:textId="77777777" w:rsidR="009C3080" w:rsidRPr="006128F6" w:rsidRDefault="009C3080" w:rsidP="009C3080">
            <w:pPr>
              <w:spacing w:line="240" w:lineRule="auto"/>
              <w:rPr>
                <w:color w:val="000000"/>
                <w:lang w:eastAsia="en-GB"/>
              </w:rPr>
            </w:pPr>
            <w:r w:rsidRPr="006128F6">
              <w:rPr>
                <w:color w:val="000000"/>
                <w:lang w:eastAsia="en-GB"/>
              </w:rPr>
              <w:t xml:space="preserve">Not known </w:t>
            </w:r>
          </w:p>
        </w:tc>
      </w:tr>
      <w:tr w:rsidR="009C3080" w:rsidRPr="006128F6" w14:paraId="540A68E2" w14:textId="77777777" w:rsidTr="0032436C">
        <w:trPr>
          <w:cantSplit/>
        </w:trPr>
        <w:tc>
          <w:tcPr>
            <w:tcW w:w="1780" w:type="pct"/>
            <w:vMerge/>
            <w:shd w:val="clear" w:color="auto" w:fill="auto"/>
          </w:tcPr>
          <w:p w14:paraId="60C9EEDB" w14:textId="77777777" w:rsidR="009C3080" w:rsidRPr="006128F6" w:rsidRDefault="009C3080" w:rsidP="009C3080">
            <w:pPr>
              <w:spacing w:line="240" w:lineRule="auto"/>
              <w:rPr>
                <w:szCs w:val="22"/>
              </w:rPr>
            </w:pPr>
          </w:p>
        </w:tc>
        <w:tc>
          <w:tcPr>
            <w:tcW w:w="1797" w:type="pct"/>
            <w:shd w:val="clear" w:color="auto" w:fill="auto"/>
            <w:vAlign w:val="bottom"/>
          </w:tcPr>
          <w:p w14:paraId="3DDD279E" w14:textId="77777777" w:rsidR="009C3080" w:rsidRPr="006128F6" w:rsidRDefault="009C3080" w:rsidP="009C3080">
            <w:pPr>
              <w:spacing w:line="240" w:lineRule="auto"/>
              <w:rPr>
                <w:color w:val="000000"/>
                <w:lang w:eastAsia="en-GB"/>
              </w:rPr>
            </w:pPr>
            <w:r w:rsidRPr="006128F6">
              <w:rPr>
                <w:color w:val="000000"/>
                <w:lang w:eastAsia="en-GB"/>
              </w:rPr>
              <w:t xml:space="preserve">Orthopnoea </w:t>
            </w:r>
          </w:p>
        </w:tc>
        <w:tc>
          <w:tcPr>
            <w:tcW w:w="1423" w:type="pct"/>
            <w:shd w:val="clear" w:color="auto" w:fill="auto"/>
          </w:tcPr>
          <w:p w14:paraId="6845ACFE" w14:textId="77777777" w:rsidR="009C3080" w:rsidRPr="006128F6" w:rsidRDefault="009C3080" w:rsidP="009C3080">
            <w:pPr>
              <w:spacing w:line="240" w:lineRule="auto"/>
              <w:rPr>
                <w:color w:val="000000"/>
                <w:lang w:eastAsia="en-GB"/>
              </w:rPr>
            </w:pPr>
            <w:r w:rsidRPr="006128F6">
              <w:rPr>
                <w:color w:val="000000"/>
                <w:lang w:eastAsia="en-GB"/>
              </w:rPr>
              <w:t xml:space="preserve">Not known </w:t>
            </w:r>
          </w:p>
        </w:tc>
      </w:tr>
      <w:tr w:rsidR="009C3080" w:rsidRPr="006128F6" w14:paraId="6B467806" w14:textId="77777777" w:rsidTr="0032436C">
        <w:trPr>
          <w:cantSplit/>
        </w:trPr>
        <w:tc>
          <w:tcPr>
            <w:tcW w:w="1780" w:type="pct"/>
            <w:vMerge/>
            <w:shd w:val="clear" w:color="auto" w:fill="auto"/>
          </w:tcPr>
          <w:p w14:paraId="2E66936C" w14:textId="77777777" w:rsidR="009C3080" w:rsidRPr="006128F6" w:rsidRDefault="009C3080" w:rsidP="009C3080">
            <w:pPr>
              <w:spacing w:line="240" w:lineRule="auto"/>
              <w:rPr>
                <w:szCs w:val="22"/>
              </w:rPr>
            </w:pPr>
          </w:p>
        </w:tc>
        <w:tc>
          <w:tcPr>
            <w:tcW w:w="1797" w:type="pct"/>
            <w:shd w:val="clear" w:color="auto" w:fill="auto"/>
            <w:vAlign w:val="bottom"/>
          </w:tcPr>
          <w:p w14:paraId="30327099" w14:textId="77777777" w:rsidR="009C3080" w:rsidRPr="006128F6" w:rsidRDefault="009C3080" w:rsidP="009C3080">
            <w:pPr>
              <w:spacing w:line="240" w:lineRule="auto"/>
              <w:rPr>
                <w:color w:val="000000"/>
                <w:lang w:eastAsia="en-GB"/>
              </w:rPr>
            </w:pPr>
            <w:r w:rsidRPr="006128F6">
              <w:rPr>
                <w:color w:val="000000"/>
                <w:lang w:eastAsia="en-GB"/>
              </w:rPr>
              <w:t xml:space="preserve">Pulmonary oedema </w:t>
            </w:r>
          </w:p>
        </w:tc>
        <w:tc>
          <w:tcPr>
            <w:tcW w:w="1423" w:type="pct"/>
            <w:shd w:val="clear" w:color="auto" w:fill="auto"/>
          </w:tcPr>
          <w:p w14:paraId="1A1679AC" w14:textId="77777777" w:rsidR="009C3080" w:rsidRPr="006128F6" w:rsidRDefault="009C3080" w:rsidP="009C3080">
            <w:pPr>
              <w:spacing w:line="240" w:lineRule="auto"/>
              <w:rPr>
                <w:color w:val="000000"/>
                <w:lang w:eastAsia="en-GB"/>
              </w:rPr>
            </w:pPr>
            <w:r w:rsidRPr="006128F6">
              <w:rPr>
                <w:color w:val="000000"/>
                <w:lang w:eastAsia="en-GB"/>
              </w:rPr>
              <w:t xml:space="preserve">Not known </w:t>
            </w:r>
          </w:p>
        </w:tc>
      </w:tr>
      <w:tr w:rsidR="009C3080" w:rsidRPr="006128F6" w14:paraId="05861514" w14:textId="77777777" w:rsidTr="0032436C">
        <w:trPr>
          <w:cantSplit/>
        </w:trPr>
        <w:tc>
          <w:tcPr>
            <w:tcW w:w="1780" w:type="pct"/>
            <w:vMerge/>
            <w:shd w:val="clear" w:color="auto" w:fill="auto"/>
          </w:tcPr>
          <w:p w14:paraId="09777565" w14:textId="77777777" w:rsidR="009C3080" w:rsidRPr="006128F6" w:rsidRDefault="009C3080" w:rsidP="009C3080">
            <w:pPr>
              <w:spacing w:line="240" w:lineRule="auto"/>
              <w:rPr>
                <w:szCs w:val="22"/>
              </w:rPr>
            </w:pPr>
          </w:p>
        </w:tc>
        <w:tc>
          <w:tcPr>
            <w:tcW w:w="1797" w:type="pct"/>
            <w:shd w:val="clear" w:color="auto" w:fill="auto"/>
            <w:vAlign w:val="bottom"/>
          </w:tcPr>
          <w:p w14:paraId="46DF56DE" w14:textId="77777777" w:rsidR="009C3080" w:rsidRPr="006128F6" w:rsidRDefault="009C3080" w:rsidP="009C3080">
            <w:pPr>
              <w:spacing w:line="240" w:lineRule="auto"/>
              <w:rPr>
                <w:color w:val="000000"/>
                <w:lang w:eastAsia="en-GB"/>
              </w:rPr>
            </w:pPr>
            <w:r w:rsidRPr="006128F6">
              <w:rPr>
                <w:color w:val="000000"/>
                <w:lang w:eastAsia="en-GB"/>
              </w:rPr>
              <w:t xml:space="preserve">Interstitial lung disease </w:t>
            </w:r>
          </w:p>
        </w:tc>
        <w:tc>
          <w:tcPr>
            <w:tcW w:w="1423" w:type="pct"/>
            <w:shd w:val="clear" w:color="auto" w:fill="auto"/>
          </w:tcPr>
          <w:p w14:paraId="01145ED0" w14:textId="77777777" w:rsidR="009C3080" w:rsidRPr="006128F6" w:rsidRDefault="009C3080" w:rsidP="009C3080">
            <w:pPr>
              <w:spacing w:line="240" w:lineRule="auto"/>
              <w:rPr>
                <w:color w:val="000000"/>
                <w:lang w:eastAsia="en-GB"/>
              </w:rPr>
            </w:pPr>
            <w:r w:rsidRPr="006128F6">
              <w:rPr>
                <w:color w:val="000000"/>
                <w:lang w:eastAsia="en-GB"/>
              </w:rPr>
              <w:t xml:space="preserve">Not known </w:t>
            </w:r>
          </w:p>
        </w:tc>
      </w:tr>
      <w:tr w:rsidR="009C3080" w:rsidRPr="006128F6" w14:paraId="47CD926E" w14:textId="77777777" w:rsidTr="0032436C">
        <w:trPr>
          <w:cantSplit/>
        </w:trPr>
        <w:tc>
          <w:tcPr>
            <w:tcW w:w="1780" w:type="pct"/>
            <w:vMerge w:val="restart"/>
            <w:shd w:val="clear" w:color="auto" w:fill="auto"/>
          </w:tcPr>
          <w:p w14:paraId="03E346A2" w14:textId="77777777" w:rsidR="009C3080" w:rsidRPr="006128F6" w:rsidRDefault="009C3080" w:rsidP="009C3080">
            <w:pPr>
              <w:keepNext/>
              <w:spacing w:line="240" w:lineRule="auto"/>
              <w:rPr>
                <w:szCs w:val="22"/>
              </w:rPr>
            </w:pPr>
            <w:r w:rsidRPr="006128F6">
              <w:rPr>
                <w:szCs w:val="22"/>
              </w:rPr>
              <w:t>Gastrointestinal disorders</w:t>
            </w:r>
          </w:p>
        </w:tc>
        <w:tc>
          <w:tcPr>
            <w:tcW w:w="1797" w:type="pct"/>
            <w:shd w:val="clear" w:color="auto" w:fill="auto"/>
            <w:vAlign w:val="bottom"/>
          </w:tcPr>
          <w:p w14:paraId="411973D3" w14:textId="77777777" w:rsidR="009C3080" w:rsidRPr="006128F6" w:rsidRDefault="009C3080" w:rsidP="009C3080">
            <w:pPr>
              <w:keepNext/>
              <w:spacing w:line="240" w:lineRule="auto"/>
              <w:rPr>
                <w:color w:val="000000"/>
                <w:lang w:eastAsia="en-GB"/>
              </w:rPr>
            </w:pPr>
            <w:r w:rsidRPr="006128F6">
              <w:rPr>
                <w:color w:val="000000"/>
                <w:lang w:eastAsia="en-GB"/>
              </w:rPr>
              <w:t xml:space="preserve">Diarrhoea </w:t>
            </w:r>
          </w:p>
        </w:tc>
        <w:tc>
          <w:tcPr>
            <w:tcW w:w="1423" w:type="pct"/>
            <w:shd w:val="clear" w:color="auto" w:fill="auto"/>
          </w:tcPr>
          <w:p w14:paraId="087D3E59" w14:textId="77777777" w:rsidR="009C3080" w:rsidRPr="006128F6" w:rsidRDefault="009C3080" w:rsidP="009C3080">
            <w:pPr>
              <w:keepNext/>
              <w:spacing w:line="240" w:lineRule="auto"/>
              <w:rPr>
                <w:color w:val="000000"/>
                <w:lang w:eastAsia="en-GB"/>
              </w:rPr>
            </w:pPr>
            <w:r w:rsidRPr="006128F6">
              <w:rPr>
                <w:color w:val="000000"/>
                <w:lang w:eastAsia="en-GB"/>
              </w:rPr>
              <w:t xml:space="preserve">Very common </w:t>
            </w:r>
          </w:p>
        </w:tc>
      </w:tr>
      <w:tr w:rsidR="009C3080" w:rsidRPr="006128F6" w14:paraId="2560719C" w14:textId="77777777" w:rsidTr="0032436C">
        <w:trPr>
          <w:cantSplit/>
        </w:trPr>
        <w:tc>
          <w:tcPr>
            <w:tcW w:w="1780" w:type="pct"/>
            <w:vMerge/>
            <w:shd w:val="clear" w:color="auto" w:fill="auto"/>
          </w:tcPr>
          <w:p w14:paraId="34776558" w14:textId="77777777" w:rsidR="009C3080" w:rsidRPr="006128F6" w:rsidRDefault="009C3080" w:rsidP="009C3080">
            <w:pPr>
              <w:keepNext/>
              <w:spacing w:line="240" w:lineRule="auto"/>
              <w:rPr>
                <w:szCs w:val="22"/>
              </w:rPr>
            </w:pPr>
          </w:p>
        </w:tc>
        <w:tc>
          <w:tcPr>
            <w:tcW w:w="1797" w:type="pct"/>
            <w:shd w:val="clear" w:color="auto" w:fill="auto"/>
            <w:vAlign w:val="bottom"/>
          </w:tcPr>
          <w:p w14:paraId="6377C393" w14:textId="77777777" w:rsidR="009C3080" w:rsidRPr="006128F6" w:rsidRDefault="009C3080" w:rsidP="009C3080">
            <w:pPr>
              <w:keepNext/>
              <w:spacing w:line="240" w:lineRule="auto"/>
              <w:rPr>
                <w:color w:val="000000"/>
                <w:lang w:eastAsia="en-GB"/>
              </w:rPr>
            </w:pPr>
            <w:r w:rsidRPr="006128F6">
              <w:rPr>
                <w:color w:val="000000"/>
                <w:lang w:eastAsia="en-GB"/>
              </w:rPr>
              <w:t xml:space="preserve">Vomiting </w:t>
            </w:r>
          </w:p>
        </w:tc>
        <w:tc>
          <w:tcPr>
            <w:tcW w:w="1423" w:type="pct"/>
            <w:shd w:val="clear" w:color="auto" w:fill="auto"/>
          </w:tcPr>
          <w:p w14:paraId="0496B9BE" w14:textId="77777777" w:rsidR="009C3080" w:rsidRPr="006128F6" w:rsidRDefault="009C3080" w:rsidP="009C3080">
            <w:pPr>
              <w:keepNext/>
              <w:spacing w:line="240" w:lineRule="auto"/>
              <w:rPr>
                <w:color w:val="000000"/>
                <w:lang w:eastAsia="en-GB"/>
              </w:rPr>
            </w:pPr>
            <w:r w:rsidRPr="006128F6">
              <w:rPr>
                <w:color w:val="000000"/>
                <w:lang w:eastAsia="en-GB"/>
              </w:rPr>
              <w:t xml:space="preserve">Very common </w:t>
            </w:r>
          </w:p>
        </w:tc>
      </w:tr>
      <w:tr w:rsidR="009C3080" w:rsidRPr="006128F6" w14:paraId="6C534888" w14:textId="77777777" w:rsidTr="0032436C">
        <w:trPr>
          <w:cantSplit/>
        </w:trPr>
        <w:tc>
          <w:tcPr>
            <w:tcW w:w="1780" w:type="pct"/>
            <w:vMerge/>
            <w:shd w:val="clear" w:color="auto" w:fill="auto"/>
          </w:tcPr>
          <w:p w14:paraId="7FF3415D" w14:textId="77777777" w:rsidR="009C3080" w:rsidRPr="006128F6" w:rsidRDefault="009C3080" w:rsidP="009C3080">
            <w:pPr>
              <w:keepNext/>
              <w:spacing w:line="240" w:lineRule="auto"/>
              <w:rPr>
                <w:szCs w:val="22"/>
              </w:rPr>
            </w:pPr>
          </w:p>
        </w:tc>
        <w:tc>
          <w:tcPr>
            <w:tcW w:w="1797" w:type="pct"/>
            <w:shd w:val="clear" w:color="auto" w:fill="auto"/>
            <w:vAlign w:val="bottom"/>
          </w:tcPr>
          <w:p w14:paraId="321F88DE" w14:textId="77777777" w:rsidR="009C3080" w:rsidRPr="006128F6" w:rsidRDefault="009C3080" w:rsidP="009C3080">
            <w:pPr>
              <w:keepNext/>
              <w:spacing w:line="240" w:lineRule="auto"/>
              <w:rPr>
                <w:color w:val="000000"/>
                <w:lang w:eastAsia="en-GB"/>
              </w:rPr>
            </w:pPr>
            <w:r w:rsidRPr="006128F6">
              <w:rPr>
                <w:color w:val="000000"/>
                <w:lang w:eastAsia="en-GB"/>
              </w:rPr>
              <w:t xml:space="preserve">Nausea </w:t>
            </w:r>
          </w:p>
        </w:tc>
        <w:tc>
          <w:tcPr>
            <w:tcW w:w="1423" w:type="pct"/>
            <w:shd w:val="clear" w:color="auto" w:fill="auto"/>
          </w:tcPr>
          <w:p w14:paraId="7ED27EB1" w14:textId="77777777" w:rsidR="009C3080" w:rsidRPr="006128F6" w:rsidRDefault="009C3080" w:rsidP="009C3080">
            <w:pPr>
              <w:keepNext/>
              <w:spacing w:line="240" w:lineRule="auto"/>
              <w:rPr>
                <w:color w:val="000000"/>
                <w:lang w:eastAsia="en-GB"/>
              </w:rPr>
            </w:pPr>
            <w:r w:rsidRPr="006128F6">
              <w:rPr>
                <w:color w:val="000000"/>
                <w:lang w:eastAsia="en-GB"/>
              </w:rPr>
              <w:t xml:space="preserve">Very common </w:t>
            </w:r>
          </w:p>
        </w:tc>
      </w:tr>
      <w:tr w:rsidR="009C3080" w:rsidRPr="006128F6" w14:paraId="12501EC2" w14:textId="77777777" w:rsidTr="0032436C">
        <w:trPr>
          <w:cantSplit/>
        </w:trPr>
        <w:tc>
          <w:tcPr>
            <w:tcW w:w="1780" w:type="pct"/>
            <w:vMerge/>
            <w:shd w:val="clear" w:color="auto" w:fill="auto"/>
          </w:tcPr>
          <w:p w14:paraId="5212698A" w14:textId="77777777" w:rsidR="009C3080" w:rsidRPr="006128F6" w:rsidRDefault="009C3080" w:rsidP="009C3080">
            <w:pPr>
              <w:keepNext/>
              <w:spacing w:line="240" w:lineRule="auto"/>
              <w:rPr>
                <w:szCs w:val="22"/>
              </w:rPr>
            </w:pPr>
          </w:p>
        </w:tc>
        <w:tc>
          <w:tcPr>
            <w:tcW w:w="1797" w:type="pct"/>
            <w:shd w:val="clear" w:color="auto" w:fill="auto"/>
            <w:vAlign w:val="bottom"/>
          </w:tcPr>
          <w:p w14:paraId="2767AEC6" w14:textId="77777777" w:rsidR="009C3080" w:rsidRPr="006128F6" w:rsidRDefault="009C3080" w:rsidP="009C3080">
            <w:pPr>
              <w:keepNext/>
              <w:spacing w:line="240" w:lineRule="auto"/>
              <w:rPr>
                <w:color w:val="000000"/>
                <w:lang w:eastAsia="en-GB"/>
              </w:rPr>
            </w:pPr>
            <w:r w:rsidRPr="006128F6">
              <w:rPr>
                <w:color w:val="000000"/>
                <w:vertAlign w:val="superscript"/>
                <w:lang w:eastAsia="en-GB"/>
              </w:rPr>
              <w:t>1</w:t>
            </w:r>
            <w:r w:rsidRPr="006128F6">
              <w:rPr>
                <w:color w:val="000000"/>
                <w:lang w:eastAsia="en-GB"/>
              </w:rPr>
              <w:t xml:space="preserve">Lip swelling </w:t>
            </w:r>
          </w:p>
        </w:tc>
        <w:tc>
          <w:tcPr>
            <w:tcW w:w="1423" w:type="pct"/>
            <w:shd w:val="clear" w:color="auto" w:fill="auto"/>
          </w:tcPr>
          <w:p w14:paraId="4FA89B06" w14:textId="77777777" w:rsidR="009C3080" w:rsidRPr="006128F6" w:rsidRDefault="009C3080" w:rsidP="009C3080">
            <w:pPr>
              <w:keepNext/>
              <w:spacing w:line="240" w:lineRule="auto"/>
              <w:rPr>
                <w:color w:val="000000"/>
                <w:lang w:eastAsia="en-GB"/>
              </w:rPr>
            </w:pPr>
            <w:r w:rsidRPr="006128F6">
              <w:rPr>
                <w:color w:val="000000"/>
                <w:lang w:eastAsia="en-GB"/>
              </w:rPr>
              <w:t xml:space="preserve">Very common </w:t>
            </w:r>
          </w:p>
        </w:tc>
      </w:tr>
      <w:tr w:rsidR="009C3080" w:rsidRPr="006128F6" w14:paraId="14CC4046" w14:textId="77777777" w:rsidTr="0032436C">
        <w:trPr>
          <w:cantSplit/>
        </w:trPr>
        <w:tc>
          <w:tcPr>
            <w:tcW w:w="1780" w:type="pct"/>
            <w:vMerge/>
            <w:shd w:val="clear" w:color="auto" w:fill="auto"/>
          </w:tcPr>
          <w:p w14:paraId="26B8A955" w14:textId="77777777" w:rsidR="009C3080" w:rsidRPr="006128F6" w:rsidRDefault="009C3080" w:rsidP="009C3080">
            <w:pPr>
              <w:keepNext/>
              <w:spacing w:line="240" w:lineRule="auto"/>
              <w:rPr>
                <w:szCs w:val="22"/>
              </w:rPr>
            </w:pPr>
          </w:p>
        </w:tc>
        <w:tc>
          <w:tcPr>
            <w:tcW w:w="1797" w:type="pct"/>
            <w:shd w:val="clear" w:color="auto" w:fill="auto"/>
            <w:vAlign w:val="bottom"/>
          </w:tcPr>
          <w:p w14:paraId="1544E5D8" w14:textId="77777777" w:rsidR="009C3080" w:rsidRPr="006128F6" w:rsidRDefault="009C3080" w:rsidP="009C3080">
            <w:pPr>
              <w:keepNext/>
              <w:spacing w:line="240" w:lineRule="auto"/>
              <w:rPr>
                <w:color w:val="000000"/>
                <w:lang w:eastAsia="en-GB"/>
              </w:rPr>
            </w:pPr>
            <w:r w:rsidRPr="006128F6">
              <w:rPr>
                <w:color w:val="000000"/>
                <w:lang w:eastAsia="en-GB"/>
              </w:rPr>
              <w:t xml:space="preserve">Abdominal pain </w:t>
            </w:r>
          </w:p>
        </w:tc>
        <w:tc>
          <w:tcPr>
            <w:tcW w:w="1423" w:type="pct"/>
            <w:shd w:val="clear" w:color="auto" w:fill="auto"/>
          </w:tcPr>
          <w:p w14:paraId="0F323948" w14:textId="77777777" w:rsidR="009C3080" w:rsidRPr="006128F6" w:rsidRDefault="009C3080" w:rsidP="009C3080">
            <w:pPr>
              <w:keepNext/>
              <w:spacing w:line="240" w:lineRule="auto"/>
              <w:rPr>
                <w:color w:val="000000"/>
                <w:lang w:eastAsia="en-GB"/>
              </w:rPr>
            </w:pPr>
            <w:r w:rsidRPr="006128F6">
              <w:rPr>
                <w:color w:val="000000"/>
                <w:lang w:eastAsia="en-GB"/>
              </w:rPr>
              <w:t xml:space="preserve">Very common </w:t>
            </w:r>
          </w:p>
        </w:tc>
      </w:tr>
      <w:tr w:rsidR="009C3080" w:rsidRPr="006128F6" w14:paraId="4F04CFFC" w14:textId="77777777" w:rsidTr="0032436C">
        <w:trPr>
          <w:cantSplit/>
        </w:trPr>
        <w:tc>
          <w:tcPr>
            <w:tcW w:w="1780" w:type="pct"/>
            <w:vMerge/>
            <w:shd w:val="clear" w:color="auto" w:fill="auto"/>
          </w:tcPr>
          <w:p w14:paraId="7ACA6AFC" w14:textId="77777777" w:rsidR="009C3080" w:rsidRPr="006128F6" w:rsidRDefault="009C3080" w:rsidP="009C3080">
            <w:pPr>
              <w:keepNext/>
              <w:spacing w:line="240" w:lineRule="auto"/>
              <w:rPr>
                <w:szCs w:val="22"/>
              </w:rPr>
            </w:pPr>
          </w:p>
        </w:tc>
        <w:tc>
          <w:tcPr>
            <w:tcW w:w="1797" w:type="pct"/>
            <w:shd w:val="clear" w:color="auto" w:fill="auto"/>
            <w:vAlign w:val="bottom"/>
          </w:tcPr>
          <w:p w14:paraId="4277302C" w14:textId="77777777" w:rsidR="009C3080" w:rsidRPr="006128F6" w:rsidRDefault="009C3080" w:rsidP="009C3080">
            <w:pPr>
              <w:keepNext/>
              <w:spacing w:line="240" w:lineRule="auto"/>
              <w:rPr>
                <w:color w:val="000000"/>
                <w:lang w:eastAsia="en-GB"/>
              </w:rPr>
            </w:pPr>
            <w:r w:rsidRPr="006128F6">
              <w:rPr>
                <w:color w:val="000000"/>
                <w:lang w:eastAsia="en-GB"/>
              </w:rPr>
              <w:t xml:space="preserve">Dyspepsia </w:t>
            </w:r>
          </w:p>
        </w:tc>
        <w:tc>
          <w:tcPr>
            <w:tcW w:w="1423" w:type="pct"/>
            <w:shd w:val="clear" w:color="auto" w:fill="auto"/>
          </w:tcPr>
          <w:p w14:paraId="717FCDBD" w14:textId="77777777" w:rsidR="009C3080" w:rsidRPr="006128F6" w:rsidRDefault="009C3080" w:rsidP="009C3080">
            <w:pPr>
              <w:keepNext/>
              <w:spacing w:line="240" w:lineRule="auto"/>
              <w:rPr>
                <w:color w:val="000000"/>
                <w:lang w:eastAsia="en-GB"/>
              </w:rPr>
            </w:pPr>
            <w:r w:rsidRPr="006128F6">
              <w:rPr>
                <w:color w:val="000000"/>
                <w:lang w:eastAsia="en-GB"/>
              </w:rPr>
              <w:t xml:space="preserve">Very common </w:t>
            </w:r>
          </w:p>
        </w:tc>
      </w:tr>
      <w:tr w:rsidR="009C3080" w:rsidRPr="006128F6" w14:paraId="268B8ED3" w14:textId="77777777" w:rsidTr="0032436C">
        <w:trPr>
          <w:cantSplit/>
        </w:trPr>
        <w:tc>
          <w:tcPr>
            <w:tcW w:w="1780" w:type="pct"/>
            <w:vMerge/>
            <w:shd w:val="clear" w:color="auto" w:fill="auto"/>
          </w:tcPr>
          <w:p w14:paraId="06ABC7FF" w14:textId="77777777" w:rsidR="009C3080" w:rsidRPr="006128F6" w:rsidRDefault="009C3080" w:rsidP="009C3080">
            <w:pPr>
              <w:keepNext/>
              <w:spacing w:line="240" w:lineRule="auto"/>
              <w:rPr>
                <w:szCs w:val="22"/>
              </w:rPr>
            </w:pPr>
          </w:p>
        </w:tc>
        <w:tc>
          <w:tcPr>
            <w:tcW w:w="1797" w:type="pct"/>
            <w:shd w:val="clear" w:color="auto" w:fill="auto"/>
            <w:vAlign w:val="bottom"/>
          </w:tcPr>
          <w:p w14:paraId="07244620" w14:textId="77777777" w:rsidR="009C3080" w:rsidRPr="006128F6" w:rsidRDefault="009C3080" w:rsidP="009C3080">
            <w:pPr>
              <w:keepNext/>
              <w:spacing w:line="240" w:lineRule="auto"/>
              <w:rPr>
                <w:color w:val="000000"/>
                <w:lang w:eastAsia="en-GB"/>
              </w:rPr>
            </w:pPr>
            <w:r w:rsidRPr="006128F6">
              <w:rPr>
                <w:color w:val="000000"/>
                <w:lang w:eastAsia="en-GB"/>
              </w:rPr>
              <w:t xml:space="preserve">Constipation </w:t>
            </w:r>
          </w:p>
        </w:tc>
        <w:tc>
          <w:tcPr>
            <w:tcW w:w="1423" w:type="pct"/>
            <w:shd w:val="clear" w:color="auto" w:fill="auto"/>
          </w:tcPr>
          <w:p w14:paraId="15A2EDDA" w14:textId="77777777" w:rsidR="009C3080" w:rsidRPr="006128F6" w:rsidRDefault="009C3080" w:rsidP="009C3080">
            <w:pPr>
              <w:keepNext/>
              <w:spacing w:line="240" w:lineRule="auto"/>
              <w:rPr>
                <w:color w:val="000000"/>
                <w:lang w:eastAsia="en-GB"/>
              </w:rPr>
            </w:pPr>
            <w:r w:rsidRPr="006128F6">
              <w:rPr>
                <w:color w:val="000000"/>
                <w:lang w:eastAsia="en-GB"/>
              </w:rPr>
              <w:t xml:space="preserve">Very common </w:t>
            </w:r>
          </w:p>
        </w:tc>
      </w:tr>
      <w:tr w:rsidR="009C3080" w:rsidRPr="006128F6" w14:paraId="20FB2B24" w14:textId="77777777" w:rsidTr="0032436C">
        <w:trPr>
          <w:cantSplit/>
        </w:trPr>
        <w:tc>
          <w:tcPr>
            <w:tcW w:w="1780" w:type="pct"/>
            <w:vMerge/>
            <w:shd w:val="clear" w:color="auto" w:fill="auto"/>
          </w:tcPr>
          <w:p w14:paraId="52F30B32" w14:textId="77777777" w:rsidR="009C3080" w:rsidRPr="006128F6" w:rsidRDefault="009C3080" w:rsidP="009C3080">
            <w:pPr>
              <w:spacing w:line="240" w:lineRule="auto"/>
              <w:rPr>
                <w:szCs w:val="22"/>
              </w:rPr>
            </w:pPr>
          </w:p>
        </w:tc>
        <w:tc>
          <w:tcPr>
            <w:tcW w:w="1797" w:type="pct"/>
            <w:shd w:val="clear" w:color="auto" w:fill="auto"/>
            <w:vAlign w:val="bottom"/>
          </w:tcPr>
          <w:p w14:paraId="51014F23" w14:textId="77777777" w:rsidR="009C3080" w:rsidRPr="006128F6" w:rsidRDefault="009C3080" w:rsidP="009C3080">
            <w:pPr>
              <w:spacing w:line="240" w:lineRule="auto"/>
              <w:rPr>
                <w:color w:val="000000"/>
                <w:lang w:eastAsia="en-GB"/>
              </w:rPr>
            </w:pPr>
            <w:r w:rsidRPr="006128F6">
              <w:rPr>
                <w:color w:val="000000"/>
                <w:lang w:eastAsia="en-GB"/>
              </w:rPr>
              <w:t xml:space="preserve">Stomatitis </w:t>
            </w:r>
          </w:p>
        </w:tc>
        <w:tc>
          <w:tcPr>
            <w:tcW w:w="1423" w:type="pct"/>
            <w:shd w:val="clear" w:color="auto" w:fill="auto"/>
          </w:tcPr>
          <w:p w14:paraId="3A45C09D" w14:textId="77777777" w:rsidR="009C3080" w:rsidRPr="006128F6" w:rsidRDefault="009C3080" w:rsidP="009C3080">
            <w:pPr>
              <w:spacing w:line="240" w:lineRule="auto"/>
              <w:rPr>
                <w:color w:val="000000"/>
                <w:lang w:eastAsia="en-GB"/>
              </w:rPr>
            </w:pPr>
            <w:r w:rsidRPr="006128F6">
              <w:rPr>
                <w:color w:val="000000"/>
                <w:lang w:eastAsia="en-GB"/>
              </w:rPr>
              <w:t xml:space="preserve">Very common </w:t>
            </w:r>
          </w:p>
        </w:tc>
      </w:tr>
      <w:tr w:rsidR="009C3080" w:rsidRPr="006128F6" w14:paraId="2FA78720" w14:textId="77777777" w:rsidTr="0032436C">
        <w:trPr>
          <w:cantSplit/>
        </w:trPr>
        <w:tc>
          <w:tcPr>
            <w:tcW w:w="1780" w:type="pct"/>
            <w:vMerge/>
            <w:shd w:val="clear" w:color="auto" w:fill="auto"/>
          </w:tcPr>
          <w:p w14:paraId="5EB2D154" w14:textId="77777777" w:rsidR="009C3080" w:rsidRPr="006128F6" w:rsidRDefault="009C3080" w:rsidP="009C3080">
            <w:pPr>
              <w:spacing w:line="240" w:lineRule="auto"/>
              <w:rPr>
                <w:szCs w:val="22"/>
              </w:rPr>
            </w:pPr>
          </w:p>
        </w:tc>
        <w:tc>
          <w:tcPr>
            <w:tcW w:w="1797" w:type="pct"/>
            <w:shd w:val="clear" w:color="auto" w:fill="auto"/>
            <w:vAlign w:val="bottom"/>
          </w:tcPr>
          <w:p w14:paraId="0D1567C6" w14:textId="77B4F0A6" w:rsidR="009C3080" w:rsidRPr="006128F6" w:rsidRDefault="009C3080" w:rsidP="009C3080">
            <w:pPr>
              <w:spacing w:line="240" w:lineRule="auto"/>
              <w:rPr>
                <w:color w:val="000000"/>
                <w:lang w:eastAsia="en-GB"/>
              </w:rPr>
            </w:pPr>
            <w:r w:rsidRPr="006128F6">
              <w:rPr>
                <w:color w:val="000000"/>
                <w:lang w:eastAsia="en-GB"/>
              </w:rPr>
              <w:t>Haemorrhoids</w:t>
            </w:r>
            <w:r w:rsidRPr="006128F6" w:rsidDel="0010638E">
              <w:rPr>
                <w:color w:val="000000"/>
                <w:lang w:eastAsia="en-GB"/>
              </w:rPr>
              <w:t xml:space="preserve"> </w:t>
            </w:r>
          </w:p>
        </w:tc>
        <w:tc>
          <w:tcPr>
            <w:tcW w:w="1423" w:type="pct"/>
            <w:shd w:val="clear" w:color="auto" w:fill="auto"/>
          </w:tcPr>
          <w:p w14:paraId="093ACBC2" w14:textId="73810E08" w:rsidR="009C3080" w:rsidRPr="006128F6" w:rsidRDefault="009C3080" w:rsidP="009C3080">
            <w:pPr>
              <w:spacing w:line="240" w:lineRule="auto"/>
              <w:rPr>
                <w:color w:val="000000"/>
                <w:lang w:eastAsia="en-GB"/>
              </w:rPr>
            </w:pPr>
            <w:r w:rsidRPr="006128F6">
              <w:rPr>
                <w:color w:val="000000"/>
                <w:lang w:eastAsia="en-GB"/>
              </w:rPr>
              <w:t xml:space="preserve">Common </w:t>
            </w:r>
          </w:p>
        </w:tc>
      </w:tr>
      <w:tr w:rsidR="009C3080" w:rsidRPr="006128F6" w14:paraId="274E6B9B" w14:textId="77777777" w:rsidTr="00081416">
        <w:trPr>
          <w:cantSplit/>
        </w:trPr>
        <w:tc>
          <w:tcPr>
            <w:tcW w:w="1780" w:type="pct"/>
            <w:vMerge/>
            <w:tcBorders>
              <w:bottom w:val="single" w:sz="4" w:space="0" w:color="auto"/>
            </w:tcBorders>
            <w:shd w:val="clear" w:color="auto" w:fill="auto"/>
          </w:tcPr>
          <w:p w14:paraId="48F7B290" w14:textId="77777777" w:rsidR="009C3080" w:rsidRPr="006128F6" w:rsidRDefault="009C3080" w:rsidP="009C3080">
            <w:pPr>
              <w:spacing w:line="240" w:lineRule="auto"/>
              <w:rPr>
                <w:szCs w:val="22"/>
              </w:rPr>
            </w:pPr>
          </w:p>
        </w:tc>
        <w:tc>
          <w:tcPr>
            <w:tcW w:w="1797" w:type="pct"/>
            <w:shd w:val="clear" w:color="auto" w:fill="auto"/>
            <w:vAlign w:val="bottom"/>
          </w:tcPr>
          <w:p w14:paraId="618A1348" w14:textId="240B010E" w:rsidR="009C3080" w:rsidRPr="006128F6" w:rsidRDefault="009C3080" w:rsidP="009C3080">
            <w:pPr>
              <w:spacing w:line="240" w:lineRule="auto"/>
              <w:rPr>
                <w:color w:val="000000"/>
                <w:lang w:eastAsia="en-GB"/>
              </w:rPr>
            </w:pPr>
            <w:r w:rsidRPr="006128F6">
              <w:rPr>
                <w:color w:val="000000"/>
                <w:lang w:eastAsia="en-GB"/>
              </w:rPr>
              <w:t xml:space="preserve">Dry mouth </w:t>
            </w:r>
          </w:p>
        </w:tc>
        <w:tc>
          <w:tcPr>
            <w:tcW w:w="1423" w:type="pct"/>
            <w:shd w:val="clear" w:color="auto" w:fill="auto"/>
          </w:tcPr>
          <w:p w14:paraId="09128A40" w14:textId="55343BEB" w:rsidR="009C3080" w:rsidRPr="006128F6" w:rsidRDefault="009C3080" w:rsidP="009C3080">
            <w:pPr>
              <w:spacing w:line="240" w:lineRule="auto"/>
              <w:rPr>
                <w:color w:val="000000"/>
                <w:lang w:eastAsia="en-GB"/>
              </w:rPr>
            </w:pPr>
            <w:r w:rsidRPr="006128F6">
              <w:rPr>
                <w:color w:val="000000"/>
                <w:lang w:eastAsia="en-GB"/>
              </w:rPr>
              <w:t xml:space="preserve">Common </w:t>
            </w:r>
          </w:p>
        </w:tc>
      </w:tr>
      <w:tr w:rsidR="00BE2D90" w:rsidRPr="006128F6" w14:paraId="37529E6F" w14:textId="77777777" w:rsidTr="001059FC">
        <w:trPr>
          <w:cantSplit/>
        </w:trPr>
        <w:tc>
          <w:tcPr>
            <w:tcW w:w="1780" w:type="pct"/>
            <w:vMerge w:val="restart"/>
            <w:tcBorders>
              <w:top w:val="single" w:sz="4" w:space="0" w:color="auto"/>
              <w:left w:val="single" w:sz="4" w:space="0" w:color="auto"/>
              <w:right w:val="single" w:sz="4" w:space="0" w:color="auto"/>
            </w:tcBorders>
            <w:shd w:val="clear" w:color="auto" w:fill="auto"/>
          </w:tcPr>
          <w:p w14:paraId="3B3D499B" w14:textId="77777777" w:rsidR="00BE2D90" w:rsidRPr="006128F6" w:rsidRDefault="00BE2D90" w:rsidP="009C3080">
            <w:pPr>
              <w:spacing w:line="240" w:lineRule="auto"/>
              <w:rPr>
                <w:szCs w:val="22"/>
              </w:rPr>
            </w:pPr>
            <w:r w:rsidRPr="006128F6">
              <w:rPr>
                <w:szCs w:val="22"/>
              </w:rPr>
              <w:t>Hepatobiliary disorders</w:t>
            </w:r>
          </w:p>
        </w:tc>
        <w:tc>
          <w:tcPr>
            <w:tcW w:w="1797" w:type="pct"/>
            <w:tcBorders>
              <w:left w:val="single" w:sz="4" w:space="0" w:color="auto"/>
            </w:tcBorders>
            <w:shd w:val="clear" w:color="auto" w:fill="auto"/>
            <w:vAlign w:val="bottom"/>
          </w:tcPr>
          <w:p w14:paraId="393D8418" w14:textId="77777777" w:rsidR="00BE2D90" w:rsidRPr="006128F6" w:rsidRDefault="00BE2D90" w:rsidP="009C3080">
            <w:pPr>
              <w:spacing w:line="240" w:lineRule="auto"/>
              <w:rPr>
                <w:color w:val="000000"/>
                <w:lang w:eastAsia="en-GB"/>
              </w:rPr>
            </w:pPr>
            <w:r w:rsidRPr="006128F6">
              <w:rPr>
                <w:color w:val="000000"/>
                <w:lang w:eastAsia="en-GB"/>
              </w:rPr>
              <w:t xml:space="preserve">Hepatocellular injury </w:t>
            </w:r>
          </w:p>
        </w:tc>
        <w:tc>
          <w:tcPr>
            <w:tcW w:w="1423" w:type="pct"/>
            <w:shd w:val="clear" w:color="auto" w:fill="auto"/>
          </w:tcPr>
          <w:p w14:paraId="08015CD2" w14:textId="77777777" w:rsidR="00BE2D90" w:rsidRPr="006128F6" w:rsidRDefault="00BE2D90" w:rsidP="009C3080">
            <w:pPr>
              <w:spacing w:line="240" w:lineRule="auto"/>
              <w:rPr>
                <w:color w:val="000000"/>
                <w:lang w:eastAsia="en-GB"/>
              </w:rPr>
            </w:pPr>
            <w:r w:rsidRPr="006128F6">
              <w:rPr>
                <w:color w:val="000000"/>
                <w:lang w:eastAsia="en-GB"/>
              </w:rPr>
              <w:t xml:space="preserve">Common </w:t>
            </w:r>
          </w:p>
        </w:tc>
      </w:tr>
      <w:tr w:rsidR="00BE2D90" w:rsidRPr="006128F6" w14:paraId="0E42B14C" w14:textId="77777777" w:rsidTr="001059FC">
        <w:trPr>
          <w:cantSplit/>
        </w:trPr>
        <w:tc>
          <w:tcPr>
            <w:tcW w:w="1780" w:type="pct"/>
            <w:vMerge/>
            <w:tcBorders>
              <w:left w:val="single" w:sz="4" w:space="0" w:color="auto"/>
              <w:right w:val="single" w:sz="4" w:space="0" w:color="auto"/>
            </w:tcBorders>
            <w:shd w:val="clear" w:color="auto" w:fill="auto"/>
          </w:tcPr>
          <w:p w14:paraId="7794E05D" w14:textId="77777777" w:rsidR="00BE2D90" w:rsidRPr="006128F6" w:rsidRDefault="00BE2D90" w:rsidP="009C3080">
            <w:pPr>
              <w:spacing w:line="240" w:lineRule="auto"/>
              <w:rPr>
                <w:szCs w:val="22"/>
              </w:rPr>
            </w:pPr>
          </w:p>
        </w:tc>
        <w:tc>
          <w:tcPr>
            <w:tcW w:w="1797" w:type="pct"/>
            <w:tcBorders>
              <w:left w:val="single" w:sz="4" w:space="0" w:color="auto"/>
            </w:tcBorders>
            <w:shd w:val="clear" w:color="auto" w:fill="auto"/>
            <w:vAlign w:val="bottom"/>
          </w:tcPr>
          <w:p w14:paraId="25703A09" w14:textId="77777777" w:rsidR="00BE2D90" w:rsidRPr="006128F6" w:rsidRDefault="00BE2D90" w:rsidP="009C3080">
            <w:pPr>
              <w:spacing w:line="240" w:lineRule="auto"/>
              <w:rPr>
                <w:color w:val="000000"/>
                <w:lang w:eastAsia="en-GB"/>
              </w:rPr>
            </w:pPr>
            <w:r w:rsidRPr="006128F6">
              <w:rPr>
                <w:color w:val="000000"/>
                <w:lang w:eastAsia="en-GB"/>
              </w:rPr>
              <w:t xml:space="preserve">Hepatitis </w:t>
            </w:r>
          </w:p>
        </w:tc>
        <w:tc>
          <w:tcPr>
            <w:tcW w:w="1423" w:type="pct"/>
            <w:shd w:val="clear" w:color="auto" w:fill="auto"/>
          </w:tcPr>
          <w:p w14:paraId="5D6F349F" w14:textId="77777777" w:rsidR="00BE2D90" w:rsidRPr="006128F6" w:rsidRDefault="00BE2D90" w:rsidP="009C3080">
            <w:pPr>
              <w:spacing w:line="240" w:lineRule="auto"/>
              <w:rPr>
                <w:color w:val="000000"/>
                <w:lang w:eastAsia="en-GB"/>
              </w:rPr>
            </w:pPr>
            <w:r w:rsidRPr="006128F6">
              <w:rPr>
                <w:color w:val="000000"/>
                <w:lang w:eastAsia="en-GB"/>
              </w:rPr>
              <w:t xml:space="preserve">Common </w:t>
            </w:r>
          </w:p>
        </w:tc>
      </w:tr>
      <w:tr w:rsidR="00BE2D90" w:rsidRPr="006128F6" w14:paraId="71460082" w14:textId="77777777" w:rsidTr="001059FC">
        <w:trPr>
          <w:cantSplit/>
        </w:trPr>
        <w:tc>
          <w:tcPr>
            <w:tcW w:w="1780" w:type="pct"/>
            <w:vMerge/>
            <w:tcBorders>
              <w:left w:val="single" w:sz="4" w:space="0" w:color="auto"/>
              <w:right w:val="single" w:sz="4" w:space="0" w:color="auto"/>
            </w:tcBorders>
            <w:shd w:val="clear" w:color="auto" w:fill="auto"/>
          </w:tcPr>
          <w:p w14:paraId="2F987BEA" w14:textId="77777777" w:rsidR="00BE2D90" w:rsidRPr="006128F6" w:rsidRDefault="00BE2D90" w:rsidP="009C3080">
            <w:pPr>
              <w:spacing w:line="240" w:lineRule="auto"/>
              <w:rPr>
                <w:szCs w:val="22"/>
              </w:rPr>
            </w:pPr>
          </w:p>
        </w:tc>
        <w:tc>
          <w:tcPr>
            <w:tcW w:w="1797" w:type="pct"/>
            <w:tcBorders>
              <w:left w:val="single" w:sz="4" w:space="0" w:color="auto"/>
            </w:tcBorders>
            <w:shd w:val="clear" w:color="auto" w:fill="auto"/>
            <w:vAlign w:val="bottom"/>
          </w:tcPr>
          <w:p w14:paraId="07D6888B" w14:textId="77777777" w:rsidR="00BE2D90" w:rsidRPr="006128F6" w:rsidRDefault="00BE2D90" w:rsidP="009C3080">
            <w:pPr>
              <w:spacing w:line="240" w:lineRule="auto"/>
              <w:rPr>
                <w:color w:val="000000"/>
                <w:lang w:eastAsia="en-GB"/>
              </w:rPr>
            </w:pPr>
            <w:r w:rsidRPr="006128F6">
              <w:rPr>
                <w:color w:val="000000"/>
                <w:lang w:eastAsia="en-GB"/>
              </w:rPr>
              <w:t xml:space="preserve">Liver tenderness </w:t>
            </w:r>
          </w:p>
        </w:tc>
        <w:tc>
          <w:tcPr>
            <w:tcW w:w="1423" w:type="pct"/>
            <w:shd w:val="clear" w:color="auto" w:fill="auto"/>
          </w:tcPr>
          <w:p w14:paraId="4C40E961" w14:textId="77777777" w:rsidR="00BE2D90" w:rsidRPr="006128F6" w:rsidRDefault="00BE2D90" w:rsidP="009C3080">
            <w:pPr>
              <w:spacing w:line="240" w:lineRule="auto"/>
              <w:rPr>
                <w:color w:val="000000"/>
                <w:lang w:eastAsia="en-GB"/>
              </w:rPr>
            </w:pPr>
            <w:r w:rsidRPr="006128F6">
              <w:rPr>
                <w:color w:val="000000"/>
                <w:lang w:eastAsia="en-GB"/>
              </w:rPr>
              <w:t xml:space="preserve">Common </w:t>
            </w:r>
          </w:p>
        </w:tc>
      </w:tr>
      <w:tr w:rsidR="00BE2D90" w:rsidRPr="006128F6" w14:paraId="051264A7" w14:textId="77777777" w:rsidTr="001059FC">
        <w:trPr>
          <w:cantSplit/>
        </w:trPr>
        <w:tc>
          <w:tcPr>
            <w:tcW w:w="1780" w:type="pct"/>
            <w:vMerge/>
            <w:tcBorders>
              <w:left w:val="single" w:sz="4" w:space="0" w:color="auto"/>
              <w:bottom w:val="nil"/>
              <w:right w:val="single" w:sz="4" w:space="0" w:color="auto"/>
            </w:tcBorders>
            <w:shd w:val="clear" w:color="auto" w:fill="auto"/>
          </w:tcPr>
          <w:p w14:paraId="258E6600" w14:textId="77777777" w:rsidR="00BE2D90" w:rsidRPr="006128F6" w:rsidRDefault="00BE2D90" w:rsidP="009C3080">
            <w:pPr>
              <w:spacing w:line="240" w:lineRule="auto"/>
              <w:rPr>
                <w:szCs w:val="22"/>
              </w:rPr>
            </w:pPr>
          </w:p>
        </w:tc>
        <w:tc>
          <w:tcPr>
            <w:tcW w:w="1797" w:type="pct"/>
            <w:tcBorders>
              <w:left w:val="single" w:sz="4" w:space="0" w:color="auto"/>
            </w:tcBorders>
            <w:shd w:val="clear" w:color="auto" w:fill="auto"/>
            <w:vAlign w:val="bottom"/>
          </w:tcPr>
          <w:p w14:paraId="62EBE1B1" w14:textId="77777777" w:rsidR="00BE2D90" w:rsidRPr="006128F6" w:rsidRDefault="00BE2D90" w:rsidP="009C3080">
            <w:pPr>
              <w:spacing w:line="240" w:lineRule="auto"/>
              <w:rPr>
                <w:color w:val="000000"/>
                <w:lang w:eastAsia="en-GB"/>
              </w:rPr>
            </w:pPr>
            <w:r w:rsidRPr="006128F6">
              <w:rPr>
                <w:color w:val="000000"/>
                <w:lang w:eastAsia="en-GB"/>
              </w:rPr>
              <w:t xml:space="preserve">Jaundice </w:t>
            </w:r>
          </w:p>
        </w:tc>
        <w:tc>
          <w:tcPr>
            <w:tcW w:w="1423" w:type="pct"/>
            <w:shd w:val="clear" w:color="auto" w:fill="auto"/>
          </w:tcPr>
          <w:p w14:paraId="0E3E3F63" w14:textId="77777777" w:rsidR="00BE2D90" w:rsidRPr="006128F6" w:rsidRDefault="00BE2D90" w:rsidP="009C3080">
            <w:pPr>
              <w:spacing w:line="240" w:lineRule="auto"/>
              <w:rPr>
                <w:color w:val="000000"/>
                <w:lang w:eastAsia="en-GB"/>
              </w:rPr>
            </w:pPr>
            <w:r w:rsidRPr="006128F6">
              <w:rPr>
                <w:color w:val="000000"/>
                <w:lang w:eastAsia="en-GB"/>
              </w:rPr>
              <w:t xml:space="preserve">Rare </w:t>
            </w:r>
          </w:p>
        </w:tc>
      </w:tr>
      <w:tr w:rsidR="009C3080" w:rsidRPr="006128F6" w14:paraId="26ABF485" w14:textId="77777777" w:rsidTr="00081416">
        <w:trPr>
          <w:cantSplit/>
        </w:trPr>
        <w:tc>
          <w:tcPr>
            <w:tcW w:w="1780" w:type="pct"/>
            <w:vMerge w:val="restart"/>
            <w:tcBorders>
              <w:top w:val="single" w:sz="4" w:space="0" w:color="auto"/>
            </w:tcBorders>
            <w:shd w:val="clear" w:color="auto" w:fill="auto"/>
          </w:tcPr>
          <w:p w14:paraId="1350275A" w14:textId="77777777" w:rsidR="009C3080" w:rsidRPr="006128F6" w:rsidRDefault="009C3080" w:rsidP="009C3080">
            <w:pPr>
              <w:spacing w:line="240" w:lineRule="auto"/>
              <w:rPr>
                <w:szCs w:val="22"/>
              </w:rPr>
            </w:pPr>
            <w:r w:rsidRPr="006128F6">
              <w:rPr>
                <w:szCs w:val="22"/>
              </w:rPr>
              <w:t>Skin and subcutaneous tissue disorders</w:t>
            </w:r>
          </w:p>
        </w:tc>
        <w:tc>
          <w:tcPr>
            <w:tcW w:w="1797" w:type="pct"/>
            <w:shd w:val="clear" w:color="auto" w:fill="auto"/>
            <w:vAlign w:val="bottom"/>
          </w:tcPr>
          <w:p w14:paraId="05025F39" w14:textId="77777777" w:rsidR="009C3080" w:rsidRPr="006128F6" w:rsidRDefault="009C3080" w:rsidP="009C3080">
            <w:pPr>
              <w:spacing w:line="240" w:lineRule="auto"/>
              <w:rPr>
                <w:color w:val="000000"/>
                <w:lang w:eastAsia="en-GB"/>
              </w:rPr>
            </w:pPr>
            <w:r w:rsidRPr="006128F6">
              <w:rPr>
                <w:color w:val="000000"/>
                <w:lang w:eastAsia="en-GB"/>
              </w:rPr>
              <w:t xml:space="preserve">Erythema </w:t>
            </w:r>
          </w:p>
        </w:tc>
        <w:tc>
          <w:tcPr>
            <w:tcW w:w="1423" w:type="pct"/>
            <w:shd w:val="clear" w:color="auto" w:fill="auto"/>
          </w:tcPr>
          <w:p w14:paraId="470BB1AC" w14:textId="77777777" w:rsidR="009C3080" w:rsidRPr="006128F6" w:rsidRDefault="009C3080" w:rsidP="009C3080">
            <w:pPr>
              <w:spacing w:line="240" w:lineRule="auto"/>
              <w:rPr>
                <w:color w:val="000000"/>
                <w:lang w:eastAsia="en-GB"/>
              </w:rPr>
            </w:pPr>
            <w:r w:rsidRPr="006128F6">
              <w:rPr>
                <w:color w:val="000000"/>
                <w:lang w:eastAsia="en-GB"/>
              </w:rPr>
              <w:t xml:space="preserve">Very common </w:t>
            </w:r>
          </w:p>
        </w:tc>
      </w:tr>
      <w:tr w:rsidR="009C3080" w:rsidRPr="006128F6" w14:paraId="775E37E1" w14:textId="77777777" w:rsidTr="0032436C">
        <w:trPr>
          <w:cantSplit/>
        </w:trPr>
        <w:tc>
          <w:tcPr>
            <w:tcW w:w="1780" w:type="pct"/>
            <w:vMerge/>
            <w:shd w:val="clear" w:color="auto" w:fill="auto"/>
          </w:tcPr>
          <w:p w14:paraId="2DD04E69" w14:textId="77777777" w:rsidR="009C3080" w:rsidRPr="006128F6" w:rsidRDefault="009C3080" w:rsidP="009C3080">
            <w:pPr>
              <w:spacing w:line="240" w:lineRule="auto"/>
              <w:rPr>
                <w:szCs w:val="22"/>
              </w:rPr>
            </w:pPr>
          </w:p>
        </w:tc>
        <w:tc>
          <w:tcPr>
            <w:tcW w:w="1797" w:type="pct"/>
            <w:shd w:val="clear" w:color="auto" w:fill="auto"/>
            <w:vAlign w:val="bottom"/>
          </w:tcPr>
          <w:p w14:paraId="2B5CDF8C" w14:textId="77777777" w:rsidR="009C3080" w:rsidRPr="006128F6" w:rsidRDefault="009C3080" w:rsidP="009C3080">
            <w:pPr>
              <w:spacing w:line="240" w:lineRule="auto"/>
              <w:rPr>
                <w:color w:val="000000"/>
                <w:lang w:eastAsia="en-GB"/>
              </w:rPr>
            </w:pPr>
            <w:r w:rsidRPr="006128F6">
              <w:rPr>
                <w:color w:val="000000"/>
                <w:lang w:eastAsia="en-GB"/>
              </w:rPr>
              <w:t xml:space="preserve">Rash </w:t>
            </w:r>
          </w:p>
        </w:tc>
        <w:tc>
          <w:tcPr>
            <w:tcW w:w="1423" w:type="pct"/>
            <w:shd w:val="clear" w:color="auto" w:fill="auto"/>
          </w:tcPr>
          <w:p w14:paraId="24F8C9B0" w14:textId="77777777" w:rsidR="009C3080" w:rsidRPr="006128F6" w:rsidRDefault="009C3080" w:rsidP="009C3080">
            <w:pPr>
              <w:spacing w:line="240" w:lineRule="auto"/>
              <w:rPr>
                <w:color w:val="000000"/>
                <w:lang w:eastAsia="en-GB"/>
              </w:rPr>
            </w:pPr>
            <w:r w:rsidRPr="006128F6">
              <w:rPr>
                <w:color w:val="000000"/>
                <w:lang w:eastAsia="en-GB"/>
              </w:rPr>
              <w:t xml:space="preserve">Very common </w:t>
            </w:r>
          </w:p>
        </w:tc>
      </w:tr>
      <w:tr w:rsidR="009C3080" w:rsidRPr="006128F6" w14:paraId="5EA9EDDE" w14:textId="77777777" w:rsidTr="0032436C">
        <w:trPr>
          <w:cantSplit/>
        </w:trPr>
        <w:tc>
          <w:tcPr>
            <w:tcW w:w="1780" w:type="pct"/>
            <w:vMerge/>
            <w:shd w:val="clear" w:color="auto" w:fill="auto"/>
          </w:tcPr>
          <w:p w14:paraId="7492B5DC" w14:textId="77777777" w:rsidR="009C3080" w:rsidRPr="006128F6" w:rsidRDefault="009C3080" w:rsidP="009C3080">
            <w:pPr>
              <w:spacing w:line="240" w:lineRule="auto"/>
              <w:rPr>
                <w:szCs w:val="22"/>
              </w:rPr>
            </w:pPr>
          </w:p>
        </w:tc>
        <w:tc>
          <w:tcPr>
            <w:tcW w:w="1797" w:type="pct"/>
            <w:shd w:val="clear" w:color="auto" w:fill="auto"/>
            <w:vAlign w:val="bottom"/>
          </w:tcPr>
          <w:p w14:paraId="3B57B454" w14:textId="77777777" w:rsidR="009C3080" w:rsidRPr="006128F6" w:rsidRDefault="009C3080" w:rsidP="009C3080">
            <w:pPr>
              <w:spacing w:line="240" w:lineRule="auto"/>
              <w:rPr>
                <w:color w:val="000000"/>
                <w:lang w:eastAsia="en-GB"/>
              </w:rPr>
            </w:pPr>
            <w:r w:rsidRPr="006128F6">
              <w:rPr>
                <w:color w:val="000000"/>
                <w:vertAlign w:val="superscript"/>
                <w:lang w:eastAsia="en-GB"/>
              </w:rPr>
              <w:t>1</w:t>
            </w:r>
            <w:r w:rsidRPr="006128F6">
              <w:rPr>
                <w:color w:val="000000"/>
                <w:lang w:eastAsia="en-GB"/>
              </w:rPr>
              <w:t xml:space="preserve">Swelling face </w:t>
            </w:r>
          </w:p>
        </w:tc>
        <w:tc>
          <w:tcPr>
            <w:tcW w:w="1423" w:type="pct"/>
            <w:shd w:val="clear" w:color="auto" w:fill="auto"/>
          </w:tcPr>
          <w:p w14:paraId="2EADDAA6" w14:textId="77777777" w:rsidR="009C3080" w:rsidRPr="006128F6" w:rsidRDefault="009C3080" w:rsidP="009C3080">
            <w:pPr>
              <w:spacing w:line="240" w:lineRule="auto"/>
              <w:rPr>
                <w:color w:val="000000"/>
                <w:lang w:eastAsia="en-GB"/>
              </w:rPr>
            </w:pPr>
            <w:r w:rsidRPr="006128F6">
              <w:rPr>
                <w:color w:val="000000"/>
                <w:lang w:eastAsia="en-GB"/>
              </w:rPr>
              <w:t xml:space="preserve">Very common </w:t>
            </w:r>
          </w:p>
        </w:tc>
      </w:tr>
      <w:tr w:rsidR="009C3080" w:rsidRPr="006128F6" w14:paraId="6EA45577" w14:textId="77777777" w:rsidTr="0032436C">
        <w:trPr>
          <w:cantSplit/>
        </w:trPr>
        <w:tc>
          <w:tcPr>
            <w:tcW w:w="1780" w:type="pct"/>
            <w:vMerge/>
            <w:shd w:val="clear" w:color="auto" w:fill="auto"/>
          </w:tcPr>
          <w:p w14:paraId="38173624" w14:textId="77777777" w:rsidR="009C3080" w:rsidRPr="006128F6" w:rsidRDefault="009C3080" w:rsidP="009C3080">
            <w:pPr>
              <w:spacing w:line="240" w:lineRule="auto"/>
              <w:rPr>
                <w:szCs w:val="22"/>
              </w:rPr>
            </w:pPr>
          </w:p>
        </w:tc>
        <w:tc>
          <w:tcPr>
            <w:tcW w:w="1797" w:type="pct"/>
            <w:shd w:val="clear" w:color="auto" w:fill="auto"/>
            <w:vAlign w:val="bottom"/>
          </w:tcPr>
          <w:p w14:paraId="6D84CA68" w14:textId="77777777" w:rsidR="009C3080" w:rsidRPr="006128F6" w:rsidRDefault="009C3080" w:rsidP="009C3080">
            <w:pPr>
              <w:spacing w:line="240" w:lineRule="auto"/>
              <w:rPr>
                <w:color w:val="000000"/>
                <w:lang w:eastAsia="en-GB"/>
              </w:rPr>
            </w:pPr>
            <w:r w:rsidRPr="006128F6">
              <w:rPr>
                <w:color w:val="000000"/>
                <w:lang w:eastAsia="en-GB"/>
              </w:rPr>
              <w:t xml:space="preserve">Alopecia </w:t>
            </w:r>
          </w:p>
        </w:tc>
        <w:tc>
          <w:tcPr>
            <w:tcW w:w="1423" w:type="pct"/>
            <w:shd w:val="clear" w:color="auto" w:fill="auto"/>
          </w:tcPr>
          <w:p w14:paraId="1A55F4FD" w14:textId="77777777" w:rsidR="009C3080" w:rsidRPr="006128F6" w:rsidRDefault="009C3080" w:rsidP="009C3080">
            <w:pPr>
              <w:spacing w:line="240" w:lineRule="auto"/>
              <w:rPr>
                <w:color w:val="000000"/>
                <w:lang w:eastAsia="en-GB"/>
              </w:rPr>
            </w:pPr>
            <w:r w:rsidRPr="006128F6">
              <w:rPr>
                <w:color w:val="000000"/>
                <w:lang w:eastAsia="en-GB"/>
              </w:rPr>
              <w:t xml:space="preserve">Very common </w:t>
            </w:r>
          </w:p>
        </w:tc>
      </w:tr>
      <w:tr w:rsidR="009C3080" w:rsidRPr="006128F6" w14:paraId="7D8AD031" w14:textId="77777777" w:rsidTr="0032436C">
        <w:trPr>
          <w:cantSplit/>
        </w:trPr>
        <w:tc>
          <w:tcPr>
            <w:tcW w:w="1780" w:type="pct"/>
            <w:vMerge/>
            <w:shd w:val="clear" w:color="auto" w:fill="auto"/>
          </w:tcPr>
          <w:p w14:paraId="316FA1FB" w14:textId="77777777" w:rsidR="009C3080" w:rsidRPr="006128F6" w:rsidRDefault="009C3080" w:rsidP="009C3080">
            <w:pPr>
              <w:spacing w:line="240" w:lineRule="auto"/>
              <w:rPr>
                <w:szCs w:val="22"/>
              </w:rPr>
            </w:pPr>
          </w:p>
        </w:tc>
        <w:tc>
          <w:tcPr>
            <w:tcW w:w="1797" w:type="pct"/>
            <w:shd w:val="clear" w:color="auto" w:fill="auto"/>
            <w:vAlign w:val="bottom"/>
          </w:tcPr>
          <w:p w14:paraId="22A5D574" w14:textId="77777777" w:rsidR="009C3080" w:rsidRPr="006128F6" w:rsidRDefault="009C3080" w:rsidP="009C3080">
            <w:pPr>
              <w:spacing w:line="240" w:lineRule="auto"/>
              <w:rPr>
                <w:color w:val="000000"/>
                <w:lang w:eastAsia="en-GB"/>
              </w:rPr>
            </w:pPr>
            <w:r w:rsidRPr="006128F6">
              <w:rPr>
                <w:color w:val="000000"/>
                <w:lang w:eastAsia="en-GB"/>
              </w:rPr>
              <w:t xml:space="preserve">Nail disorder </w:t>
            </w:r>
          </w:p>
        </w:tc>
        <w:tc>
          <w:tcPr>
            <w:tcW w:w="1423" w:type="pct"/>
            <w:shd w:val="clear" w:color="auto" w:fill="auto"/>
          </w:tcPr>
          <w:p w14:paraId="4EFA909E" w14:textId="77777777" w:rsidR="009C3080" w:rsidRPr="006128F6" w:rsidRDefault="009C3080" w:rsidP="009C3080">
            <w:pPr>
              <w:spacing w:line="240" w:lineRule="auto"/>
              <w:rPr>
                <w:color w:val="000000"/>
                <w:lang w:eastAsia="en-GB"/>
              </w:rPr>
            </w:pPr>
            <w:r w:rsidRPr="006128F6">
              <w:rPr>
                <w:color w:val="000000"/>
                <w:lang w:eastAsia="en-GB"/>
              </w:rPr>
              <w:t xml:space="preserve">Very common </w:t>
            </w:r>
          </w:p>
        </w:tc>
      </w:tr>
      <w:tr w:rsidR="009C3080" w:rsidRPr="006128F6" w14:paraId="4A587DD0" w14:textId="77777777" w:rsidTr="0032436C">
        <w:trPr>
          <w:cantSplit/>
        </w:trPr>
        <w:tc>
          <w:tcPr>
            <w:tcW w:w="1780" w:type="pct"/>
            <w:vMerge/>
            <w:shd w:val="clear" w:color="auto" w:fill="auto"/>
          </w:tcPr>
          <w:p w14:paraId="5161DCFD" w14:textId="77777777" w:rsidR="009C3080" w:rsidRPr="006128F6" w:rsidRDefault="009C3080" w:rsidP="009C3080">
            <w:pPr>
              <w:spacing w:line="240" w:lineRule="auto"/>
              <w:rPr>
                <w:szCs w:val="22"/>
              </w:rPr>
            </w:pPr>
          </w:p>
        </w:tc>
        <w:tc>
          <w:tcPr>
            <w:tcW w:w="1797" w:type="pct"/>
            <w:shd w:val="clear" w:color="auto" w:fill="auto"/>
            <w:vAlign w:val="bottom"/>
          </w:tcPr>
          <w:p w14:paraId="3267B30C" w14:textId="77777777" w:rsidR="009C3080" w:rsidRPr="006128F6" w:rsidRDefault="009C3080" w:rsidP="009C3080">
            <w:pPr>
              <w:spacing w:line="240" w:lineRule="auto"/>
              <w:rPr>
                <w:color w:val="000000"/>
                <w:lang w:eastAsia="en-GB"/>
              </w:rPr>
            </w:pPr>
            <w:r w:rsidRPr="006128F6">
              <w:rPr>
                <w:color w:val="000000"/>
                <w:lang w:eastAsia="en-GB"/>
              </w:rPr>
              <w:t xml:space="preserve">Palmar-plantar erythrodysaesthesia syndrome </w:t>
            </w:r>
          </w:p>
        </w:tc>
        <w:tc>
          <w:tcPr>
            <w:tcW w:w="1423" w:type="pct"/>
            <w:shd w:val="clear" w:color="auto" w:fill="auto"/>
          </w:tcPr>
          <w:p w14:paraId="4F4CA4BB" w14:textId="77777777" w:rsidR="009C3080" w:rsidRPr="006128F6" w:rsidRDefault="009C3080" w:rsidP="009C3080">
            <w:pPr>
              <w:spacing w:line="240" w:lineRule="auto"/>
              <w:rPr>
                <w:color w:val="000000"/>
                <w:lang w:eastAsia="en-GB"/>
              </w:rPr>
            </w:pPr>
            <w:r w:rsidRPr="006128F6">
              <w:rPr>
                <w:color w:val="000000"/>
                <w:lang w:eastAsia="en-GB"/>
              </w:rPr>
              <w:t xml:space="preserve">Very common </w:t>
            </w:r>
          </w:p>
        </w:tc>
      </w:tr>
      <w:tr w:rsidR="009C3080" w:rsidRPr="006128F6" w14:paraId="4D1038F1" w14:textId="77777777" w:rsidTr="0032436C">
        <w:trPr>
          <w:cantSplit/>
        </w:trPr>
        <w:tc>
          <w:tcPr>
            <w:tcW w:w="1780" w:type="pct"/>
            <w:vMerge/>
            <w:shd w:val="clear" w:color="auto" w:fill="auto"/>
          </w:tcPr>
          <w:p w14:paraId="3FDF7346" w14:textId="77777777" w:rsidR="009C3080" w:rsidRPr="006128F6" w:rsidRDefault="009C3080" w:rsidP="009C3080">
            <w:pPr>
              <w:spacing w:line="240" w:lineRule="auto"/>
              <w:rPr>
                <w:szCs w:val="22"/>
              </w:rPr>
            </w:pPr>
          </w:p>
        </w:tc>
        <w:tc>
          <w:tcPr>
            <w:tcW w:w="1797" w:type="pct"/>
            <w:shd w:val="clear" w:color="auto" w:fill="auto"/>
            <w:vAlign w:val="bottom"/>
          </w:tcPr>
          <w:p w14:paraId="7A560EAE" w14:textId="77777777" w:rsidR="009C3080" w:rsidRPr="006128F6" w:rsidRDefault="009C3080" w:rsidP="009C3080">
            <w:pPr>
              <w:spacing w:line="240" w:lineRule="auto"/>
              <w:rPr>
                <w:color w:val="000000"/>
                <w:lang w:eastAsia="en-GB"/>
              </w:rPr>
            </w:pPr>
            <w:r w:rsidRPr="006128F6">
              <w:rPr>
                <w:color w:val="000000"/>
                <w:lang w:eastAsia="en-GB"/>
              </w:rPr>
              <w:t xml:space="preserve">Acne </w:t>
            </w:r>
          </w:p>
        </w:tc>
        <w:tc>
          <w:tcPr>
            <w:tcW w:w="1423" w:type="pct"/>
            <w:shd w:val="clear" w:color="auto" w:fill="auto"/>
          </w:tcPr>
          <w:p w14:paraId="527E29A3" w14:textId="77777777" w:rsidR="009C3080" w:rsidRPr="006128F6" w:rsidRDefault="009C3080" w:rsidP="009C3080">
            <w:pPr>
              <w:spacing w:line="240" w:lineRule="auto"/>
              <w:rPr>
                <w:color w:val="000000"/>
                <w:lang w:eastAsia="en-GB"/>
              </w:rPr>
            </w:pPr>
            <w:r w:rsidRPr="006128F6">
              <w:rPr>
                <w:color w:val="000000"/>
                <w:lang w:eastAsia="en-GB"/>
              </w:rPr>
              <w:t xml:space="preserve">Common </w:t>
            </w:r>
          </w:p>
        </w:tc>
      </w:tr>
      <w:tr w:rsidR="009C3080" w:rsidRPr="006128F6" w14:paraId="5912B296" w14:textId="77777777" w:rsidTr="0032436C">
        <w:trPr>
          <w:cantSplit/>
        </w:trPr>
        <w:tc>
          <w:tcPr>
            <w:tcW w:w="1780" w:type="pct"/>
            <w:vMerge/>
            <w:shd w:val="clear" w:color="auto" w:fill="auto"/>
          </w:tcPr>
          <w:p w14:paraId="02655085" w14:textId="77777777" w:rsidR="009C3080" w:rsidRPr="006128F6" w:rsidRDefault="009C3080" w:rsidP="009C3080">
            <w:pPr>
              <w:spacing w:line="240" w:lineRule="auto"/>
              <w:rPr>
                <w:szCs w:val="22"/>
              </w:rPr>
            </w:pPr>
          </w:p>
        </w:tc>
        <w:tc>
          <w:tcPr>
            <w:tcW w:w="1797" w:type="pct"/>
            <w:shd w:val="clear" w:color="auto" w:fill="auto"/>
            <w:vAlign w:val="bottom"/>
          </w:tcPr>
          <w:p w14:paraId="03CE9F10" w14:textId="77777777" w:rsidR="009C3080" w:rsidRPr="006128F6" w:rsidRDefault="009C3080" w:rsidP="009C3080">
            <w:pPr>
              <w:spacing w:line="240" w:lineRule="auto"/>
              <w:rPr>
                <w:color w:val="000000"/>
                <w:lang w:eastAsia="en-GB"/>
              </w:rPr>
            </w:pPr>
            <w:r w:rsidRPr="006128F6">
              <w:rPr>
                <w:color w:val="000000"/>
                <w:lang w:eastAsia="en-GB"/>
              </w:rPr>
              <w:t xml:space="preserve">Dry skin </w:t>
            </w:r>
          </w:p>
        </w:tc>
        <w:tc>
          <w:tcPr>
            <w:tcW w:w="1423" w:type="pct"/>
            <w:shd w:val="clear" w:color="auto" w:fill="auto"/>
          </w:tcPr>
          <w:p w14:paraId="28B8EAC1" w14:textId="77777777" w:rsidR="009C3080" w:rsidRPr="006128F6" w:rsidRDefault="009C3080" w:rsidP="009C3080">
            <w:pPr>
              <w:spacing w:line="240" w:lineRule="auto"/>
              <w:rPr>
                <w:color w:val="000000"/>
                <w:lang w:eastAsia="en-GB"/>
              </w:rPr>
            </w:pPr>
            <w:r w:rsidRPr="006128F6">
              <w:rPr>
                <w:color w:val="000000"/>
                <w:lang w:eastAsia="en-GB"/>
              </w:rPr>
              <w:t xml:space="preserve">Common </w:t>
            </w:r>
          </w:p>
        </w:tc>
      </w:tr>
      <w:tr w:rsidR="009C3080" w:rsidRPr="006128F6" w14:paraId="16FF2EE6" w14:textId="77777777" w:rsidTr="0032436C">
        <w:trPr>
          <w:cantSplit/>
        </w:trPr>
        <w:tc>
          <w:tcPr>
            <w:tcW w:w="1780" w:type="pct"/>
            <w:vMerge/>
            <w:shd w:val="clear" w:color="auto" w:fill="auto"/>
          </w:tcPr>
          <w:p w14:paraId="3D5A1632" w14:textId="77777777" w:rsidR="009C3080" w:rsidRPr="006128F6" w:rsidRDefault="009C3080" w:rsidP="009C3080">
            <w:pPr>
              <w:spacing w:line="240" w:lineRule="auto"/>
              <w:rPr>
                <w:szCs w:val="22"/>
              </w:rPr>
            </w:pPr>
          </w:p>
        </w:tc>
        <w:tc>
          <w:tcPr>
            <w:tcW w:w="1797" w:type="pct"/>
            <w:shd w:val="clear" w:color="auto" w:fill="auto"/>
            <w:vAlign w:val="bottom"/>
          </w:tcPr>
          <w:p w14:paraId="44125B53" w14:textId="77777777" w:rsidR="009C3080" w:rsidRPr="006128F6" w:rsidRDefault="009C3080" w:rsidP="009C3080">
            <w:pPr>
              <w:spacing w:line="240" w:lineRule="auto"/>
              <w:rPr>
                <w:color w:val="000000"/>
                <w:lang w:eastAsia="en-GB"/>
              </w:rPr>
            </w:pPr>
            <w:r w:rsidRPr="006128F6">
              <w:rPr>
                <w:color w:val="000000"/>
                <w:lang w:eastAsia="en-GB"/>
              </w:rPr>
              <w:t xml:space="preserve">Ecchymosis </w:t>
            </w:r>
          </w:p>
        </w:tc>
        <w:tc>
          <w:tcPr>
            <w:tcW w:w="1423" w:type="pct"/>
            <w:shd w:val="clear" w:color="auto" w:fill="auto"/>
          </w:tcPr>
          <w:p w14:paraId="0F464CDB" w14:textId="77777777" w:rsidR="009C3080" w:rsidRPr="006128F6" w:rsidRDefault="009C3080" w:rsidP="009C3080">
            <w:pPr>
              <w:spacing w:line="240" w:lineRule="auto"/>
              <w:rPr>
                <w:color w:val="000000"/>
                <w:lang w:eastAsia="en-GB"/>
              </w:rPr>
            </w:pPr>
            <w:r w:rsidRPr="006128F6">
              <w:rPr>
                <w:color w:val="000000"/>
                <w:lang w:eastAsia="en-GB"/>
              </w:rPr>
              <w:t xml:space="preserve">Common </w:t>
            </w:r>
          </w:p>
        </w:tc>
      </w:tr>
      <w:tr w:rsidR="009C3080" w:rsidRPr="006128F6" w14:paraId="54C4894F" w14:textId="77777777" w:rsidTr="0032436C">
        <w:trPr>
          <w:cantSplit/>
        </w:trPr>
        <w:tc>
          <w:tcPr>
            <w:tcW w:w="1780" w:type="pct"/>
            <w:vMerge/>
            <w:shd w:val="clear" w:color="auto" w:fill="auto"/>
          </w:tcPr>
          <w:p w14:paraId="56B6F004" w14:textId="77777777" w:rsidR="009C3080" w:rsidRPr="006128F6" w:rsidRDefault="009C3080" w:rsidP="009C3080">
            <w:pPr>
              <w:spacing w:line="240" w:lineRule="auto"/>
              <w:rPr>
                <w:szCs w:val="22"/>
              </w:rPr>
            </w:pPr>
          </w:p>
        </w:tc>
        <w:tc>
          <w:tcPr>
            <w:tcW w:w="1797" w:type="pct"/>
            <w:shd w:val="clear" w:color="auto" w:fill="auto"/>
            <w:vAlign w:val="bottom"/>
          </w:tcPr>
          <w:p w14:paraId="4322A7B7" w14:textId="77777777" w:rsidR="009C3080" w:rsidRPr="006128F6" w:rsidRDefault="009C3080" w:rsidP="009C3080">
            <w:pPr>
              <w:spacing w:line="240" w:lineRule="auto"/>
              <w:rPr>
                <w:color w:val="000000"/>
                <w:lang w:eastAsia="en-GB"/>
              </w:rPr>
            </w:pPr>
            <w:r w:rsidRPr="006128F6">
              <w:rPr>
                <w:color w:val="000000"/>
                <w:lang w:eastAsia="en-GB"/>
              </w:rPr>
              <w:t>Hyperhydrosis</w:t>
            </w:r>
          </w:p>
        </w:tc>
        <w:tc>
          <w:tcPr>
            <w:tcW w:w="1423" w:type="pct"/>
            <w:shd w:val="clear" w:color="auto" w:fill="auto"/>
          </w:tcPr>
          <w:p w14:paraId="2388DE4A" w14:textId="77777777" w:rsidR="009C3080" w:rsidRPr="006128F6" w:rsidRDefault="009C3080" w:rsidP="009C3080">
            <w:pPr>
              <w:spacing w:line="240" w:lineRule="auto"/>
              <w:rPr>
                <w:color w:val="000000"/>
                <w:lang w:eastAsia="en-GB"/>
              </w:rPr>
            </w:pPr>
            <w:r w:rsidRPr="006128F6">
              <w:rPr>
                <w:color w:val="000000"/>
                <w:lang w:eastAsia="en-GB"/>
              </w:rPr>
              <w:t xml:space="preserve">Common </w:t>
            </w:r>
          </w:p>
        </w:tc>
      </w:tr>
      <w:tr w:rsidR="009C3080" w:rsidRPr="006128F6" w14:paraId="56A133C2" w14:textId="77777777" w:rsidTr="0032436C">
        <w:trPr>
          <w:cantSplit/>
        </w:trPr>
        <w:tc>
          <w:tcPr>
            <w:tcW w:w="1780" w:type="pct"/>
            <w:vMerge/>
            <w:shd w:val="clear" w:color="auto" w:fill="auto"/>
          </w:tcPr>
          <w:p w14:paraId="12D48008" w14:textId="77777777" w:rsidR="009C3080" w:rsidRPr="006128F6" w:rsidRDefault="009C3080" w:rsidP="009C3080">
            <w:pPr>
              <w:spacing w:line="240" w:lineRule="auto"/>
              <w:rPr>
                <w:szCs w:val="22"/>
              </w:rPr>
            </w:pPr>
          </w:p>
        </w:tc>
        <w:tc>
          <w:tcPr>
            <w:tcW w:w="1797" w:type="pct"/>
            <w:shd w:val="clear" w:color="auto" w:fill="auto"/>
            <w:vAlign w:val="bottom"/>
          </w:tcPr>
          <w:p w14:paraId="7D406EB2" w14:textId="77777777" w:rsidR="009C3080" w:rsidRPr="006128F6" w:rsidRDefault="009C3080" w:rsidP="009C3080">
            <w:pPr>
              <w:spacing w:line="240" w:lineRule="auto"/>
              <w:rPr>
                <w:color w:val="000000"/>
                <w:lang w:eastAsia="en-GB"/>
              </w:rPr>
            </w:pPr>
            <w:r w:rsidRPr="006128F6">
              <w:rPr>
                <w:color w:val="000000"/>
                <w:lang w:eastAsia="en-GB"/>
              </w:rPr>
              <w:t xml:space="preserve">Maculopapular rash </w:t>
            </w:r>
          </w:p>
        </w:tc>
        <w:tc>
          <w:tcPr>
            <w:tcW w:w="1423" w:type="pct"/>
            <w:shd w:val="clear" w:color="auto" w:fill="auto"/>
          </w:tcPr>
          <w:p w14:paraId="2BE3A0EB" w14:textId="77777777" w:rsidR="009C3080" w:rsidRPr="006128F6" w:rsidRDefault="009C3080" w:rsidP="009C3080">
            <w:pPr>
              <w:spacing w:line="240" w:lineRule="auto"/>
              <w:rPr>
                <w:color w:val="000000"/>
                <w:lang w:eastAsia="en-GB"/>
              </w:rPr>
            </w:pPr>
            <w:r w:rsidRPr="006128F6">
              <w:rPr>
                <w:color w:val="000000"/>
                <w:lang w:eastAsia="en-GB"/>
              </w:rPr>
              <w:t xml:space="preserve">Common </w:t>
            </w:r>
          </w:p>
        </w:tc>
      </w:tr>
      <w:tr w:rsidR="009C3080" w:rsidRPr="006128F6" w14:paraId="67D6DBCB" w14:textId="77777777" w:rsidTr="0032436C">
        <w:trPr>
          <w:cantSplit/>
        </w:trPr>
        <w:tc>
          <w:tcPr>
            <w:tcW w:w="1780" w:type="pct"/>
            <w:vMerge/>
            <w:shd w:val="clear" w:color="auto" w:fill="auto"/>
          </w:tcPr>
          <w:p w14:paraId="014B71E5" w14:textId="77777777" w:rsidR="009C3080" w:rsidRPr="006128F6" w:rsidRDefault="009C3080" w:rsidP="009C3080">
            <w:pPr>
              <w:spacing w:line="240" w:lineRule="auto"/>
              <w:rPr>
                <w:szCs w:val="22"/>
              </w:rPr>
            </w:pPr>
          </w:p>
        </w:tc>
        <w:tc>
          <w:tcPr>
            <w:tcW w:w="1797" w:type="pct"/>
            <w:shd w:val="clear" w:color="auto" w:fill="auto"/>
            <w:vAlign w:val="bottom"/>
          </w:tcPr>
          <w:p w14:paraId="465D1E8E" w14:textId="77777777" w:rsidR="009C3080" w:rsidRPr="006128F6" w:rsidRDefault="009C3080" w:rsidP="009C3080">
            <w:pPr>
              <w:spacing w:line="240" w:lineRule="auto"/>
              <w:rPr>
                <w:color w:val="000000"/>
                <w:lang w:eastAsia="en-GB"/>
              </w:rPr>
            </w:pPr>
            <w:r w:rsidRPr="006128F6">
              <w:rPr>
                <w:color w:val="000000"/>
                <w:lang w:eastAsia="en-GB"/>
              </w:rPr>
              <w:t xml:space="preserve">Pruritus </w:t>
            </w:r>
          </w:p>
        </w:tc>
        <w:tc>
          <w:tcPr>
            <w:tcW w:w="1423" w:type="pct"/>
            <w:shd w:val="clear" w:color="auto" w:fill="auto"/>
          </w:tcPr>
          <w:p w14:paraId="7D6A088C" w14:textId="77777777" w:rsidR="009C3080" w:rsidRPr="006128F6" w:rsidRDefault="009C3080" w:rsidP="009C3080">
            <w:pPr>
              <w:spacing w:line="240" w:lineRule="auto"/>
              <w:rPr>
                <w:color w:val="000000"/>
                <w:lang w:eastAsia="en-GB"/>
              </w:rPr>
            </w:pPr>
            <w:r w:rsidRPr="006128F6">
              <w:rPr>
                <w:color w:val="000000"/>
                <w:lang w:eastAsia="en-GB"/>
              </w:rPr>
              <w:t xml:space="preserve">Common </w:t>
            </w:r>
          </w:p>
        </w:tc>
      </w:tr>
      <w:tr w:rsidR="009C3080" w:rsidRPr="006128F6" w14:paraId="49C62473" w14:textId="77777777" w:rsidTr="0032436C">
        <w:trPr>
          <w:cantSplit/>
        </w:trPr>
        <w:tc>
          <w:tcPr>
            <w:tcW w:w="1780" w:type="pct"/>
            <w:vMerge/>
            <w:shd w:val="clear" w:color="auto" w:fill="auto"/>
          </w:tcPr>
          <w:p w14:paraId="38BADB2E" w14:textId="77777777" w:rsidR="009C3080" w:rsidRPr="006128F6" w:rsidRDefault="009C3080" w:rsidP="009C3080">
            <w:pPr>
              <w:spacing w:line="240" w:lineRule="auto"/>
              <w:rPr>
                <w:szCs w:val="22"/>
              </w:rPr>
            </w:pPr>
          </w:p>
        </w:tc>
        <w:tc>
          <w:tcPr>
            <w:tcW w:w="1797" w:type="pct"/>
            <w:shd w:val="clear" w:color="auto" w:fill="auto"/>
            <w:vAlign w:val="bottom"/>
          </w:tcPr>
          <w:p w14:paraId="737744C8" w14:textId="77777777" w:rsidR="009C3080" w:rsidRPr="006128F6" w:rsidRDefault="009C3080" w:rsidP="009C3080">
            <w:pPr>
              <w:spacing w:line="240" w:lineRule="auto"/>
              <w:rPr>
                <w:color w:val="000000"/>
                <w:lang w:eastAsia="en-GB"/>
              </w:rPr>
            </w:pPr>
            <w:r w:rsidRPr="006128F6">
              <w:rPr>
                <w:color w:val="000000"/>
                <w:lang w:eastAsia="en-GB"/>
              </w:rPr>
              <w:t>Onychoclasis</w:t>
            </w:r>
          </w:p>
        </w:tc>
        <w:tc>
          <w:tcPr>
            <w:tcW w:w="1423" w:type="pct"/>
            <w:shd w:val="clear" w:color="auto" w:fill="auto"/>
          </w:tcPr>
          <w:p w14:paraId="41969B07" w14:textId="77777777" w:rsidR="009C3080" w:rsidRPr="006128F6" w:rsidRDefault="009C3080" w:rsidP="009C3080">
            <w:pPr>
              <w:spacing w:line="240" w:lineRule="auto"/>
              <w:rPr>
                <w:color w:val="000000"/>
                <w:lang w:eastAsia="en-GB"/>
              </w:rPr>
            </w:pPr>
            <w:r w:rsidRPr="006128F6">
              <w:rPr>
                <w:color w:val="000000"/>
                <w:lang w:eastAsia="en-GB"/>
              </w:rPr>
              <w:t xml:space="preserve">Common </w:t>
            </w:r>
          </w:p>
        </w:tc>
      </w:tr>
      <w:tr w:rsidR="009C3080" w:rsidRPr="006128F6" w14:paraId="4DE23076" w14:textId="77777777" w:rsidTr="0032436C">
        <w:trPr>
          <w:cantSplit/>
        </w:trPr>
        <w:tc>
          <w:tcPr>
            <w:tcW w:w="1780" w:type="pct"/>
            <w:vMerge/>
            <w:shd w:val="clear" w:color="auto" w:fill="auto"/>
          </w:tcPr>
          <w:p w14:paraId="51711F80" w14:textId="77777777" w:rsidR="009C3080" w:rsidRPr="006128F6" w:rsidRDefault="009C3080" w:rsidP="009C3080">
            <w:pPr>
              <w:spacing w:line="240" w:lineRule="auto"/>
              <w:rPr>
                <w:szCs w:val="22"/>
              </w:rPr>
            </w:pPr>
          </w:p>
        </w:tc>
        <w:tc>
          <w:tcPr>
            <w:tcW w:w="1797" w:type="pct"/>
            <w:shd w:val="clear" w:color="auto" w:fill="auto"/>
            <w:vAlign w:val="bottom"/>
          </w:tcPr>
          <w:p w14:paraId="7BD25587" w14:textId="77777777" w:rsidR="009C3080" w:rsidRPr="006128F6" w:rsidRDefault="009C3080" w:rsidP="009C3080">
            <w:pPr>
              <w:spacing w:line="240" w:lineRule="auto"/>
              <w:rPr>
                <w:color w:val="000000"/>
                <w:lang w:eastAsia="en-GB"/>
              </w:rPr>
            </w:pPr>
            <w:r w:rsidRPr="006128F6">
              <w:rPr>
                <w:color w:val="000000"/>
                <w:lang w:eastAsia="en-GB"/>
              </w:rPr>
              <w:t xml:space="preserve">Dermatitis </w:t>
            </w:r>
          </w:p>
        </w:tc>
        <w:tc>
          <w:tcPr>
            <w:tcW w:w="1423" w:type="pct"/>
            <w:shd w:val="clear" w:color="auto" w:fill="auto"/>
          </w:tcPr>
          <w:p w14:paraId="4F2808B0" w14:textId="77777777" w:rsidR="009C3080" w:rsidRPr="006128F6" w:rsidRDefault="009C3080" w:rsidP="009C3080">
            <w:pPr>
              <w:spacing w:line="240" w:lineRule="auto"/>
              <w:rPr>
                <w:color w:val="000000"/>
                <w:lang w:eastAsia="en-GB"/>
              </w:rPr>
            </w:pPr>
            <w:r w:rsidRPr="006128F6">
              <w:rPr>
                <w:color w:val="000000"/>
                <w:lang w:eastAsia="en-GB"/>
              </w:rPr>
              <w:t xml:space="preserve">Common </w:t>
            </w:r>
          </w:p>
        </w:tc>
      </w:tr>
      <w:tr w:rsidR="009C3080" w:rsidRPr="006128F6" w14:paraId="0910B76F" w14:textId="77777777" w:rsidTr="0032436C">
        <w:trPr>
          <w:cantSplit/>
        </w:trPr>
        <w:tc>
          <w:tcPr>
            <w:tcW w:w="1780" w:type="pct"/>
            <w:vMerge/>
            <w:shd w:val="clear" w:color="auto" w:fill="auto"/>
          </w:tcPr>
          <w:p w14:paraId="796A079D" w14:textId="77777777" w:rsidR="009C3080" w:rsidRPr="006128F6" w:rsidRDefault="009C3080" w:rsidP="009C3080">
            <w:pPr>
              <w:spacing w:line="240" w:lineRule="auto"/>
              <w:rPr>
                <w:szCs w:val="22"/>
              </w:rPr>
            </w:pPr>
          </w:p>
        </w:tc>
        <w:tc>
          <w:tcPr>
            <w:tcW w:w="1797" w:type="pct"/>
            <w:shd w:val="clear" w:color="auto" w:fill="auto"/>
            <w:vAlign w:val="bottom"/>
          </w:tcPr>
          <w:p w14:paraId="73B30FB0" w14:textId="77777777" w:rsidR="009C3080" w:rsidRPr="006128F6" w:rsidRDefault="009C3080" w:rsidP="009C3080">
            <w:pPr>
              <w:spacing w:line="240" w:lineRule="auto"/>
              <w:rPr>
                <w:color w:val="000000"/>
                <w:lang w:eastAsia="en-GB"/>
              </w:rPr>
            </w:pPr>
            <w:r w:rsidRPr="006128F6">
              <w:rPr>
                <w:color w:val="000000"/>
                <w:lang w:eastAsia="en-GB"/>
              </w:rPr>
              <w:t xml:space="preserve">Urticaria </w:t>
            </w:r>
          </w:p>
        </w:tc>
        <w:tc>
          <w:tcPr>
            <w:tcW w:w="1423" w:type="pct"/>
            <w:shd w:val="clear" w:color="auto" w:fill="auto"/>
          </w:tcPr>
          <w:p w14:paraId="376DC44E" w14:textId="77777777" w:rsidR="009C3080" w:rsidRPr="006128F6" w:rsidRDefault="009C3080" w:rsidP="009C3080">
            <w:pPr>
              <w:spacing w:line="240" w:lineRule="auto"/>
              <w:rPr>
                <w:color w:val="000000"/>
                <w:lang w:eastAsia="en-GB"/>
              </w:rPr>
            </w:pPr>
            <w:r w:rsidRPr="006128F6">
              <w:rPr>
                <w:color w:val="000000"/>
                <w:lang w:eastAsia="en-GB"/>
              </w:rPr>
              <w:t xml:space="preserve">Uncommon </w:t>
            </w:r>
          </w:p>
        </w:tc>
      </w:tr>
      <w:tr w:rsidR="009C3080" w:rsidRPr="006128F6" w14:paraId="0317F53B" w14:textId="77777777" w:rsidTr="0032436C">
        <w:trPr>
          <w:cantSplit/>
        </w:trPr>
        <w:tc>
          <w:tcPr>
            <w:tcW w:w="1780" w:type="pct"/>
            <w:vMerge/>
            <w:shd w:val="clear" w:color="auto" w:fill="auto"/>
          </w:tcPr>
          <w:p w14:paraId="6159E1A8" w14:textId="77777777" w:rsidR="009C3080" w:rsidRPr="006128F6" w:rsidRDefault="009C3080" w:rsidP="009C3080">
            <w:pPr>
              <w:spacing w:line="240" w:lineRule="auto"/>
              <w:rPr>
                <w:szCs w:val="22"/>
              </w:rPr>
            </w:pPr>
          </w:p>
        </w:tc>
        <w:tc>
          <w:tcPr>
            <w:tcW w:w="1797" w:type="pct"/>
            <w:shd w:val="clear" w:color="auto" w:fill="auto"/>
            <w:vAlign w:val="bottom"/>
          </w:tcPr>
          <w:p w14:paraId="5032DD0C" w14:textId="77777777" w:rsidR="009C3080" w:rsidRPr="006128F6" w:rsidRDefault="009C3080" w:rsidP="009C3080">
            <w:pPr>
              <w:spacing w:line="240" w:lineRule="auto"/>
              <w:rPr>
                <w:color w:val="000000"/>
                <w:lang w:eastAsia="en-GB"/>
              </w:rPr>
            </w:pPr>
            <w:r w:rsidRPr="006128F6">
              <w:rPr>
                <w:color w:val="000000"/>
                <w:lang w:eastAsia="en-GB"/>
              </w:rPr>
              <w:t xml:space="preserve">Angioedema </w:t>
            </w:r>
          </w:p>
        </w:tc>
        <w:tc>
          <w:tcPr>
            <w:tcW w:w="1423" w:type="pct"/>
            <w:shd w:val="clear" w:color="auto" w:fill="auto"/>
          </w:tcPr>
          <w:p w14:paraId="4A56E83B" w14:textId="77777777" w:rsidR="009C3080" w:rsidRPr="006128F6" w:rsidRDefault="009C3080" w:rsidP="009C3080">
            <w:pPr>
              <w:spacing w:line="240" w:lineRule="auto"/>
              <w:rPr>
                <w:color w:val="000000"/>
                <w:lang w:eastAsia="en-GB"/>
              </w:rPr>
            </w:pPr>
            <w:r w:rsidRPr="006128F6">
              <w:rPr>
                <w:color w:val="000000"/>
                <w:lang w:eastAsia="en-GB"/>
              </w:rPr>
              <w:t xml:space="preserve">Not known </w:t>
            </w:r>
          </w:p>
        </w:tc>
      </w:tr>
      <w:tr w:rsidR="009C3080" w:rsidRPr="006128F6" w14:paraId="45770538" w14:textId="77777777" w:rsidTr="0032436C">
        <w:trPr>
          <w:cantSplit/>
        </w:trPr>
        <w:tc>
          <w:tcPr>
            <w:tcW w:w="1780" w:type="pct"/>
            <w:vMerge w:val="restart"/>
            <w:shd w:val="clear" w:color="auto" w:fill="auto"/>
          </w:tcPr>
          <w:p w14:paraId="49278B16" w14:textId="77777777" w:rsidR="009C3080" w:rsidRPr="006128F6" w:rsidRDefault="009C3080" w:rsidP="009C3080">
            <w:pPr>
              <w:spacing w:line="240" w:lineRule="auto"/>
              <w:rPr>
                <w:szCs w:val="22"/>
              </w:rPr>
            </w:pPr>
            <w:r w:rsidRPr="006128F6">
              <w:rPr>
                <w:rFonts w:eastAsia="SimSun"/>
                <w:szCs w:val="22"/>
                <w:lang w:eastAsia="en-GB"/>
              </w:rPr>
              <w:t>Musculoskeletal and connective tissue disorders</w:t>
            </w:r>
          </w:p>
        </w:tc>
        <w:tc>
          <w:tcPr>
            <w:tcW w:w="1797" w:type="pct"/>
            <w:shd w:val="clear" w:color="auto" w:fill="auto"/>
            <w:vAlign w:val="bottom"/>
          </w:tcPr>
          <w:p w14:paraId="0D0F9CBF" w14:textId="77777777" w:rsidR="009C3080" w:rsidRPr="006128F6" w:rsidRDefault="009C3080" w:rsidP="009C3080">
            <w:pPr>
              <w:spacing w:line="240" w:lineRule="auto"/>
              <w:rPr>
                <w:color w:val="000000"/>
                <w:lang w:eastAsia="en-GB"/>
              </w:rPr>
            </w:pPr>
            <w:r w:rsidRPr="006128F6">
              <w:rPr>
                <w:color w:val="000000"/>
                <w:lang w:eastAsia="en-GB"/>
              </w:rPr>
              <w:t xml:space="preserve">Arthralgia </w:t>
            </w:r>
          </w:p>
        </w:tc>
        <w:tc>
          <w:tcPr>
            <w:tcW w:w="1423" w:type="pct"/>
            <w:shd w:val="clear" w:color="auto" w:fill="auto"/>
          </w:tcPr>
          <w:p w14:paraId="2AFCF606" w14:textId="77777777" w:rsidR="009C3080" w:rsidRPr="006128F6" w:rsidRDefault="009C3080" w:rsidP="009C3080">
            <w:pPr>
              <w:spacing w:line="240" w:lineRule="auto"/>
              <w:rPr>
                <w:color w:val="000000"/>
                <w:lang w:eastAsia="en-GB"/>
              </w:rPr>
            </w:pPr>
            <w:r w:rsidRPr="006128F6">
              <w:rPr>
                <w:color w:val="000000"/>
                <w:lang w:eastAsia="en-GB"/>
              </w:rPr>
              <w:t xml:space="preserve">Very common </w:t>
            </w:r>
          </w:p>
        </w:tc>
      </w:tr>
      <w:tr w:rsidR="009C3080" w:rsidRPr="006128F6" w14:paraId="6CD173A5" w14:textId="77777777" w:rsidTr="0032436C">
        <w:trPr>
          <w:cantSplit/>
        </w:trPr>
        <w:tc>
          <w:tcPr>
            <w:tcW w:w="1780" w:type="pct"/>
            <w:vMerge/>
            <w:shd w:val="clear" w:color="auto" w:fill="auto"/>
          </w:tcPr>
          <w:p w14:paraId="0210024D" w14:textId="77777777" w:rsidR="009C3080" w:rsidRPr="006128F6" w:rsidRDefault="009C3080" w:rsidP="009C3080">
            <w:pPr>
              <w:spacing w:line="240" w:lineRule="auto"/>
              <w:rPr>
                <w:rFonts w:eastAsia="SimSun"/>
                <w:szCs w:val="22"/>
                <w:lang w:eastAsia="en-GB"/>
              </w:rPr>
            </w:pPr>
          </w:p>
        </w:tc>
        <w:tc>
          <w:tcPr>
            <w:tcW w:w="1797" w:type="pct"/>
            <w:shd w:val="clear" w:color="auto" w:fill="auto"/>
            <w:vAlign w:val="bottom"/>
          </w:tcPr>
          <w:p w14:paraId="3B34E5FE" w14:textId="77777777" w:rsidR="009C3080" w:rsidRPr="006128F6" w:rsidRDefault="009C3080" w:rsidP="009C3080">
            <w:pPr>
              <w:spacing w:line="240" w:lineRule="auto"/>
              <w:rPr>
                <w:color w:val="000000"/>
                <w:lang w:eastAsia="en-GB"/>
              </w:rPr>
            </w:pPr>
            <w:r w:rsidRPr="006128F6">
              <w:rPr>
                <w:color w:val="000000"/>
                <w:vertAlign w:val="superscript"/>
                <w:lang w:eastAsia="en-GB"/>
              </w:rPr>
              <w:t>1</w:t>
            </w:r>
            <w:r w:rsidRPr="006128F6">
              <w:rPr>
                <w:color w:val="000000"/>
                <w:lang w:eastAsia="en-GB"/>
              </w:rPr>
              <w:t xml:space="preserve">Muscle tightness </w:t>
            </w:r>
          </w:p>
        </w:tc>
        <w:tc>
          <w:tcPr>
            <w:tcW w:w="1423" w:type="pct"/>
            <w:shd w:val="clear" w:color="auto" w:fill="auto"/>
          </w:tcPr>
          <w:p w14:paraId="77680695" w14:textId="77777777" w:rsidR="009C3080" w:rsidRPr="006128F6" w:rsidRDefault="009C3080" w:rsidP="009C3080">
            <w:pPr>
              <w:spacing w:line="240" w:lineRule="auto"/>
              <w:rPr>
                <w:color w:val="000000"/>
                <w:lang w:eastAsia="en-GB"/>
              </w:rPr>
            </w:pPr>
            <w:r w:rsidRPr="006128F6">
              <w:rPr>
                <w:color w:val="000000"/>
                <w:lang w:eastAsia="en-GB"/>
              </w:rPr>
              <w:t xml:space="preserve">Very common </w:t>
            </w:r>
          </w:p>
        </w:tc>
      </w:tr>
      <w:tr w:rsidR="009C3080" w:rsidRPr="006128F6" w14:paraId="0E5DBF04" w14:textId="77777777" w:rsidTr="0032436C">
        <w:trPr>
          <w:cantSplit/>
        </w:trPr>
        <w:tc>
          <w:tcPr>
            <w:tcW w:w="1780" w:type="pct"/>
            <w:vMerge/>
            <w:shd w:val="clear" w:color="auto" w:fill="auto"/>
          </w:tcPr>
          <w:p w14:paraId="3A4E61F9" w14:textId="77777777" w:rsidR="009C3080" w:rsidRPr="006128F6" w:rsidRDefault="009C3080" w:rsidP="009C3080">
            <w:pPr>
              <w:spacing w:line="240" w:lineRule="auto"/>
              <w:rPr>
                <w:rFonts w:eastAsia="SimSun"/>
                <w:szCs w:val="22"/>
                <w:lang w:eastAsia="en-GB"/>
              </w:rPr>
            </w:pPr>
          </w:p>
        </w:tc>
        <w:tc>
          <w:tcPr>
            <w:tcW w:w="1797" w:type="pct"/>
            <w:shd w:val="clear" w:color="auto" w:fill="auto"/>
            <w:vAlign w:val="bottom"/>
          </w:tcPr>
          <w:p w14:paraId="6C116FFC" w14:textId="77777777" w:rsidR="009C3080" w:rsidRPr="006128F6" w:rsidRDefault="009C3080" w:rsidP="009C3080">
            <w:pPr>
              <w:spacing w:line="240" w:lineRule="auto"/>
              <w:rPr>
                <w:color w:val="000000"/>
                <w:lang w:eastAsia="en-GB"/>
              </w:rPr>
            </w:pPr>
            <w:r w:rsidRPr="006128F6">
              <w:rPr>
                <w:color w:val="000000"/>
                <w:lang w:eastAsia="en-GB"/>
              </w:rPr>
              <w:t xml:space="preserve">Myalgia </w:t>
            </w:r>
          </w:p>
        </w:tc>
        <w:tc>
          <w:tcPr>
            <w:tcW w:w="1423" w:type="pct"/>
            <w:shd w:val="clear" w:color="auto" w:fill="auto"/>
          </w:tcPr>
          <w:p w14:paraId="74021147" w14:textId="77777777" w:rsidR="009C3080" w:rsidRPr="006128F6" w:rsidRDefault="009C3080" w:rsidP="009C3080">
            <w:pPr>
              <w:spacing w:line="240" w:lineRule="auto"/>
              <w:rPr>
                <w:color w:val="000000"/>
                <w:lang w:eastAsia="en-GB"/>
              </w:rPr>
            </w:pPr>
            <w:r w:rsidRPr="006128F6">
              <w:rPr>
                <w:color w:val="000000"/>
                <w:lang w:eastAsia="en-GB"/>
              </w:rPr>
              <w:t xml:space="preserve">Very common </w:t>
            </w:r>
          </w:p>
        </w:tc>
      </w:tr>
      <w:tr w:rsidR="009C3080" w:rsidRPr="006128F6" w14:paraId="6DE4EF86" w14:textId="77777777" w:rsidTr="0032436C">
        <w:trPr>
          <w:cantSplit/>
        </w:trPr>
        <w:tc>
          <w:tcPr>
            <w:tcW w:w="1780" w:type="pct"/>
            <w:vMerge/>
            <w:shd w:val="clear" w:color="auto" w:fill="auto"/>
          </w:tcPr>
          <w:p w14:paraId="3D75B76C" w14:textId="77777777" w:rsidR="009C3080" w:rsidRPr="006128F6" w:rsidRDefault="009C3080" w:rsidP="009C3080">
            <w:pPr>
              <w:spacing w:line="240" w:lineRule="auto"/>
              <w:rPr>
                <w:rFonts w:eastAsia="SimSun"/>
                <w:szCs w:val="22"/>
                <w:lang w:eastAsia="en-GB"/>
              </w:rPr>
            </w:pPr>
          </w:p>
        </w:tc>
        <w:tc>
          <w:tcPr>
            <w:tcW w:w="1797" w:type="pct"/>
            <w:shd w:val="clear" w:color="auto" w:fill="auto"/>
            <w:vAlign w:val="bottom"/>
          </w:tcPr>
          <w:p w14:paraId="680A8233" w14:textId="77777777" w:rsidR="009C3080" w:rsidRPr="006128F6" w:rsidRDefault="009C3080" w:rsidP="009C3080">
            <w:pPr>
              <w:spacing w:line="240" w:lineRule="auto"/>
              <w:rPr>
                <w:color w:val="000000"/>
                <w:lang w:eastAsia="en-GB"/>
              </w:rPr>
            </w:pPr>
            <w:r w:rsidRPr="006128F6">
              <w:rPr>
                <w:color w:val="000000"/>
                <w:lang w:eastAsia="en-GB"/>
              </w:rPr>
              <w:t xml:space="preserve">Arthritis </w:t>
            </w:r>
          </w:p>
        </w:tc>
        <w:tc>
          <w:tcPr>
            <w:tcW w:w="1423" w:type="pct"/>
            <w:shd w:val="clear" w:color="auto" w:fill="auto"/>
          </w:tcPr>
          <w:p w14:paraId="7631C1CE" w14:textId="77777777" w:rsidR="009C3080" w:rsidRPr="006128F6" w:rsidRDefault="009C3080" w:rsidP="009C3080">
            <w:pPr>
              <w:spacing w:line="240" w:lineRule="auto"/>
              <w:rPr>
                <w:color w:val="000000"/>
                <w:lang w:eastAsia="en-GB"/>
              </w:rPr>
            </w:pPr>
            <w:r w:rsidRPr="006128F6">
              <w:rPr>
                <w:color w:val="000000"/>
                <w:lang w:eastAsia="en-GB"/>
              </w:rPr>
              <w:t xml:space="preserve">Common </w:t>
            </w:r>
          </w:p>
        </w:tc>
      </w:tr>
      <w:tr w:rsidR="009C3080" w:rsidRPr="006128F6" w14:paraId="0B481B36" w14:textId="77777777" w:rsidTr="0032436C">
        <w:trPr>
          <w:cantSplit/>
        </w:trPr>
        <w:tc>
          <w:tcPr>
            <w:tcW w:w="1780" w:type="pct"/>
            <w:vMerge/>
            <w:shd w:val="clear" w:color="auto" w:fill="auto"/>
          </w:tcPr>
          <w:p w14:paraId="02C5D2E8" w14:textId="77777777" w:rsidR="009C3080" w:rsidRPr="006128F6" w:rsidRDefault="009C3080" w:rsidP="009C3080">
            <w:pPr>
              <w:spacing w:line="240" w:lineRule="auto"/>
              <w:rPr>
                <w:rFonts w:eastAsia="SimSun"/>
                <w:szCs w:val="22"/>
                <w:lang w:eastAsia="en-GB"/>
              </w:rPr>
            </w:pPr>
          </w:p>
        </w:tc>
        <w:tc>
          <w:tcPr>
            <w:tcW w:w="1797" w:type="pct"/>
            <w:shd w:val="clear" w:color="auto" w:fill="auto"/>
            <w:vAlign w:val="bottom"/>
          </w:tcPr>
          <w:p w14:paraId="7A38BF0E" w14:textId="77777777" w:rsidR="009C3080" w:rsidRPr="006128F6" w:rsidRDefault="009C3080" w:rsidP="009C3080">
            <w:pPr>
              <w:spacing w:line="240" w:lineRule="auto"/>
              <w:rPr>
                <w:color w:val="000000"/>
                <w:lang w:eastAsia="en-GB"/>
              </w:rPr>
            </w:pPr>
            <w:r w:rsidRPr="006128F6">
              <w:rPr>
                <w:color w:val="000000"/>
                <w:lang w:eastAsia="en-GB"/>
              </w:rPr>
              <w:t xml:space="preserve">Back pain </w:t>
            </w:r>
          </w:p>
        </w:tc>
        <w:tc>
          <w:tcPr>
            <w:tcW w:w="1423" w:type="pct"/>
            <w:shd w:val="clear" w:color="auto" w:fill="auto"/>
          </w:tcPr>
          <w:p w14:paraId="6E0685CE" w14:textId="77777777" w:rsidR="009C3080" w:rsidRPr="006128F6" w:rsidRDefault="009C3080" w:rsidP="009C3080">
            <w:pPr>
              <w:spacing w:line="240" w:lineRule="auto"/>
              <w:rPr>
                <w:color w:val="000000"/>
                <w:lang w:eastAsia="en-GB"/>
              </w:rPr>
            </w:pPr>
            <w:r w:rsidRPr="006128F6">
              <w:rPr>
                <w:color w:val="000000"/>
                <w:lang w:eastAsia="en-GB"/>
              </w:rPr>
              <w:t xml:space="preserve">Common </w:t>
            </w:r>
          </w:p>
        </w:tc>
      </w:tr>
      <w:tr w:rsidR="009C3080" w:rsidRPr="006128F6" w14:paraId="2879FC7C" w14:textId="77777777" w:rsidTr="0032436C">
        <w:trPr>
          <w:cantSplit/>
        </w:trPr>
        <w:tc>
          <w:tcPr>
            <w:tcW w:w="1780" w:type="pct"/>
            <w:vMerge/>
            <w:shd w:val="clear" w:color="auto" w:fill="auto"/>
          </w:tcPr>
          <w:p w14:paraId="6848A554" w14:textId="77777777" w:rsidR="009C3080" w:rsidRPr="006128F6" w:rsidRDefault="009C3080" w:rsidP="009C3080">
            <w:pPr>
              <w:spacing w:line="240" w:lineRule="auto"/>
              <w:rPr>
                <w:rFonts w:eastAsia="SimSun"/>
                <w:szCs w:val="22"/>
                <w:lang w:eastAsia="en-GB"/>
              </w:rPr>
            </w:pPr>
          </w:p>
        </w:tc>
        <w:tc>
          <w:tcPr>
            <w:tcW w:w="1797" w:type="pct"/>
            <w:shd w:val="clear" w:color="auto" w:fill="auto"/>
            <w:vAlign w:val="bottom"/>
          </w:tcPr>
          <w:p w14:paraId="45FB88FE" w14:textId="77777777" w:rsidR="009C3080" w:rsidRPr="006128F6" w:rsidRDefault="009C3080" w:rsidP="009C3080">
            <w:pPr>
              <w:spacing w:line="240" w:lineRule="auto"/>
              <w:rPr>
                <w:color w:val="000000"/>
                <w:lang w:eastAsia="en-GB"/>
              </w:rPr>
            </w:pPr>
            <w:r w:rsidRPr="006128F6">
              <w:rPr>
                <w:color w:val="000000"/>
                <w:lang w:eastAsia="en-GB"/>
              </w:rPr>
              <w:t xml:space="preserve">Bone pain </w:t>
            </w:r>
          </w:p>
        </w:tc>
        <w:tc>
          <w:tcPr>
            <w:tcW w:w="1423" w:type="pct"/>
            <w:shd w:val="clear" w:color="auto" w:fill="auto"/>
          </w:tcPr>
          <w:p w14:paraId="5DC34D51" w14:textId="77777777" w:rsidR="009C3080" w:rsidRPr="006128F6" w:rsidRDefault="009C3080" w:rsidP="009C3080">
            <w:pPr>
              <w:spacing w:line="240" w:lineRule="auto"/>
              <w:rPr>
                <w:color w:val="000000"/>
                <w:lang w:eastAsia="en-GB"/>
              </w:rPr>
            </w:pPr>
            <w:r w:rsidRPr="006128F6">
              <w:rPr>
                <w:color w:val="000000"/>
                <w:lang w:eastAsia="en-GB"/>
              </w:rPr>
              <w:t xml:space="preserve">Common </w:t>
            </w:r>
          </w:p>
        </w:tc>
      </w:tr>
      <w:tr w:rsidR="009C3080" w:rsidRPr="006128F6" w14:paraId="2EA18BEB" w14:textId="77777777" w:rsidTr="0032436C">
        <w:trPr>
          <w:cantSplit/>
        </w:trPr>
        <w:tc>
          <w:tcPr>
            <w:tcW w:w="1780" w:type="pct"/>
            <w:vMerge/>
            <w:shd w:val="clear" w:color="auto" w:fill="auto"/>
          </w:tcPr>
          <w:p w14:paraId="6AD7F5A3" w14:textId="77777777" w:rsidR="009C3080" w:rsidRPr="006128F6" w:rsidRDefault="009C3080" w:rsidP="009C3080">
            <w:pPr>
              <w:spacing w:line="240" w:lineRule="auto"/>
              <w:rPr>
                <w:rFonts w:eastAsia="SimSun"/>
                <w:szCs w:val="22"/>
                <w:lang w:eastAsia="en-GB"/>
              </w:rPr>
            </w:pPr>
          </w:p>
        </w:tc>
        <w:tc>
          <w:tcPr>
            <w:tcW w:w="1797" w:type="pct"/>
            <w:shd w:val="clear" w:color="auto" w:fill="auto"/>
            <w:vAlign w:val="bottom"/>
          </w:tcPr>
          <w:p w14:paraId="79F77130" w14:textId="77777777" w:rsidR="009C3080" w:rsidRPr="006128F6" w:rsidRDefault="009C3080" w:rsidP="009C3080">
            <w:pPr>
              <w:spacing w:line="240" w:lineRule="auto"/>
              <w:rPr>
                <w:color w:val="000000"/>
                <w:lang w:eastAsia="en-GB"/>
              </w:rPr>
            </w:pPr>
            <w:r w:rsidRPr="006128F6">
              <w:rPr>
                <w:color w:val="000000"/>
                <w:lang w:eastAsia="en-GB"/>
              </w:rPr>
              <w:t xml:space="preserve">Muscle spasms </w:t>
            </w:r>
          </w:p>
        </w:tc>
        <w:tc>
          <w:tcPr>
            <w:tcW w:w="1423" w:type="pct"/>
            <w:shd w:val="clear" w:color="auto" w:fill="auto"/>
          </w:tcPr>
          <w:p w14:paraId="24BE2BC3" w14:textId="77777777" w:rsidR="009C3080" w:rsidRPr="006128F6" w:rsidRDefault="009C3080" w:rsidP="009C3080">
            <w:pPr>
              <w:spacing w:line="240" w:lineRule="auto"/>
              <w:rPr>
                <w:color w:val="000000"/>
                <w:lang w:eastAsia="en-GB"/>
              </w:rPr>
            </w:pPr>
            <w:r w:rsidRPr="006128F6">
              <w:rPr>
                <w:color w:val="000000"/>
                <w:lang w:eastAsia="en-GB"/>
              </w:rPr>
              <w:t xml:space="preserve">Common </w:t>
            </w:r>
          </w:p>
        </w:tc>
      </w:tr>
      <w:tr w:rsidR="009C3080" w:rsidRPr="006128F6" w14:paraId="10EB5DC8" w14:textId="77777777" w:rsidTr="0032436C">
        <w:trPr>
          <w:cantSplit/>
        </w:trPr>
        <w:tc>
          <w:tcPr>
            <w:tcW w:w="1780" w:type="pct"/>
            <w:vMerge/>
            <w:shd w:val="clear" w:color="auto" w:fill="auto"/>
          </w:tcPr>
          <w:p w14:paraId="06817311" w14:textId="77777777" w:rsidR="009C3080" w:rsidRPr="006128F6" w:rsidRDefault="009C3080" w:rsidP="009C3080">
            <w:pPr>
              <w:spacing w:line="240" w:lineRule="auto"/>
              <w:rPr>
                <w:rFonts w:eastAsia="SimSun"/>
                <w:szCs w:val="22"/>
                <w:lang w:eastAsia="en-GB"/>
              </w:rPr>
            </w:pPr>
          </w:p>
        </w:tc>
        <w:tc>
          <w:tcPr>
            <w:tcW w:w="1797" w:type="pct"/>
            <w:shd w:val="clear" w:color="auto" w:fill="auto"/>
            <w:vAlign w:val="bottom"/>
          </w:tcPr>
          <w:p w14:paraId="2F280B99" w14:textId="77777777" w:rsidR="009C3080" w:rsidRPr="006128F6" w:rsidRDefault="009C3080" w:rsidP="009C3080">
            <w:pPr>
              <w:spacing w:line="240" w:lineRule="auto"/>
              <w:rPr>
                <w:color w:val="000000"/>
                <w:lang w:eastAsia="en-GB"/>
              </w:rPr>
            </w:pPr>
            <w:r w:rsidRPr="006128F6">
              <w:rPr>
                <w:color w:val="000000"/>
                <w:lang w:eastAsia="en-GB"/>
              </w:rPr>
              <w:t xml:space="preserve">Neck Pain </w:t>
            </w:r>
          </w:p>
        </w:tc>
        <w:tc>
          <w:tcPr>
            <w:tcW w:w="1423" w:type="pct"/>
            <w:shd w:val="clear" w:color="auto" w:fill="auto"/>
          </w:tcPr>
          <w:p w14:paraId="2E51BDCE" w14:textId="77777777" w:rsidR="009C3080" w:rsidRPr="006128F6" w:rsidRDefault="009C3080" w:rsidP="009C3080">
            <w:pPr>
              <w:spacing w:line="240" w:lineRule="auto"/>
              <w:rPr>
                <w:color w:val="000000"/>
                <w:lang w:eastAsia="en-GB"/>
              </w:rPr>
            </w:pPr>
            <w:r w:rsidRPr="006128F6">
              <w:rPr>
                <w:color w:val="000000"/>
                <w:lang w:eastAsia="en-GB"/>
              </w:rPr>
              <w:t xml:space="preserve">Common </w:t>
            </w:r>
          </w:p>
        </w:tc>
      </w:tr>
      <w:tr w:rsidR="009C3080" w:rsidRPr="006128F6" w14:paraId="103FE8C0" w14:textId="77777777" w:rsidTr="0032436C">
        <w:trPr>
          <w:cantSplit/>
        </w:trPr>
        <w:tc>
          <w:tcPr>
            <w:tcW w:w="1780" w:type="pct"/>
            <w:vMerge/>
            <w:shd w:val="clear" w:color="auto" w:fill="auto"/>
          </w:tcPr>
          <w:p w14:paraId="3079823F" w14:textId="77777777" w:rsidR="009C3080" w:rsidRPr="006128F6" w:rsidRDefault="009C3080" w:rsidP="009C3080">
            <w:pPr>
              <w:spacing w:line="240" w:lineRule="auto"/>
              <w:rPr>
                <w:rFonts w:eastAsia="SimSun"/>
                <w:szCs w:val="22"/>
                <w:lang w:eastAsia="en-GB"/>
              </w:rPr>
            </w:pPr>
          </w:p>
        </w:tc>
        <w:tc>
          <w:tcPr>
            <w:tcW w:w="1797" w:type="pct"/>
            <w:shd w:val="clear" w:color="auto" w:fill="auto"/>
            <w:vAlign w:val="bottom"/>
          </w:tcPr>
          <w:p w14:paraId="40867464" w14:textId="77777777" w:rsidR="009C3080" w:rsidRPr="006128F6" w:rsidRDefault="009C3080" w:rsidP="009C3080">
            <w:pPr>
              <w:spacing w:line="240" w:lineRule="auto"/>
              <w:rPr>
                <w:color w:val="000000"/>
                <w:lang w:eastAsia="en-GB"/>
              </w:rPr>
            </w:pPr>
            <w:r w:rsidRPr="006128F6">
              <w:rPr>
                <w:color w:val="000000"/>
                <w:lang w:eastAsia="en-GB"/>
              </w:rPr>
              <w:t xml:space="preserve">Pain in extremity </w:t>
            </w:r>
          </w:p>
        </w:tc>
        <w:tc>
          <w:tcPr>
            <w:tcW w:w="1423" w:type="pct"/>
            <w:shd w:val="clear" w:color="auto" w:fill="auto"/>
          </w:tcPr>
          <w:p w14:paraId="012C0170" w14:textId="77777777" w:rsidR="009C3080" w:rsidRPr="006128F6" w:rsidRDefault="009C3080" w:rsidP="009C3080">
            <w:pPr>
              <w:spacing w:line="240" w:lineRule="auto"/>
              <w:rPr>
                <w:color w:val="000000"/>
                <w:lang w:eastAsia="en-GB"/>
              </w:rPr>
            </w:pPr>
            <w:r w:rsidRPr="006128F6">
              <w:rPr>
                <w:color w:val="000000"/>
                <w:lang w:eastAsia="en-GB"/>
              </w:rPr>
              <w:t xml:space="preserve">Common </w:t>
            </w:r>
          </w:p>
        </w:tc>
      </w:tr>
      <w:tr w:rsidR="009C3080" w:rsidRPr="006128F6" w14:paraId="41004AC3" w14:textId="77777777" w:rsidTr="0032436C">
        <w:trPr>
          <w:cantSplit/>
        </w:trPr>
        <w:tc>
          <w:tcPr>
            <w:tcW w:w="1780" w:type="pct"/>
            <w:vMerge w:val="restart"/>
            <w:shd w:val="clear" w:color="auto" w:fill="auto"/>
          </w:tcPr>
          <w:p w14:paraId="7ED0D707" w14:textId="77777777" w:rsidR="009C3080" w:rsidRPr="006128F6" w:rsidRDefault="009C3080" w:rsidP="002634DD">
            <w:pPr>
              <w:keepNext/>
              <w:spacing w:line="240" w:lineRule="auto"/>
              <w:rPr>
                <w:szCs w:val="22"/>
              </w:rPr>
            </w:pPr>
            <w:r w:rsidRPr="006128F6">
              <w:rPr>
                <w:rFonts w:eastAsia="SimSun"/>
                <w:szCs w:val="22"/>
                <w:lang w:eastAsia="en-GB"/>
              </w:rPr>
              <w:t>Renal and urinary disorders</w:t>
            </w:r>
          </w:p>
        </w:tc>
        <w:tc>
          <w:tcPr>
            <w:tcW w:w="1797" w:type="pct"/>
            <w:shd w:val="clear" w:color="auto" w:fill="auto"/>
            <w:vAlign w:val="bottom"/>
          </w:tcPr>
          <w:p w14:paraId="2CD6259C" w14:textId="77777777" w:rsidR="009C3080" w:rsidRPr="006128F6" w:rsidRDefault="009C3080" w:rsidP="002634DD">
            <w:pPr>
              <w:keepNext/>
              <w:spacing w:line="240" w:lineRule="auto"/>
              <w:rPr>
                <w:color w:val="000000"/>
                <w:lang w:eastAsia="en-GB"/>
              </w:rPr>
            </w:pPr>
            <w:r w:rsidRPr="006128F6">
              <w:rPr>
                <w:color w:val="000000"/>
                <w:lang w:eastAsia="en-GB"/>
              </w:rPr>
              <w:t xml:space="preserve">Renal disorder </w:t>
            </w:r>
          </w:p>
        </w:tc>
        <w:tc>
          <w:tcPr>
            <w:tcW w:w="1423" w:type="pct"/>
            <w:shd w:val="clear" w:color="auto" w:fill="auto"/>
          </w:tcPr>
          <w:p w14:paraId="2E6DAFDC" w14:textId="77777777" w:rsidR="009C3080" w:rsidRPr="006128F6" w:rsidRDefault="009C3080" w:rsidP="009C3080">
            <w:pPr>
              <w:spacing w:line="240" w:lineRule="auto"/>
              <w:rPr>
                <w:color w:val="000000"/>
                <w:lang w:eastAsia="en-GB"/>
              </w:rPr>
            </w:pPr>
            <w:r w:rsidRPr="006128F6">
              <w:rPr>
                <w:color w:val="000000"/>
                <w:lang w:eastAsia="en-GB"/>
              </w:rPr>
              <w:t xml:space="preserve">Common </w:t>
            </w:r>
          </w:p>
        </w:tc>
      </w:tr>
      <w:tr w:rsidR="009C3080" w:rsidRPr="006128F6" w14:paraId="200D19DC" w14:textId="77777777" w:rsidTr="0032436C">
        <w:trPr>
          <w:cantSplit/>
        </w:trPr>
        <w:tc>
          <w:tcPr>
            <w:tcW w:w="1780" w:type="pct"/>
            <w:vMerge/>
            <w:shd w:val="clear" w:color="auto" w:fill="auto"/>
          </w:tcPr>
          <w:p w14:paraId="4340EB63" w14:textId="77777777" w:rsidR="009C3080" w:rsidRPr="006128F6" w:rsidRDefault="009C3080" w:rsidP="002634DD">
            <w:pPr>
              <w:keepNext/>
              <w:spacing w:line="240" w:lineRule="auto"/>
              <w:rPr>
                <w:rFonts w:eastAsia="SimSun"/>
                <w:szCs w:val="22"/>
                <w:lang w:eastAsia="en-GB"/>
              </w:rPr>
            </w:pPr>
          </w:p>
        </w:tc>
        <w:tc>
          <w:tcPr>
            <w:tcW w:w="1797" w:type="pct"/>
            <w:shd w:val="clear" w:color="auto" w:fill="auto"/>
            <w:vAlign w:val="bottom"/>
          </w:tcPr>
          <w:p w14:paraId="2C9318EC" w14:textId="77777777" w:rsidR="009C3080" w:rsidRPr="006128F6" w:rsidRDefault="009C3080" w:rsidP="002634DD">
            <w:pPr>
              <w:keepNext/>
              <w:spacing w:line="240" w:lineRule="auto"/>
              <w:rPr>
                <w:color w:val="000000"/>
                <w:lang w:eastAsia="en-GB"/>
              </w:rPr>
            </w:pPr>
            <w:r w:rsidRPr="006128F6">
              <w:rPr>
                <w:color w:val="000000"/>
                <w:lang w:eastAsia="en-GB"/>
              </w:rPr>
              <w:t xml:space="preserve">Glomerulonephritis membranous </w:t>
            </w:r>
          </w:p>
        </w:tc>
        <w:tc>
          <w:tcPr>
            <w:tcW w:w="1423" w:type="pct"/>
            <w:shd w:val="clear" w:color="auto" w:fill="auto"/>
          </w:tcPr>
          <w:p w14:paraId="222FD50D" w14:textId="77777777" w:rsidR="009C3080" w:rsidRPr="006128F6" w:rsidRDefault="009C3080" w:rsidP="009C3080">
            <w:pPr>
              <w:spacing w:line="240" w:lineRule="auto"/>
              <w:rPr>
                <w:color w:val="000000"/>
                <w:lang w:eastAsia="en-GB"/>
              </w:rPr>
            </w:pPr>
            <w:r w:rsidRPr="006128F6">
              <w:rPr>
                <w:color w:val="000000"/>
                <w:lang w:eastAsia="en-GB"/>
              </w:rPr>
              <w:t xml:space="preserve">Not known </w:t>
            </w:r>
          </w:p>
        </w:tc>
      </w:tr>
      <w:tr w:rsidR="009C3080" w:rsidRPr="006128F6" w14:paraId="432E2F37" w14:textId="77777777" w:rsidTr="0032436C">
        <w:trPr>
          <w:cantSplit/>
        </w:trPr>
        <w:tc>
          <w:tcPr>
            <w:tcW w:w="1780" w:type="pct"/>
            <w:vMerge/>
            <w:shd w:val="clear" w:color="auto" w:fill="auto"/>
          </w:tcPr>
          <w:p w14:paraId="31A5C100" w14:textId="77777777" w:rsidR="009C3080" w:rsidRPr="006128F6" w:rsidRDefault="009C3080" w:rsidP="009C3080">
            <w:pPr>
              <w:spacing w:line="240" w:lineRule="auto"/>
              <w:rPr>
                <w:rFonts w:eastAsia="SimSun"/>
                <w:szCs w:val="22"/>
                <w:lang w:eastAsia="en-GB"/>
              </w:rPr>
            </w:pPr>
          </w:p>
        </w:tc>
        <w:tc>
          <w:tcPr>
            <w:tcW w:w="1797" w:type="pct"/>
            <w:shd w:val="clear" w:color="auto" w:fill="auto"/>
            <w:vAlign w:val="bottom"/>
          </w:tcPr>
          <w:p w14:paraId="3EE9D9B1" w14:textId="77777777" w:rsidR="009C3080" w:rsidRPr="006128F6" w:rsidRDefault="009C3080" w:rsidP="009C3080">
            <w:pPr>
              <w:spacing w:line="240" w:lineRule="auto"/>
              <w:rPr>
                <w:color w:val="000000"/>
                <w:lang w:eastAsia="en-GB"/>
              </w:rPr>
            </w:pPr>
            <w:r w:rsidRPr="006128F6">
              <w:rPr>
                <w:color w:val="000000"/>
                <w:lang w:eastAsia="en-GB"/>
              </w:rPr>
              <w:t xml:space="preserve">Glomerulonephropathy </w:t>
            </w:r>
          </w:p>
        </w:tc>
        <w:tc>
          <w:tcPr>
            <w:tcW w:w="1423" w:type="pct"/>
            <w:shd w:val="clear" w:color="auto" w:fill="auto"/>
          </w:tcPr>
          <w:p w14:paraId="2C513A16" w14:textId="77777777" w:rsidR="009C3080" w:rsidRPr="006128F6" w:rsidRDefault="009C3080" w:rsidP="009C3080">
            <w:pPr>
              <w:spacing w:line="240" w:lineRule="auto"/>
              <w:rPr>
                <w:color w:val="000000"/>
                <w:lang w:eastAsia="en-GB"/>
              </w:rPr>
            </w:pPr>
            <w:r w:rsidRPr="006128F6">
              <w:rPr>
                <w:color w:val="000000"/>
                <w:lang w:eastAsia="en-GB"/>
              </w:rPr>
              <w:t xml:space="preserve">Not known </w:t>
            </w:r>
          </w:p>
        </w:tc>
      </w:tr>
      <w:tr w:rsidR="009C3080" w:rsidRPr="006128F6" w14:paraId="7465D73B" w14:textId="77777777" w:rsidTr="0032436C">
        <w:trPr>
          <w:cantSplit/>
        </w:trPr>
        <w:tc>
          <w:tcPr>
            <w:tcW w:w="1780" w:type="pct"/>
            <w:vMerge/>
            <w:shd w:val="clear" w:color="auto" w:fill="auto"/>
          </w:tcPr>
          <w:p w14:paraId="5DD626EC" w14:textId="77777777" w:rsidR="009C3080" w:rsidRPr="006128F6" w:rsidRDefault="009C3080" w:rsidP="009C3080">
            <w:pPr>
              <w:spacing w:line="240" w:lineRule="auto"/>
              <w:rPr>
                <w:rFonts w:eastAsia="SimSun"/>
                <w:szCs w:val="22"/>
                <w:lang w:eastAsia="en-GB"/>
              </w:rPr>
            </w:pPr>
          </w:p>
        </w:tc>
        <w:tc>
          <w:tcPr>
            <w:tcW w:w="1797" w:type="pct"/>
            <w:shd w:val="clear" w:color="auto" w:fill="auto"/>
            <w:vAlign w:val="bottom"/>
          </w:tcPr>
          <w:p w14:paraId="7BA012AF" w14:textId="77777777" w:rsidR="009C3080" w:rsidRPr="006128F6" w:rsidRDefault="009C3080" w:rsidP="009C3080">
            <w:pPr>
              <w:spacing w:line="240" w:lineRule="auto"/>
              <w:rPr>
                <w:color w:val="000000"/>
                <w:lang w:eastAsia="en-GB"/>
              </w:rPr>
            </w:pPr>
            <w:r w:rsidRPr="006128F6">
              <w:rPr>
                <w:color w:val="000000"/>
                <w:lang w:eastAsia="en-GB"/>
              </w:rPr>
              <w:t xml:space="preserve">Renal failure </w:t>
            </w:r>
          </w:p>
        </w:tc>
        <w:tc>
          <w:tcPr>
            <w:tcW w:w="1423" w:type="pct"/>
            <w:shd w:val="clear" w:color="auto" w:fill="auto"/>
          </w:tcPr>
          <w:p w14:paraId="46F9B371" w14:textId="77777777" w:rsidR="009C3080" w:rsidRPr="006128F6" w:rsidRDefault="009C3080" w:rsidP="009C3080">
            <w:pPr>
              <w:spacing w:line="240" w:lineRule="auto"/>
              <w:rPr>
                <w:color w:val="000000"/>
                <w:lang w:eastAsia="en-GB"/>
              </w:rPr>
            </w:pPr>
            <w:r w:rsidRPr="006128F6">
              <w:rPr>
                <w:color w:val="000000"/>
                <w:lang w:eastAsia="en-GB"/>
              </w:rPr>
              <w:t xml:space="preserve">Not known </w:t>
            </w:r>
          </w:p>
        </w:tc>
      </w:tr>
      <w:tr w:rsidR="009C3080" w:rsidRPr="006128F6" w14:paraId="762A4D00" w14:textId="77777777" w:rsidTr="0032436C">
        <w:trPr>
          <w:cantSplit/>
        </w:trPr>
        <w:tc>
          <w:tcPr>
            <w:tcW w:w="1780" w:type="pct"/>
            <w:vMerge w:val="restart"/>
            <w:shd w:val="clear" w:color="auto" w:fill="auto"/>
          </w:tcPr>
          <w:p w14:paraId="01FEE2D5" w14:textId="77777777" w:rsidR="009C3080" w:rsidRPr="006128F6" w:rsidRDefault="009C3080" w:rsidP="009C3080">
            <w:pPr>
              <w:spacing w:line="240" w:lineRule="auto"/>
              <w:rPr>
                <w:rFonts w:eastAsia="SimSun"/>
                <w:szCs w:val="22"/>
                <w:lang w:eastAsia="en-GB"/>
              </w:rPr>
            </w:pPr>
            <w:r w:rsidRPr="006128F6">
              <w:rPr>
                <w:color w:val="000000"/>
                <w:lang w:eastAsia="en-GB"/>
              </w:rPr>
              <w:t>Pregnancy, puerperium and perinatal conditions</w:t>
            </w:r>
          </w:p>
        </w:tc>
        <w:tc>
          <w:tcPr>
            <w:tcW w:w="1797" w:type="pct"/>
            <w:shd w:val="clear" w:color="auto" w:fill="auto"/>
            <w:vAlign w:val="bottom"/>
          </w:tcPr>
          <w:p w14:paraId="2A50A42D" w14:textId="77777777" w:rsidR="009C3080" w:rsidRPr="006128F6" w:rsidRDefault="009C3080" w:rsidP="009C3080">
            <w:pPr>
              <w:spacing w:line="240" w:lineRule="auto"/>
              <w:rPr>
                <w:color w:val="000000"/>
                <w:lang w:eastAsia="en-GB"/>
              </w:rPr>
            </w:pPr>
            <w:r w:rsidRPr="006128F6">
              <w:rPr>
                <w:color w:val="000000"/>
                <w:lang w:eastAsia="en-GB"/>
              </w:rPr>
              <w:t xml:space="preserve">Oligohydramnios </w:t>
            </w:r>
          </w:p>
        </w:tc>
        <w:tc>
          <w:tcPr>
            <w:tcW w:w="1423" w:type="pct"/>
            <w:shd w:val="clear" w:color="auto" w:fill="auto"/>
          </w:tcPr>
          <w:p w14:paraId="72B71EED" w14:textId="77777777" w:rsidR="009C3080" w:rsidRPr="006128F6" w:rsidRDefault="009C3080" w:rsidP="009C3080">
            <w:pPr>
              <w:spacing w:line="240" w:lineRule="auto"/>
              <w:rPr>
                <w:color w:val="000000"/>
                <w:lang w:eastAsia="en-GB"/>
              </w:rPr>
            </w:pPr>
            <w:r w:rsidRPr="006128F6">
              <w:rPr>
                <w:color w:val="000000"/>
                <w:lang w:eastAsia="en-GB"/>
              </w:rPr>
              <w:t xml:space="preserve">Not known </w:t>
            </w:r>
          </w:p>
        </w:tc>
      </w:tr>
      <w:tr w:rsidR="009C3080" w:rsidRPr="006128F6" w14:paraId="20778B2D" w14:textId="77777777" w:rsidTr="0032436C">
        <w:trPr>
          <w:cantSplit/>
        </w:trPr>
        <w:tc>
          <w:tcPr>
            <w:tcW w:w="1780" w:type="pct"/>
            <w:vMerge/>
            <w:shd w:val="clear" w:color="auto" w:fill="auto"/>
          </w:tcPr>
          <w:p w14:paraId="4FD8F036" w14:textId="77777777" w:rsidR="009C3080" w:rsidRPr="006128F6" w:rsidRDefault="009C3080" w:rsidP="009C3080">
            <w:pPr>
              <w:spacing w:line="240" w:lineRule="auto"/>
              <w:rPr>
                <w:color w:val="000000"/>
                <w:lang w:eastAsia="en-GB"/>
              </w:rPr>
            </w:pPr>
          </w:p>
        </w:tc>
        <w:tc>
          <w:tcPr>
            <w:tcW w:w="1797" w:type="pct"/>
            <w:shd w:val="clear" w:color="auto" w:fill="auto"/>
            <w:vAlign w:val="bottom"/>
          </w:tcPr>
          <w:p w14:paraId="50842128" w14:textId="77777777" w:rsidR="009C3080" w:rsidRPr="006128F6" w:rsidRDefault="009C3080" w:rsidP="009C3080">
            <w:pPr>
              <w:spacing w:line="240" w:lineRule="auto"/>
              <w:rPr>
                <w:color w:val="000000"/>
                <w:lang w:eastAsia="en-GB"/>
              </w:rPr>
            </w:pPr>
            <w:r w:rsidRPr="006128F6">
              <w:rPr>
                <w:color w:val="000000"/>
                <w:lang w:eastAsia="en-GB"/>
              </w:rPr>
              <w:t xml:space="preserve">Renal hypoplasia </w:t>
            </w:r>
          </w:p>
        </w:tc>
        <w:tc>
          <w:tcPr>
            <w:tcW w:w="1423" w:type="pct"/>
            <w:shd w:val="clear" w:color="auto" w:fill="auto"/>
          </w:tcPr>
          <w:p w14:paraId="77F8D7B1" w14:textId="77777777" w:rsidR="009C3080" w:rsidRPr="006128F6" w:rsidRDefault="009C3080" w:rsidP="009C3080">
            <w:pPr>
              <w:spacing w:line="240" w:lineRule="auto"/>
              <w:rPr>
                <w:color w:val="000000"/>
                <w:lang w:eastAsia="en-GB"/>
              </w:rPr>
            </w:pPr>
            <w:r w:rsidRPr="006128F6">
              <w:rPr>
                <w:color w:val="000000"/>
                <w:lang w:eastAsia="en-GB"/>
              </w:rPr>
              <w:t xml:space="preserve">Not known </w:t>
            </w:r>
          </w:p>
        </w:tc>
      </w:tr>
      <w:tr w:rsidR="009C3080" w:rsidRPr="006128F6" w14:paraId="18ABAC42" w14:textId="77777777" w:rsidTr="0032436C">
        <w:trPr>
          <w:cantSplit/>
        </w:trPr>
        <w:tc>
          <w:tcPr>
            <w:tcW w:w="1780" w:type="pct"/>
            <w:vMerge/>
            <w:shd w:val="clear" w:color="auto" w:fill="auto"/>
          </w:tcPr>
          <w:p w14:paraId="25230A27" w14:textId="77777777" w:rsidR="009C3080" w:rsidRPr="006128F6" w:rsidRDefault="009C3080" w:rsidP="009C3080">
            <w:pPr>
              <w:spacing w:line="240" w:lineRule="auto"/>
              <w:rPr>
                <w:color w:val="000000"/>
                <w:lang w:eastAsia="en-GB"/>
              </w:rPr>
            </w:pPr>
          </w:p>
        </w:tc>
        <w:tc>
          <w:tcPr>
            <w:tcW w:w="1797" w:type="pct"/>
            <w:shd w:val="clear" w:color="auto" w:fill="auto"/>
            <w:vAlign w:val="bottom"/>
          </w:tcPr>
          <w:p w14:paraId="4C49349D" w14:textId="77777777" w:rsidR="009C3080" w:rsidRPr="006128F6" w:rsidRDefault="009C3080" w:rsidP="009C3080">
            <w:pPr>
              <w:spacing w:line="240" w:lineRule="auto"/>
              <w:rPr>
                <w:color w:val="000000"/>
                <w:lang w:eastAsia="en-GB"/>
              </w:rPr>
            </w:pPr>
            <w:r w:rsidRPr="006128F6">
              <w:rPr>
                <w:color w:val="000000"/>
                <w:lang w:eastAsia="en-GB"/>
              </w:rPr>
              <w:t xml:space="preserve">Pulmonary hypoplasia </w:t>
            </w:r>
          </w:p>
        </w:tc>
        <w:tc>
          <w:tcPr>
            <w:tcW w:w="1423" w:type="pct"/>
            <w:shd w:val="clear" w:color="auto" w:fill="auto"/>
          </w:tcPr>
          <w:p w14:paraId="2F743896" w14:textId="77777777" w:rsidR="009C3080" w:rsidRPr="006128F6" w:rsidRDefault="009C3080" w:rsidP="009C3080">
            <w:pPr>
              <w:spacing w:line="240" w:lineRule="auto"/>
              <w:rPr>
                <w:color w:val="000000"/>
                <w:lang w:eastAsia="en-GB"/>
              </w:rPr>
            </w:pPr>
            <w:r w:rsidRPr="006128F6">
              <w:rPr>
                <w:color w:val="000000"/>
                <w:lang w:eastAsia="en-GB"/>
              </w:rPr>
              <w:t xml:space="preserve">Not known </w:t>
            </w:r>
          </w:p>
        </w:tc>
      </w:tr>
      <w:tr w:rsidR="009C3080" w:rsidRPr="006128F6" w14:paraId="7D515BB8" w14:textId="77777777" w:rsidTr="0032436C">
        <w:trPr>
          <w:cantSplit/>
        </w:trPr>
        <w:tc>
          <w:tcPr>
            <w:tcW w:w="1780" w:type="pct"/>
            <w:shd w:val="clear" w:color="auto" w:fill="auto"/>
          </w:tcPr>
          <w:p w14:paraId="0CFC2AAF" w14:textId="77777777" w:rsidR="009C3080" w:rsidRPr="006128F6" w:rsidRDefault="009C3080" w:rsidP="009C3080">
            <w:pPr>
              <w:spacing w:line="240" w:lineRule="auto"/>
              <w:rPr>
                <w:rFonts w:eastAsia="SimSun"/>
                <w:szCs w:val="22"/>
                <w:lang w:eastAsia="en-GB"/>
              </w:rPr>
            </w:pPr>
            <w:r w:rsidRPr="006128F6">
              <w:rPr>
                <w:color w:val="000000"/>
                <w:lang w:eastAsia="en-GB"/>
              </w:rPr>
              <w:t>Reproductive system and breast disorders</w:t>
            </w:r>
          </w:p>
        </w:tc>
        <w:tc>
          <w:tcPr>
            <w:tcW w:w="1797" w:type="pct"/>
            <w:shd w:val="clear" w:color="auto" w:fill="auto"/>
          </w:tcPr>
          <w:p w14:paraId="40FE32B9" w14:textId="77777777" w:rsidR="009C3080" w:rsidRPr="006128F6" w:rsidRDefault="009C3080" w:rsidP="009C3080">
            <w:pPr>
              <w:spacing w:line="240" w:lineRule="auto"/>
              <w:rPr>
                <w:color w:val="000000"/>
                <w:lang w:eastAsia="en-GB"/>
              </w:rPr>
            </w:pPr>
            <w:r w:rsidRPr="006128F6">
              <w:rPr>
                <w:color w:val="000000"/>
                <w:lang w:eastAsia="en-GB"/>
              </w:rPr>
              <w:t>Breast inflammation/mastitis</w:t>
            </w:r>
          </w:p>
        </w:tc>
        <w:tc>
          <w:tcPr>
            <w:tcW w:w="1423" w:type="pct"/>
            <w:shd w:val="clear" w:color="auto" w:fill="auto"/>
          </w:tcPr>
          <w:p w14:paraId="72ECB10E" w14:textId="77777777" w:rsidR="009C3080" w:rsidRPr="006128F6" w:rsidRDefault="009C3080" w:rsidP="009C3080">
            <w:pPr>
              <w:spacing w:line="240" w:lineRule="auto"/>
              <w:rPr>
                <w:color w:val="000000"/>
                <w:lang w:eastAsia="en-GB"/>
              </w:rPr>
            </w:pPr>
            <w:r w:rsidRPr="006128F6">
              <w:rPr>
                <w:color w:val="000000"/>
                <w:lang w:eastAsia="en-GB"/>
              </w:rPr>
              <w:t>Common</w:t>
            </w:r>
          </w:p>
        </w:tc>
      </w:tr>
      <w:tr w:rsidR="009C3080" w:rsidRPr="006128F6" w14:paraId="5C790261" w14:textId="77777777" w:rsidTr="0032436C">
        <w:trPr>
          <w:cantSplit/>
        </w:trPr>
        <w:tc>
          <w:tcPr>
            <w:tcW w:w="1780" w:type="pct"/>
            <w:vMerge w:val="restart"/>
            <w:shd w:val="clear" w:color="auto" w:fill="auto"/>
          </w:tcPr>
          <w:p w14:paraId="3538A8F1" w14:textId="77777777" w:rsidR="009C3080" w:rsidRPr="006128F6" w:rsidRDefault="009C3080" w:rsidP="009C3080">
            <w:pPr>
              <w:keepNext/>
              <w:spacing w:line="240" w:lineRule="auto"/>
              <w:rPr>
                <w:szCs w:val="22"/>
              </w:rPr>
            </w:pPr>
            <w:r w:rsidRPr="006128F6">
              <w:rPr>
                <w:szCs w:val="22"/>
              </w:rPr>
              <w:lastRenderedPageBreak/>
              <w:t>General disorders and administration site conditions</w:t>
            </w:r>
          </w:p>
        </w:tc>
        <w:tc>
          <w:tcPr>
            <w:tcW w:w="1797" w:type="pct"/>
            <w:shd w:val="clear" w:color="auto" w:fill="auto"/>
            <w:vAlign w:val="bottom"/>
          </w:tcPr>
          <w:p w14:paraId="59B5EC35" w14:textId="77777777" w:rsidR="009C3080" w:rsidRPr="006128F6" w:rsidRDefault="009C3080" w:rsidP="009C3080">
            <w:pPr>
              <w:keepNext/>
              <w:spacing w:line="240" w:lineRule="auto"/>
              <w:rPr>
                <w:color w:val="000000"/>
                <w:lang w:eastAsia="en-GB"/>
              </w:rPr>
            </w:pPr>
            <w:r w:rsidRPr="006128F6">
              <w:t>Asthenia</w:t>
            </w:r>
          </w:p>
        </w:tc>
        <w:tc>
          <w:tcPr>
            <w:tcW w:w="1423" w:type="pct"/>
            <w:shd w:val="clear" w:color="auto" w:fill="auto"/>
          </w:tcPr>
          <w:p w14:paraId="3333921C" w14:textId="77777777" w:rsidR="009C3080" w:rsidRPr="006128F6" w:rsidRDefault="009C3080" w:rsidP="009C3080">
            <w:pPr>
              <w:keepNext/>
              <w:spacing w:line="240" w:lineRule="auto"/>
              <w:rPr>
                <w:color w:val="000000"/>
                <w:lang w:eastAsia="en-GB"/>
              </w:rPr>
            </w:pPr>
            <w:r w:rsidRPr="006128F6">
              <w:t>Very common</w:t>
            </w:r>
          </w:p>
        </w:tc>
      </w:tr>
      <w:tr w:rsidR="009C3080" w:rsidRPr="006128F6" w14:paraId="184E119F" w14:textId="77777777" w:rsidTr="0032436C">
        <w:trPr>
          <w:cantSplit/>
        </w:trPr>
        <w:tc>
          <w:tcPr>
            <w:tcW w:w="1780" w:type="pct"/>
            <w:vMerge/>
            <w:shd w:val="clear" w:color="auto" w:fill="auto"/>
          </w:tcPr>
          <w:p w14:paraId="295D24A6" w14:textId="77777777" w:rsidR="009C3080" w:rsidRPr="006128F6" w:rsidRDefault="009C3080" w:rsidP="009C3080">
            <w:pPr>
              <w:keepNext/>
              <w:spacing w:line="240" w:lineRule="auto"/>
              <w:rPr>
                <w:szCs w:val="22"/>
              </w:rPr>
            </w:pPr>
          </w:p>
        </w:tc>
        <w:tc>
          <w:tcPr>
            <w:tcW w:w="1797" w:type="pct"/>
            <w:shd w:val="clear" w:color="auto" w:fill="auto"/>
            <w:vAlign w:val="bottom"/>
          </w:tcPr>
          <w:p w14:paraId="7553ACDF" w14:textId="77777777" w:rsidR="009C3080" w:rsidRPr="006128F6" w:rsidRDefault="009C3080" w:rsidP="009C3080">
            <w:pPr>
              <w:keepNext/>
              <w:spacing w:line="240" w:lineRule="auto"/>
              <w:rPr>
                <w:color w:val="000000"/>
                <w:lang w:eastAsia="en-GB"/>
              </w:rPr>
            </w:pPr>
            <w:r w:rsidRPr="006128F6">
              <w:t>Chest pain</w:t>
            </w:r>
          </w:p>
        </w:tc>
        <w:tc>
          <w:tcPr>
            <w:tcW w:w="1423" w:type="pct"/>
            <w:shd w:val="clear" w:color="auto" w:fill="auto"/>
          </w:tcPr>
          <w:p w14:paraId="261BEC89" w14:textId="77777777" w:rsidR="009C3080" w:rsidRPr="006128F6" w:rsidRDefault="009C3080" w:rsidP="009C3080">
            <w:pPr>
              <w:keepNext/>
              <w:spacing w:line="240" w:lineRule="auto"/>
              <w:rPr>
                <w:color w:val="000000"/>
                <w:lang w:eastAsia="en-GB"/>
              </w:rPr>
            </w:pPr>
            <w:r w:rsidRPr="006128F6">
              <w:t>Very common</w:t>
            </w:r>
          </w:p>
        </w:tc>
      </w:tr>
      <w:tr w:rsidR="009C3080" w:rsidRPr="006128F6" w14:paraId="62FDA404" w14:textId="77777777" w:rsidTr="0032436C">
        <w:trPr>
          <w:cantSplit/>
        </w:trPr>
        <w:tc>
          <w:tcPr>
            <w:tcW w:w="1780" w:type="pct"/>
            <w:vMerge/>
            <w:shd w:val="clear" w:color="auto" w:fill="auto"/>
          </w:tcPr>
          <w:p w14:paraId="0606D00A" w14:textId="77777777" w:rsidR="009C3080" w:rsidRPr="006128F6" w:rsidRDefault="009C3080" w:rsidP="009C3080">
            <w:pPr>
              <w:keepNext/>
              <w:spacing w:line="240" w:lineRule="auto"/>
              <w:rPr>
                <w:szCs w:val="22"/>
              </w:rPr>
            </w:pPr>
          </w:p>
        </w:tc>
        <w:tc>
          <w:tcPr>
            <w:tcW w:w="1797" w:type="pct"/>
            <w:shd w:val="clear" w:color="auto" w:fill="auto"/>
            <w:vAlign w:val="bottom"/>
          </w:tcPr>
          <w:p w14:paraId="4E67C9DA" w14:textId="77777777" w:rsidR="009C3080" w:rsidRPr="006128F6" w:rsidRDefault="009C3080" w:rsidP="009C3080">
            <w:pPr>
              <w:keepNext/>
              <w:spacing w:line="240" w:lineRule="auto"/>
              <w:rPr>
                <w:color w:val="000000"/>
                <w:lang w:eastAsia="en-GB"/>
              </w:rPr>
            </w:pPr>
            <w:r w:rsidRPr="006128F6">
              <w:rPr>
                <w:color w:val="000000"/>
                <w:lang w:eastAsia="en-GB"/>
              </w:rPr>
              <w:t xml:space="preserve">Chills </w:t>
            </w:r>
          </w:p>
        </w:tc>
        <w:tc>
          <w:tcPr>
            <w:tcW w:w="1423" w:type="pct"/>
            <w:shd w:val="clear" w:color="auto" w:fill="auto"/>
          </w:tcPr>
          <w:p w14:paraId="7EB78F33" w14:textId="77777777" w:rsidR="009C3080" w:rsidRPr="006128F6" w:rsidRDefault="009C3080" w:rsidP="009C3080">
            <w:pPr>
              <w:keepNext/>
              <w:spacing w:line="240" w:lineRule="auto"/>
              <w:rPr>
                <w:color w:val="000000"/>
                <w:lang w:eastAsia="en-GB"/>
              </w:rPr>
            </w:pPr>
            <w:r w:rsidRPr="006128F6">
              <w:rPr>
                <w:color w:val="000000"/>
                <w:lang w:eastAsia="en-GB"/>
              </w:rPr>
              <w:t xml:space="preserve">Very common </w:t>
            </w:r>
          </w:p>
        </w:tc>
      </w:tr>
      <w:tr w:rsidR="009C3080" w:rsidRPr="006128F6" w14:paraId="189FB416" w14:textId="77777777" w:rsidTr="0032436C">
        <w:trPr>
          <w:cantSplit/>
        </w:trPr>
        <w:tc>
          <w:tcPr>
            <w:tcW w:w="1780" w:type="pct"/>
            <w:vMerge/>
            <w:shd w:val="clear" w:color="auto" w:fill="auto"/>
          </w:tcPr>
          <w:p w14:paraId="378A1D79" w14:textId="77777777" w:rsidR="009C3080" w:rsidRPr="006128F6" w:rsidRDefault="009C3080" w:rsidP="009C3080">
            <w:pPr>
              <w:spacing w:line="240" w:lineRule="auto"/>
              <w:rPr>
                <w:szCs w:val="22"/>
              </w:rPr>
            </w:pPr>
          </w:p>
        </w:tc>
        <w:tc>
          <w:tcPr>
            <w:tcW w:w="1797" w:type="pct"/>
            <w:shd w:val="clear" w:color="auto" w:fill="auto"/>
            <w:vAlign w:val="bottom"/>
          </w:tcPr>
          <w:p w14:paraId="489973A3" w14:textId="77777777" w:rsidR="009C3080" w:rsidRPr="006128F6" w:rsidRDefault="009C3080" w:rsidP="009C3080">
            <w:pPr>
              <w:spacing w:line="240" w:lineRule="auto"/>
              <w:rPr>
                <w:color w:val="000000"/>
                <w:lang w:eastAsia="en-GB"/>
              </w:rPr>
            </w:pPr>
            <w:r w:rsidRPr="006128F6">
              <w:rPr>
                <w:color w:val="000000"/>
                <w:lang w:eastAsia="en-GB"/>
              </w:rPr>
              <w:t xml:space="preserve">Fatigue </w:t>
            </w:r>
          </w:p>
        </w:tc>
        <w:tc>
          <w:tcPr>
            <w:tcW w:w="1423" w:type="pct"/>
            <w:shd w:val="clear" w:color="auto" w:fill="auto"/>
          </w:tcPr>
          <w:p w14:paraId="41F61566" w14:textId="77777777" w:rsidR="009C3080" w:rsidRPr="006128F6" w:rsidRDefault="009C3080" w:rsidP="009C3080">
            <w:pPr>
              <w:spacing w:line="240" w:lineRule="auto"/>
              <w:rPr>
                <w:color w:val="000000"/>
                <w:lang w:eastAsia="en-GB"/>
              </w:rPr>
            </w:pPr>
            <w:r w:rsidRPr="006128F6">
              <w:rPr>
                <w:color w:val="000000"/>
                <w:lang w:eastAsia="en-GB"/>
              </w:rPr>
              <w:t xml:space="preserve">Very common </w:t>
            </w:r>
          </w:p>
        </w:tc>
      </w:tr>
      <w:tr w:rsidR="009C3080" w:rsidRPr="006128F6" w14:paraId="7322DCCB" w14:textId="77777777" w:rsidTr="0032436C">
        <w:trPr>
          <w:cantSplit/>
        </w:trPr>
        <w:tc>
          <w:tcPr>
            <w:tcW w:w="1780" w:type="pct"/>
            <w:vMerge/>
            <w:shd w:val="clear" w:color="auto" w:fill="auto"/>
          </w:tcPr>
          <w:p w14:paraId="41CC7527" w14:textId="77777777" w:rsidR="009C3080" w:rsidRPr="006128F6" w:rsidRDefault="009C3080" w:rsidP="009C3080">
            <w:pPr>
              <w:spacing w:line="240" w:lineRule="auto"/>
              <w:rPr>
                <w:szCs w:val="22"/>
              </w:rPr>
            </w:pPr>
          </w:p>
        </w:tc>
        <w:tc>
          <w:tcPr>
            <w:tcW w:w="1797" w:type="pct"/>
            <w:shd w:val="clear" w:color="auto" w:fill="auto"/>
            <w:vAlign w:val="bottom"/>
          </w:tcPr>
          <w:p w14:paraId="5BB725BE" w14:textId="77777777" w:rsidR="009C3080" w:rsidRPr="006128F6" w:rsidRDefault="009C3080" w:rsidP="009C3080">
            <w:pPr>
              <w:spacing w:line="240" w:lineRule="auto"/>
              <w:rPr>
                <w:color w:val="000000"/>
                <w:lang w:eastAsia="en-GB"/>
              </w:rPr>
            </w:pPr>
            <w:r w:rsidRPr="006128F6">
              <w:rPr>
                <w:color w:val="000000"/>
                <w:lang w:eastAsia="en-GB"/>
              </w:rPr>
              <w:t xml:space="preserve">Influenza-like symptoms </w:t>
            </w:r>
          </w:p>
        </w:tc>
        <w:tc>
          <w:tcPr>
            <w:tcW w:w="1423" w:type="pct"/>
            <w:shd w:val="clear" w:color="auto" w:fill="auto"/>
          </w:tcPr>
          <w:p w14:paraId="1C2FDC4B" w14:textId="77777777" w:rsidR="009C3080" w:rsidRPr="006128F6" w:rsidRDefault="009C3080" w:rsidP="009C3080">
            <w:pPr>
              <w:spacing w:line="240" w:lineRule="auto"/>
              <w:rPr>
                <w:color w:val="000000"/>
                <w:lang w:eastAsia="en-GB"/>
              </w:rPr>
            </w:pPr>
            <w:r w:rsidRPr="006128F6">
              <w:rPr>
                <w:color w:val="000000"/>
                <w:lang w:eastAsia="en-GB"/>
              </w:rPr>
              <w:t xml:space="preserve">Very common </w:t>
            </w:r>
          </w:p>
        </w:tc>
      </w:tr>
      <w:tr w:rsidR="009C3080" w:rsidRPr="006128F6" w14:paraId="672031FE" w14:textId="77777777" w:rsidTr="0032436C">
        <w:trPr>
          <w:cantSplit/>
        </w:trPr>
        <w:tc>
          <w:tcPr>
            <w:tcW w:w="1780" w:type="pct"/>
            <w:vMerge/>
            <w:shd w:val="clear" w:color="auto" w:fill="auto"/>
          </w:tcPr>
          <w:p w14:paraId="1B7D56C1" w14:textId="77777777" w:rsidR="009C3080" w:rsidRPr="006128F6" w:rsidRDefault="009C3080" w:rsidP="009C3080">
            <w:pPr>
              <w:spacing w:line="240" w:lineRule="auto"/>
              <w:rPr>
                <w:szCs w:val="22"/>
              </w:rPr>
            </w:pPr>
          </w:p>
        </w:tc>
        <w:tc>
          <w:tcPr>
            <w:tcW w:w="1797" w:type="pct"/>
            <w:shd w:val="clear" w:color="auto" w:fill="auto"/>
            <w:vAlign w:val="bottom"/>
          </w:tcPr>
          <w:p w14:paraId="3275D918" w14:textId="2499E945" w:rsidR="009C3080" w:rsidRPr="006128F6" w:rsidRDefault="009C3080" w:rsidP="009C3080">
            <w:pPr>
              <w:spacing w:line="240" w:lineRule="auto"/>
              <w:rPr>
                <w:color w:val="000000"/>
                <w:lang w:eastAsia="en-GB"/>
              </w:rPr>
            </w:pPr>
            <w:r w:rsidRPr="006128F6">
              <w:rPr>
                <w:color w:val="000000"/>
                <w:lang w:eastAsia="en-GB"/>
              </w:rPr>
              <w:t xml:space="preserve">Infusion-related reaction </w:t>
            </w:r>
          </w:p>
        </w:tc>
        <w:tc>
          <w:tcPr>
            <w:tcW w:w="1423" w:type="pct"/>
            <w:shd w:val="clear" w:color="auto" w:fill="auto"/>
          </w:tcPr>
          <w:p w14:paraId="6E164349" w14:textId="77777777" w:rsidR="009C3080" w:rsidRPr="006128F6" w:rsidRDefault="009C3080" w:rsidP="009C3080">
            <w:pPr>
              <w:spacing w:line="240" w:lineRule="auto"/>
              <w:rPr>
                <w:color w:val="000000"/>
                <w:lang w:eastAsia="en-GB"/>
              </w:rPr>
            </w:pPr>
            <w:r w:rsidRPr="006128F6">
              <w:rPr>
                <w:color w:val="000000"/>
                <w:lang w:eastAsia="en-GB"/>
              </w:rPr>
              <w:t xml:space="preserve">Very common </w:t>
            </w:r>
          </w:p>
        </w:tc>
      </w:tr>
      <w:tr w:rsidR="009C3080" w:rsidRPr="006128F6" w14:paraId="7B42A2EC" w14:textId="77777777" w:rsidTr="0032436C">
        <w:trPr>
          <w:cantSplit/>
        </w:trPr>
        <w:tc>
          <w:tcPr>
            <w:tcW w:w="1780" w:type="pct"/>
            <w:vMerge/>
            <w:shd w:val="clear" w:color="auto" w:fill="auto"/>
          </w:tcPr>
          <w:p w14:paraId="592ABB75" w14:textId="77777777" w:rsidR="009C3080" w:rsidRPr="006128F6" w:rsidRDefault="009C3080" w:rsidP="009C3080">
            <w:pPr>
              <w:spacing w:line="240" w:lineRule="auto"/>
              <w:rPr>
                <w:szCs w:val="22"/>
              </w:rPr>
            </w:pPr>
          </w:p>
        </w:tc>
        <w:tc>
          <w:tcPr>
            <w:tcW w:w="1797" w:type="pct"/>
            <w:shd w:val="clear" w:color="auto" w:fill="auto"/>
            <w:vAlign w:val="bottom"/>
          </w:tcPr>
          <w:p w14:paraId="57665DB4" w14:textId="77777777" w:rsidR="009C3080" w:rsidRPr="006128F6" w:rsidRDefault="009C3080" w:rsidP="009C3080">
            <w:pPr>
              <w:spacing w:line="240" w:lineRule="auto"/>
              <w:rPr>
                <w:color w:val="000000"/>
                <w:lang w:eastAsia="en-GB"/>
              </w:rPr>
            </w:pPr>
            <w:r w:rsidRPr="006128F6">
              <w:rPr>
                <w:color w:val="000000"/>
                <w:lang w:eastAsia="en-GB"/>
              </w:rPr>
              <w:t xml:space="preserve">Pain </w:t>
            </w:r>
          </w:p>
        </w:tc>
        <w:tc>
          <w:tcPr>
            <w:tcW w:w="1423" w:type="pct"/>
            <w:shd w:val="clear" w:color="auto" w:fill="auto"/>
          </w:tcPr>
          <w:p w14:paraId="0D25B94E" w14:textId="77777777" w:rsidR="009C3080" w:rsidRPr="006128F6" w:rsidRDefault="009C3080" w:rsidP="009C3080">
            <w:pPr>
              <w:spacing w:line="240" w:lineRule="auto"/>
              <w:rPr>
                <w:color w:val="000000"/>
                <w:lang w:eastAsia="en-GB"/>
              </w:rPr>
            </w:pPr>
            <w:r w:rsidRPr="006128F6">
              <w:rPr>
                <w:color w:val="000000"/>
                <w:lang w:eastAsia="en-GB"/>
              </w:rPr>
              <w:t xml:space="preserve">Very common </w:t>
            </w:r>
          </w:p>
        </w:tc>
      </w:tr>
      <w:tr w:rsidR="009C3080" w:rsidRPr="006128F6" w14:paraId="7C46BD37" w14:textId="77777777" w:rsidTr="0032436C">
        <w:trPr>
          <w:cantSplit/>
        </w:trPr>
        <w:tc>
          <w:tcPr>
            <w:tcW w:w="1780" w:type="pct"/>
            <w:vMerge/>
            <w:shd w:val="clear" w:color="auto" w:fill="auto"/>
          </w:tcPr>
          <w:p w14:paraId="467143C6" w14:textId="77777777" w:rsidR="009C3080" w:rsidRPr="006128F6" w:rsidRDefault="009C3080" w:rsidP="009C3080">
            <w:pPr>
              <w:spacing w:line="240" w:lineRule="auto"/>
              <w:rPr>
                <w:szCs w:val="22"/>
              </w:rPr>
            </w:pPr>
          </w:p>
        </w:tc>
        <w:tc>
          <w:tcPr>
            <w:tcW w:w="1797" w:type="pct"/>
            <w:shd w:val="clear" w:color="auto" w:fill="auto"/>
            <w:vAlign w:val="bottom"/>
          </w:tcPr>
          <w:p w14:paraId="0241EF81" w14:textId="77777777" w:rsidR="009C3080" w:rsidRPr="006128F6" w:rsidRDefault="009C3080" w:rsidP="009C3080">
            <w:pPr>
              <w:spacing w:line="240" w:lineRule="auto"/>
              <w:rPr>
                <w:color w:val="000000"/>
                <w:lang w:eastAsia="en-GB"/>
              </w:rPr>
            </w:pPr>
            <w:r w:rsidRPr="006128F6">
              <w:rPr>
                <w:color w:val="000000"/>
                <w:lang w:eastAsia="en-GB"/>
              </w:rPr>
              <w:t xml:space="preserve">Pyrexia </w:t>
            </w:r>
          </w:p>
        </w:tc>
        <w:tc>
          <w:tcPr>
            <w:tcW w:w="1423" w:type="pct"/>
            <w:shd w:val="clear" w:color="auto" w:fill="auto"/>
          </w:tcPr>
          <w:p w14:paraId="368DE2E8" w14:textId="77777777" w:rsidR="009C3080" w:rsidRPr="006128F6" w:rsidRDefault="009C3080" w:rsidP="009C3080">
            <w:pPr>
              <w:spacing w:line="240" w:lineRule="auto"/>
              <w:rPr>
                <w:color w:val="000000"/>
                <w:lang w:eastAsia="en-GB"/>
              </w:rPr>
            </w:pPr>
            <w:r w:rsidRPr="006128F6">
              <w:rPr>
                <w:color w:val="000000"/>
                <w:lang w:eastAsia="en-GB"/>
              </w:rPr>
              <w:t xml:space="preserve">Very common </w:t>
            </w:r>
          </w:p>
        </w:tc>
      </w:tr>
      <w:tr w:rsidR="009C3080" w:rsidRPr="006128F6" w14:paraId="2B08E63D" w14:textId="77777777" w:rsidTr="0032436C">
        <w:trPr>
          <w:cantSplit/>
        </w:trPr>
        <w:tc>
          <w:tcPr>
            <w:tcW w:w="1780" w:type="pct"/>
            <w:vMerge/>
            <w:shd w:val="clear" w:color="auto" w:fill="auto"/>
          </w:tcPr>
          <w:p w14:paraId="40D5DD25" w14:textId="77777777" w:rsidR="009C3080" w:rsidRPr="006128F6" w:rsidRDefault="009C3080" w:rsidP="009C3080">
            <w:pPr>
              <w:spacing w:line="240" w:lineRule="auto"/>
              <w:rPr>
                <w:szCs w:val="22"/>
              </w:rPr>
            </w:pPr>
          </w:p>
        </w:tc>
        <w:tc>
          <w:tcPr>
            <w:tcW w:w="1797" w:type="pct"/>
            <w:shd w:val="clear" w:color="auto" w:fill="auto"/>
            <w:vAlign w:val="bottom"/>
          </w:tcPr>
          <w:p w14:paraId="67919926" w14:textId="77777777" w:rsidR="009C3080" w:rsidRPr="006128F6" w:rsidRDefault="009C3080" w:rsidP="009C3080">
            <w:pPr>
              <w:spacing w:line="240" w:lineRule="auto"/>
              <w:rPr>
                <w:color w:val="000000"/>
                <w:lang w:eastAsia="en-GB"/>
              </w:rPr>
            </w:pPr>
            <w:r w:rsidRPr="006128F6">
              <w:rPr>
                <w:color w:val="000000"/>
                <w:lang w:eastAsia="en-GB"/>
              </w:rPr>
              <w:t xml:space="preserve">Mucosal inflammation </w:t>
            </w:r>
          </w:p>
        </w:tc>
        <w:tc>
          <w:tcPr>
            <w:tcW w:w="1423" w:type="pct"/>
            <w:shd w:val="clear" w:color="auto" w:fill="auto"/>
          </w:tcPr>
          <w:p w14:paraId="57AD364C" w14:textId="77777777" w:rsidR="009C3080" w:rsidRPr="006128F6" w:rsidRDefault="009C3080" w:rsidP="009C3080">
            <w:pPr>
              <w:spacing w:line="240" w:lineRule="auto"/>
              <w:rPr>
                <w:color w:val="000000"/>
                <w:lang w:eastAsia="en-GB"/>
              </w:rPr>
            </w:pPr>
            <w:r w:rsidRPr="006128F6">
              <w:rPr>
                <w:color w:val="000000"/>
                <w:lang w:eastAsia="en-GB"/>
              </w:rPr>
              <w:t xml:space="preserve">Very common </w:t>
            </w:r>
          </w:p>
        </w:tc>
      </w:tr>
      <w:tr w:rsidR="009C3080" w:rsidRPr="006128F6" w14:paraId="7D33E1B7" w14:textId="77777777" w:rsidTr="0032436C">
        <w:trPr>
          <w:cantSplit/>
        </w:trPr>
        <w:tc>
          <w:tcPr>
            <w:tcW w:w="1780" w:type="pct"/>
            <w:vMerge/>
            <w:shd w:val="clear" w:color="auto" w:fill="auto"/>
          </w:tcPr>
          <w:p w14:paraId="0F7589D4" w14:textId="77777777" w:rsidR="009C3080" w:rsidRPr="006128F6" w:rsidRDefault="009C3080" w:rsidP="009C3080">
            <w:pPr>
              <w:spacing w:line="240" w:lineRule="auto"/>
              <w:rPr>
                <w:szCs w:val="22"/>
              </w:rPr>
            </w:pPr>
          </w:p>
        </w:tc>
        <w:tc>
          <w:tcPr>
            <w:tcW w:w="1797" w:type="pct"/>
            <w:shd w:val="clear" w:color="auto" w:fill="auto"/>
            <w:vAlign w:val="bottom"/>
          </w:tcPr>
          <w:p w14:paraId="2B35516D" w14:textId="77777777" w:rsidR="009C3080" w:rsidRPr="006128F6" w:rsidRDefault="009C3080" w:rsidP="009C3080">
            <w:pPr>
              <w:spacing w:line="240" w:lineRule="auto"/>
              <w:rPr>
                <w:color w:val="000000"/>
                <w:lang w:eastAsia="en-GB"/>
              </w:rPr>
            </w:pPr>
            <w:r w:rsidRPr="006128F6">
              <w:rPr>
                <w:color w:val="000000"/>
                <w:lang w:eastAsia="en-GB"/>
              </w:rPr>
              <w:t xml:space="preserve">Peripheral oedema </w:t>
            </w:r>
          </w:p>
        </w:tc>
        <w:tc>
          <w:tcPr>
            <w:tcW w:w="1423" w:type="pct"/>
            <w:shd w:val="clear" w:color="auto" w:fill="auto"/>
          </w:tcPr>
          <w:p w14:paraId="37817A0C" w14:textId="77777777" w:rsidR="009C3080" w:rsidRPr="006128F6" w:rsidRDefault="009C3080" w:rsidP="009C3080">
            <w:pPr>
              <w:spacing w:line="240" w:lineRule="auto"/>
              <w:rPr>
                <w:color w:val="000000"/>
                <w:lang w:eastAsia="en-GB"/>
              </w:rPr>
            </w:pPr>
            <w:r w:rsidRPr="006128F6">
              <w:rPr>
                <w:color w:val="000000"/>
                <w:lang w:eastAsia="en-GB"/>
              </w:rPr>
              <w:t xml:space="preserve">Very common </w:t>
            </w:r>
          </w:p>
        </w:tc>
      </w:tr>
      <w:tr w:rsidR="009C3080" w:rsidRPr="006128F6" w14:paraId="408EE691" w14:textId="77777777" w:rsidTr="0032436C">
        <w:trPr>
          <w:cantSplit/>
        </w:trPr>
        <w:tc>
          <w:tcPr>
            <w:tcW w:w="1780" w:type="pct"/>
            <w:vMerge/>
            <w:shd w:val="clear" w:color="auto" w:fill="auto"/>
          </w:tcPr>
          <w:p w14:paraId="4A6734FF" w14:textId="77777777" w:rsidR="009C3080" w:rsidRPr="006128F6" w:rsidRDefault="009C3080" w:rsidP="009C3080">
            <w:pPr>
              <w:spacing w:line="240" w:lineRule="auto"/>
              <w:rPr>
                <w:szCs w:val="22"/>
              </w:rPr>
            </w:pPr>
          </w:p>
        </w:tc>
        <w:tc>
          <w:tcPr>
            <w:tcW w:w="1797" w:type="pct"/>
            <w:shd w:val="clear" w:color="auto" w:fill="auto"/>
            <w:vAlign w:val="bottom"/>
          </w:tcPr>
          <w:p w14:paraId="7468FCDD" w14:textId="77777777" w:rsidR="009C3080" w:rsidRPr="006128F6" w:rsidRDefault="009C3080" w:rsidP="009C3080">
            <w:pPr>
              <w:spacing w:line="240" w:lineRule="auto"/>
              <w:rPr>
                <w:color w:val="000000"/>
                <w:lang w:eastAsia="en-GB"/>
              </w:rPr>
            </w:pPr>
            <w:r w:rsidRPr="006128F6">
              <w:rPr>
                <w:color w:val="000000"/>
                <w:lang w:eastAsia="en-GB"/>
              </w:rPr>
              <w:t xml:space="preserve">Malaise </w:t>
            </w:r>
          </w:p>
        </w:tc>
        <w:tc>
          <w:tcPr>
            <w:tcW w:w="1423" w:type="pct"/>
            <w:shd w:val="clear" w:color="auto" w:fill="auto"/>
          </w:tcPr>
          <w:p w14:paraId="7AB9AF81" w14:textId="77777777" w:rsidR="009C3080" w:rsidRPr="006128F6" w:rsidRDefault="009C3080" w:rsidP="009C3080">
            <w:pPr>
              <w:spacing w:line="240" w:lineRule="auto"/>
              <w:rPr>
                <w:color w:val="000000"/>
                <w:lang w:eastAsia="en-GB"/>
              </w:rPr>
            </w:pPr>
            <w:r w:rsidRPr="006128F6">
              <w:rPr>
                <w:color w:val="000000"/>
                <w:lang w:eastAsia="en-GB"/>
              </w:rPr>
              <w:t xml:space="preserve">Common </w:t>
            </w:r>
          </w:p>
        </w:tc>
      </w:tr>
      <w:tr w:rsidR="009C3080" w:rsidRPr="006128F6" w14:paraId="75BA1866" w14:textId="77777777" w:rsidTr="0032436C">
        <w:trPr>
          <w:cantSplit/>
        </w:trPr>
        <w:tc>
          <w:tcPr>
            <w:tcW w:w="1780" w:type="pct"/>
            <w:vMerge/>
            <w:shd w:val="clear" w:color="auto" w:fill="auto"/>
          </w:tcPr>
          <w:p w14:paraId="45302882" w14:textId="77777777" w:rsidR="009C3080" w:rsidRPr="006128F6" w:rsidRDefault="009C3080" w:rsidP="009C3080">
            <w:pPr>
              <w:spacing w:line="240" w:lineRule="auto"/>
              <w:rPr>
                <w:szCs w:val="22"/>
              </w:rPr>
            </w:pPr>
          </w:p>
        </w:tc>
        <w:tc>
          <w:tcPr>
            <w:tcW w:w="1797" w:type="pct"/>
            <w:shd w:val="clear" w:color="auto" w:fill="auto"/>
            <w:vAlign w:val="bottom"/>
          </w:tcPr>
          <w:p w14:paraId="638EE947" w14:textId="77777777" w:rsidR="009C3080" w:rsidRPr="006128F6" w:rsidRDefault="009C3080" w:rsidP="009C3080">
            <w:pPr>
              <w:spacing w:line="240" w:lineRule="auto"/>
              <w:rPr>
                <w:color w:val="000000"/>
                <w:lang w:eastAsia="en-GB"/>
              </w:rPr>
            </w:pPr>
            <w:r w:rsidRPr="006128F6">
              <w:rPr>
                <w:color w:val="000000"/>
                <w:lang w:eastAsia="en-GB"/>
              </w:rPr>
              <w:t xml:space="preserve">Oedema </w:t>
            </w:r>
          </w:p>
        </w:tc>
        <w:tc>
          <w:tcPr>
            <w:tcW w:w="1423" w:type="pct"/>
            <w:shd w:val="clear" w:color="auto" w:fill="auto"/>
          </w:tcPr>
          <w:p w14:paraId="7C9831C4" w14:textId="77777777" w:rsidR="009C3080" w:rsidRPr="006128F6" w:rsidRDefault="009C3080" w:rsidP="009C3080">
            <w:pPr>
              <w:spacing w:line="240" w:lineRule="auto"/>
              <w:rPr>
                <w:color w:val="000000"/>
                <w:lang w:eastAsia="en-GB"/>
              </w:rPr>
            </w:pPr>
            <w:r w:rsidRPr="006128F6">
              <w:rPr>
                <w:color w:val="000000"/>
                <w:lang w:eastAsia="en-GB"/>
              </w:rPr>
              <w:t xml:space="preserve">Common </w:t>
            </w:r>
          </w:p>
        </w:tc>
      </w:tr>
      <w:tr w:rsidR="009C3080" w:rsidRPr="006128F6" w14:paraId="2AB911D8" w14:textId="77777777" w:rsidTr="0032436C">
        <w:trPr>
          <w:cantSplit/>
        </w:trPr>
        <w:tc>
          <w:tcPr>
            <w:tcW w:w="1780" w:type="pct"/>
            <w:shd w:val="clear" w:color="auto" w:fill="auto"/>
          </w:tcPr>
          <w:p w14:paraId="7F46E5FB" w14:textId="77777777" w:rsidR="009C3080" w:rsidRPr="006128F6" w:rsidRDefault="009C3080" w:rsidP="009C3080">
            <w:pPr>
              <w:spacing w:line="240" w:lineRule="auto"/>
              <w:rPr>
                <w:szCs w:val="22"/>
              </w:rPr>
            </w:pPr>
            <w:r w:rsidRPr="006128F6">
              <w:rPr>
                <w:color w:val="000000"/>
                <w:lang w:eastAsia="en-GB"/>
              </w:rPr>
              <w:t>Injury, poisoning and procedural complications</w:t>
            </w:r>
          </w:p>
        </w:tc>
        <w:tc>
          <w:tcPr>
            <w:tcW w:w="1797" w:type="pct"/>
            <w:shd w:val="clear" w:color="auto" w:fill="auto"/>
          </w:tcPr>
          <w:p w14:paraId="5DF1C1CC" w14:textId="77777777" w:rsidR="009C3080" w:rsidRPr="006128F6" w:rsidRDefault="009C3080" w:rsidP="009C3080">
            <w:pPr>
              <w:spacing w:line="240" w:lineRule="auto"/>
              <w:rPr>
                <w:color w:val="000000"/>
                <w:lang w:eastAsia="en-GB"/>
              </w:rPr>
            </w:pPr>
            <w:r w:rsidRPr="006128F6">
              <w:rPr>
                <w:color w:val="000000"/>
                <w:lang w:eastAsia="en-GB"/>
              </w:rPr>
              <w:t xml:space="preserve">Contusion </w:t>
            </w:r>
          </w:p>
        </w:tc>
        <w:tc>
          <w:tcPr>
            <w:tcW w:w="1423" w:type="pct"/>
            <w:shd w:val="clear" w:color="auto" w:fill="auto"/>
          </w:tcPr>
          <w:p w14:paraId="1EA49371" w14:textId="77777777" w:rsidR="009C3080" w:rsidRPr="006128F6" w:rsidRDefault="009C3080" w:rsidP="009C3080">
            <w:pPr>
              <w:spacing w:line="240" w:lineRule="auto"/>
              <w:rPr>
                <w:color w:val="000000"/>
                <w:lang w:eastAsia="en-GB"/>
              </w:rPr>
            </w:pPr>
            <w:r w:rsidRPr="006128F6">
              <w:rPr>
                <w:color w:val="000000"/>
                <w:lang w:eastAsia="en-GB"/>
              </w:rPr>
              <w:t xml:space="preserve">Common </w:t>
            </w:r>
          </w:p>
        </w:tc>
      </w:tr>
    </w:tbl>
    <w:p w14:paraId="18EE635D" w14:textId="77777777" w:rsidR="00816739" w:rsidRPr="00CE427E" w:rsidRDefault="00816739" w:rsidP="006128F6">
      <w:pPr>
        <w:tabs>
          <w:tab w:val="clear" w:pos="567"/>
        </w:tabs>
        <w:autoSpaceDE w:val="0"/>
        <w:autoSpaceDN w:val="0"/>
        <w:adjustRightInd w:val="0"/>
        <w:spacing w:line="240" w:lineRule="auto"/>
        <w:rPr>
          <w:rFonts w:eastAsia="Calibri"/>
          <w:sz w:val="20"/>
        </w:rPr>
      </w:pPr>
      <w:r w:rsidRPr="00CE427E">
        <w:rPr>
          <w:rFonts w:eastAsia="Calibri"/>
          <w:sz w:val="20"/>
        </w:rPr>
        <w:t>+ Denotes adverse reactions that have been reported in association with a fatal outcome.</w:t>
      </w:r>
    </w:p>
    <w:p w14:paraId="0C669CBD" w14:textId="77777777" w:rsidR="00816739" w:rsidRPr="00CE427E" w:rsidRDefault="00816739" w:rsidP="006128F6">
      <w:pPr>
        <w:tabs>
          <w:tab w:val="clear" w:pos="567"/>
        </w:tabs>
        <w:autoSpaceDE w:val="0"/>
        <w:autoSpaceDN w:val="0"/>
        <w:adjustRightInd w:val="0"/>
        <w:spacing w:line="240" w:lineRule="auto"/>
        <w:rPr>
          <w:rFonts w:eastAsia="Calibri"/>
          <w:sz w:val="20"/>
        </w:rPr>
      </w:pPr>
      <w:r w:rsidRPr="00CE427E">
        <w:rPr>
          <w:rFonts w:eastAsia="Calibri"/>
          <w:sz w:val="20"/>
        </w:rPr>
        <w:t>1 Denotes adverse reactions that are reported largely in association with Infusion-related reactions. Specific percentages for these are not available.</w:t>
      </w:r>
    </w:p>
    <w:p w14:paraId="5797A9BE" w14:textId="616760DE" w:rsidR="00DC5680" w:rsidRPr="00CE427E" w:rsidRDefault="00816739" w:rsidP="006128F6">
      <w:pPr>
        <w:tabs>
          <w:tab w:val="clear" w:pos="567"/>
        </w:tabs>
        <w:autoSpaceDE w:val="0"/>
        <w:autoSpaceDN w:val="0"/>
        <w:adjustRightInd w:val="0"/>
        <w:spacing w:line="240" w:lineRule="auto"/>
        <w:rPr>
          <w:rFonts w:eastAsia="Calibri"/>
          <w:color w:val="000000"/>
          <w:szCs w:val="22"/>
        </w:rPr>
      </w:pPr>
      <w:r w:rsidRPr="00CE427E">
        <w:rPr>
          <w:rFonts w:eastAsia="Calibri"/>
          <w:sz w:val="20"/>
        </w:rPr>
        <w:t>* Observed with combination therapy following anthracyclines and combined with taxanes</w:t>
      </w:r>
      <w:r w:rsidR="00700B16" w:rsidRPr="00CE427E">
        <w:rPr>
          <w:rFonts w:eastAsia="Calibri"/>
          <w:sz w:val="20"/>
        </w:rPr>
        <w:t>.</w:t>
      </w:r>
    </w:p>
    <w:p w14:paraId="7057C8DE" w14:textId="77777777" w:rsidR="00816739" w:rsidRPr="00CE427E" w:rsidRDefault="00816739" w:rsidP="006128F6">
      <w:pPr>
        <w:tabs>
          <w:tab w:val="clear" w:pos="567"/>
        </w:tabs>
        <w:autoSpaceDE w:val="0"/>
        <w:autoSpaceDN w:val="0"/>
        <w:adjustRightInd w:val="0"/>
        <w:spacing w:line="240" w:lineRule="auto"/>
        <w:rPr>
          <w:rFonts w:eastAsia="Calibri"/>
          <w:color w:val="000000"/>
          <w:szCs w:val="22"/>
          <w:u w:val="single"/>
        </w:rPr>
      </w:pPr>
    </w:p>
    <w:p w14:paraId="72C1ED99" w14:textId="77777777" w:rsidR="00DC5680" w:rsidRPr="00CE427E" w:rsidRDefault="00DC5680" w:rsidP="006128F6">
      <w:pPr>
        <w:keepNext/>
        <w:tabs>
          <w:tab w:val="clear" w:pos="567"/>
        </w:tabs>
        <w:autoSpaceDE w:val="0"/>
        <w:autoSpaceDN w:val="0"/>
        <w:adjustRightInd w:val="0"/>
        <w:spacing w:line="240" w:lineRule="auto"/>
        <w:rPr>
          <w:rFonts w:eastAsia="Calibri"/>
          <w:color w:val="000000"/>
          <w:szCs w:val="22"/>
          <w:u w:val="single"/>
        </w:rPr>
      </w:pPr>
      <w:r w:rsidRPr="00CE427E">
        <w:rPr>
          <w:rFonts w:eastAsia="Calibri"/>
          <w:color w:val="000000"/>
          <w:szCs w:val="22"/>
          <w:u w:val="single"/>
        </w:rPr>
        <w:t>Description of selected adverse reactions</w:t>
      </w:r>
    </w:p>
    <w:p w14:paraId="14C4F7A7" w14:textId="77777777" w:rsidR="00DC5680" w:rsidRPr="00CE427E" w:rsidRDefault="00DC5680" w:rsidP="006128F6">
      <w:pPr>
        <w:keepNext/>
        <w:tabs>
          <w:tab w:val="clear" w:pos="567"/>
        </w:tabs>
        <w:autoSpaceDE w:val="0"/>
        <w:autoSpaceDN w:val="0"/>
        <w:adjustRightInd w:val="0"/>
        <w:spacing w:line="240" w:lineRule="auto"/>
        <w:rPr>
          <w:rFonts w:eastAsia="Calibri"/>
          <w:i/>
          <w:iCs/>
          <w:color w:val="000000"/>
          <w:szCs w:val="22"/>
        </w:rPr>
      </w:pPr>
    </w:p>
    <w:p w14:paraId="635D78E3" w14:textId="77777777" w:rsidR="00DC5680" w:rsidRPr="00CE427E" w:rsidRDefault="00DC5680" w:rsidP="006128F6">
      <w:pPr>
        <w:keepNext/>
        <w:tabs>
          <w:tab w:val="clear" w:pos="567"/>
        </w:tabs>
        <w:autoSpaceDE w:val="0"/>
        <w:autoSpaceDN w:val="0"/>
        <w:adjustRightInd w:val="0"/>
        <w:spacing w:line="240" w:lineRule="auto"/>
        <w:rPr>
          <w:rFonts w:eastAsia="Calibri"/>
          <w:i/>
          <w:iCs/>
          <w:color w:val="000000"/>
          <w:szCs w:val="22"/>
          <w:u w:val="single"/>
        </w:rPr>
      </w:pPr>
      <w:r w:rsidRPr="00CE427E">
        <w:rPr>
          <w:rFonts w:eastAsia="Calibri"/>
          <w:i/>
          <w:iCs/>
          <w:color w:val="000000"/>
          <w:szCs w:val="22"/>
          <w:u w:val="single"/>
        </w:rPr>
        <w:t>Cardiac dysfunction</w:t>
      </w:r>
    </w:p>
    <w:p w14:paraId="13F397A6" w14:textId="77777777" w:rsidR="00DC5680" w:rsidRPr="00CE427E" w:rsidRDefault="00DC5680" w:rsidP="006128F6">
      <w:pPr>
        <w:keepNext/>
        <w:tabs>
          <w:tab w:val="clear" w:pos="567"/>
        </w:tabs>
        <w:autoSpaceDE w:val="0"/>
        <w:autoSpaceDN w:val="0"/>
        <w:adjustRightInd w:val="0"/>
        <w:spacing w:line="240" w:lineRule="auto"/>
        <w:rPr>
          <w:rFonts w:eastAsia="Calibri"/>
          <w:color w:val="000000"/>
          <w:szCs w:val="22"/>
        </w:rPr>
      </w:pPr>
    </w:p>
    <w:p w14:paraId="030D8676" w14:textId="024F6505" w:rsidR="00DC5680" w:rsidRPr="00CE427E" w:rsidRDefault="00DC5680" w:rsidP="006128F6">
      <w:pPr>
        <w:keepNext/>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Congestive heart failure </w:t>
      </w:r>
      <w:r w:rsidR="004E2671" w:rsidRPr="00CE427E">
        <w:rPr>
          <w:rFonts w:eastAsia="Calibri"/>
          <w:color w:val="000000"/>
          <w:szCs w:val="22"/>
        </w:rPr>
        <w:t xml:space="preserve">(NYHA </w:t>
      </w:r>
      <w:r w:rsidR="000729E5" w:rsidRPr="00CE427E">
        <w:rPr>
          <w:rFonts w:eastAsia="Calibri"/>
          <w:color w:val="000000"/>
          <w:szCs w:val="22"/>
        </w:rPr>
        <w:t xml:space="preserve">class </w:t>
      </w:r>
      <w:r w:rsidR="004E2671" w:rsidRPr="00CE427E">
        <w:rPr>
          <w:rFonts w:eastAsia="Calibri"/>
          <w:color w:val="000000"/>
          <w:szCs w:val="22"/>
        </w:rPr>
        <w:t xml:space="preserve">II – IV) </w:t>
      </w:r>
      <w:r w:rsidRPr="00CE427E">
        <w:rPr>
          <w:rFonts w:eastAsia="Calibri"/>
          <w:color w:val="000000"/>
          <w:szCs w:val="22"/>
        </w:rPr>
        <w:t xml:space="preserve">is a common adverse reaction associated with the use of </w:t>
      </w:r>
      <w:r w:rsidR="002941C1" w:rsidRPr="00CE427E">
        <w:rPr>
          <w:rFonts w:eastAsia="Calibri"/>
          <w:color w:val="000000"/>
          <w:szCs w:val="22"/>
        </w:rPr>
        <w:t>trastuzumab</w:t>
      </w:r>
      <w:r w:rsidRPr="00CE427E">
        <w:rPr>
          <w:rFonts w:eastAsia="Calibri"/>
          <w:color w:val="000000"/>
          <w:szCs w:val="22"/>
        </w:rPr>
        <w:t xml:space="preserve"> and has been associated with a fatal outcome (see section 4.4). Signs and symptoms of cardiac dysfunction such as dyspnoea, orthopnoea, increased cough, pulmonary oedema, S3 gallop, or reduced ventricular ejection fraction, have been observed in patients treated with </w:t>
      </w:r>
      <w:r w:rsidR="002941C1" w:rsidRPr="00CE427E">
        <w:rPr>
          <w:rFonts w:eastAsia="Calibri"/>
          <w:color w:val="000000"/>
          <w:szCs w:val="22"/>
        </w:rPr>
        <w:t>trastuzumab</w:t>
      </w:r>
      <w:r w:rsidRPr="00CE427E">
        <w:rPr>
          <w:rFonts w:eastAsia="Calibri"/>
          <w:color w:val="000000"/>
          <w:szCs w:val="22"/>
        </w:rPr>
        <w:t xml:space="preserve"> (see section 4.4).</w:t>
      </w:r>
    </w:p>
    <w:p w14:paraId="38EC1776" w14:textId="77777777" w:rsidR="00DC5680" w:rsidRPr="00CE427E" w:rsidRDefault="00DC5680" w:rsidP="006128F6">
      <w:pPr>
        <w:tabs>
          <w:tab w:val="clear" w:pos="567"/>
        </w:tabs>
        <w:autoSpaceDE w:val="0"/>
        <w:autoSpaceDN w:val="0"/>
        <w:adjustRightInd w:val="0"/>
        <w:spacing w:line="240" w:lineRule="auto"/>
        <w:rPr>
          <w:rFonts w:eastAsia="Calibri"/>
          <w:color w:val="000000"/>
          <w:szCs w:val="22"/>
        </w:rPr>
      </w:pPr>
    </w:p>
    <w:p w14:paraId="544CE55B" w14:textId="14439BAB" w:rsidR="00DC5680" w:rsidRPr="00CE427E" w:rsidRDefault="00DC5680"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In 3 pivotal clinical </w:t>
      </w:r>
      <w:r w:rsidR="004A5EE5">
        <w:rPr>
          <w:rFonts w:eastAsia="Calibri"/>
          <w:color w:val="000000"/>
          <w:szCs w:val="22"/>
        </w:rPr>
        <w:t>studie</w:t>
      </w:r>
      <w:r w:rsidRPr="00CE427E">
        <w:rPr>
          <w:rFonts w:eastAsia="Calibri"/>
          <w:color w:val="000000"/>
          <w:szCs w:val="22"/>
        </w:rPr>
        <w:t xml:space="preserve">s of adjuvant </w:t>
      </w:r>
      <w:r w:rsidR="002C52FF" w:rsidRPr="00CE427E">
        <w:rPr>
          <w:rFonts w:eastAsia="Calibri"/>
          <w:color w:val="000000"/>
          <w:szCs w:val="22"/>
        </w:rPr>
        <w:t>trastuzumab</w:t>
      </w:r>
      <w:r w:rsidR="005613F7" w:rsidRPr="00CE427E">
        <w:rPr>
          <w:rFonts w:eastAsia="Calibri"/>
          <w:color w:val="000000"/>
          <w:szCs w:val="22"/>
        </w:rPr>
        <w:t xml:space="preserve"> </w:t>
      </w:r>
      <w:r w:rsidRPr="00CE427E">
        <w:rPr>
          <w:rFonts w:eastAsia="Calibri"/>
          <w:color w:val="000000"/>
          <w:szCs w:val="22"/>
        </w:rPr>
        <w:t xml:space="preserve">given in combination with chemotherapy, the incidence of grade 3/4 cardiac dysfunction (specifically symptomatic </w:t>
      </w:r>
      <w:r w:rsidR="0032436C" w:rsidRPr="00CE427E">
        <w:rPr>
          <w:rFonts w:eastAsia="Calibri"/>
          <w:color w:val="000000"/>
          <w:szCs w:val="22"/>
        </w:rPr>
        <w:t>c</w:t>
      </w:r>
      <w:r w:rsidRPr="00CE427E">
        <w:rPr>
          <w:rFonts w:eastAsia="Calibri"/>
          <w:color w:val="000000"/>
          <w:szCs w:val="22"/>
        </w:rPr>
        <w:t xml:space="preserve">ongestive </w:t>
      </w:r>
      <w:r w:rsidR="0032436C" w:rsidRPr="00CE427E">
        <w:rPr>
          <w:rFonts w:eastAsia="Calibri"/>
          <w:color w:val="000000"/>
          <w:szCs w:val="22"/>
        </w:rPr>
        <w:t>h</w:t>
      </w:r>
      <w:r w:rsidRPr="00CE427E">
        <w:rPr>
          <w:rFonts w:eastAsia="Calibri"/>
          <w:color w:val="000000"/>
          <w:szCs w:val="22"/>
        </w:rPr>
        <w:t xml:space="preserve">eart </w:t>
      </w:r>
      <w:r w:rsidR="0032436C" w:rsidRPr="00CE427E">
        <w:rPr>
          <w:rFonts w:eastAsia="Calibri"/>
          <w:color w:val="000000"/>
          <w:szCs w:val="22"/>
        </w:rPr>
        <w:t>f</w:t>
      </w:r>
      <w:r w:rsidRPr="00CE427E">
        <w:rPr>
          <w:rFonts w:eastAsia="Calibri"/>
          <w:color w:val="000000"/>
          <w:szCs w:val="22"/>
        </w:rPr>
        <w:t xml:space="preserve">ailure) was similar in patients who were administered chemotherapy alone (i.e. did not receive </w:t>
      </w:r>
      <w:r w:rsidR="002C52FF" w:rsidRPr="00CE427E">
        <w:rPr>
          <w:rFonts w:eastAsia="Calibri"/>
          <w:color w:val="000000"/>
          <w:szCs w:val="22"/>
        </w:rPr>
        <w:t>trastuzumab</w:t>
      </w:r>
      <w:r w:rsidRPr="00CE427E">
        <w:rPr>
          <w:rFonts w:eastAsia="Calibri"/>
          <w:color w:val="000000"/>
          <w:szCs w:val="22"/>
        </w:rPr>
        <w:t xml:space="preserve">) and in patients who were administered </w:t>
      </w:r>
      <w:r w:rsidR="002C52FF" w:rsidRPr="00CE427E">
        <w:rPr>
          <w:rFonts w:eastAsia="Calibri"/>
          <w:color w:val="000000"/>
          <w:szCs w:val="22"/>
        </w:rPr>
        <w:t>trastuzumab</w:t>
      </w:r>
      <w:r w:rsidRPr="00CE427E">
        <w:rPr>
          <w:rFonts w:eastAsia="Calibri"/>
          <w:color w:val="000000"/>
          <w:szCs w:val="22"/>
        </w:rPr>
        <w:t xml:space="preserve"> sequentially to a taxane (0.3</w:t>
      </w:r>
      <w:r w:rsidRPr="00CE427E">
        <w:rPr>
          <w:rFonts w:eastAsia="Calibri"/>
          <w:color w:val="000000"/>
          <w:szCs w:val="22"/>
        </w:rPr>
        <w:noBreakHyphen/>
        <w:t>0.4</w:t>
      </w:r>
      <w:r w:rsidR="000840CF" w:rsidRPr="00CE427E">
        <w:rPr>
          <w:rFonts w:eastAsia="Calibri"/>
          <w:color w:val="000000"/>
          <w:szCs w:val="22"/>
        </w:rPr>
        <w:t>%</w:t>
      </w:r>
      <w:r w:rsidRPr="00CE427E">
        <w:rPr>
          <w:rFonts w:eastAsia="Calibri"/>
          <w:color w:val="000000"/>
          <w:szCs w:val="22"/>
        </w:rPr>
        <w:t xml:space="preserve">). The rate was highest in patients who were administered </w:t>
      </w:r>
      <w:r w:rsidR="002C52FF" w:rsidRPr="00CE427E">
        <w:rPr>
          <w:rFonts w:eastAsia="Calibri"/>
          <w:color w:val="000000"/>
          <w:szCs w:val="22"/>
        </w:rPr>
        <w:t>trastuzumab</w:t>
      </w:r>
      <w:r w:rsidR="005613F7" w:rsidRPr="00CE427E">
        <w:rPr>
          <w:rFonts w:eastAsia="Calibri"/>
          <w:color w:val="000000"/>
          <w:szCs w:val="22"/>
        </w:rPr>
        <w:t xml:space="preserve"> </w:t>
      </w:r>
      <w:r w:rsidRPr="00CE427E">
        <w:rPr>
          <w:rFonts w:eastAsia="Calibri"/>
          <w:color w:val="000000"/>
          <w:szCs w:val="22"/>
        </w:rPr>
        <w:t>concurrently with a taxane (2.0</w:t>
      </w:r>
      <w:r w:rsidR="000840CF" w:rsidRPr="00CE427E">
        <w:rPr>
          <w:rFonts w:eastAsia="Calibri"/>
          <w:color w:val="000000"/>
          <w:szCs w:val="22"/>
        </w:rPr>
        <w:t>%</w:t>
      </w:r>
      <w:r w:rsidRPr="00CE427E">
        <w:rPr>
          <w:rFonts w:eastAsia="Calibri"/>
          <w:color w:val="000000"/>
          <w:szCs w:val="22"/>
        </w:rPr>
        <w:t xml:space="preserve">). In the neoadjuvant setting, the experience of concurrent administration of </w:t>
      </w:r>
      <w:r w:rsidR="002C52FF" w:rsidRPr="00CE427E">
        <w:rPr>
          <w:rFonts w:eastAsia="Calibri"/>
          <w:color w:val="000000"/>
          <w:szCs w:val="22"/>
        </w:rPr>
        <w:t>trastuzumab</w:t>
      </w:r>
      <w:r w:rsidRPr="00CE427E">
        <w:rPr>
          <w:rFonts w:eastAsia="Calibri"/>
          <w:color w:val="000000"/>
          <w:szCs w:val="22"/>
        </w:rPr>
        <w:t xml:space="preserve"> and low</w:t>
      </w:r>
      <w:r w:rsidR="009613B4">
        <w:rPr>
          <w:rFonts w:eastAsia="Calibri"/>
          <w:color w:val="000000"/>
          <w:szCs w:val="22"/>
        </w:rPr>
        <w:t>-</w:t>
      </w:r>
      <w:r w:rsidRPr="00CE427E">
        <w:rPr>
          <w:rFonts w:eastAsia="Calibri"/>
          <w:color w:val="000000"/>
          <w:szCs w:val="22"/>
        </w:rPr>
        <w:t>dose anthracycline regimen is limited (see section 4.4).</w:t>
      </w:r>
    </w:p>
    <w:p w14:paraId="2507BC96" w14:textId="77777777" w:rsidR="00DC5680" w:rsidRPr="00CE427E" w:rsidRDefault="00DC5680" w:rsidP="006128F6">
      <w:pPr>
        <w:tabs>
          <w:tab w:val="clear" w:pos="567"/>
        </w:tabs>
        <w:autoSpaceDE w:val="0"/>
        <w:autoSpaceDN w:val="0"/>
        <w:adjustRightInd w:val="0"/>
        <w:spacing w:line="240" w:lineRule="auto"/>
        <w:rPr>
          <w:rFonts w:eastAsia="Calibri"/>
          <w:color w:val="000000"/>
          <w:szCs w:val="22"/>
        </w:rPr>
      </w:pPr>
    </w:p>
    <w:p w14:paraId="34DA88E1" w14:textId="24CCF699" w:rsidR="00DC5680" w:rsidRPr="00CE427E" w:rsidRDefault="00DC5680"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When </w:t>
      </w:r>
      <w:r w:rsidR="002C52FF" w:rsidRPr="00CE427E">
        <w:rPr>
          <w:rFonts w:eastAsia="Calibri"/>
          <w:color w:val="000000"/>
          <w:szCs w:val="22"/>
        </w:rPr>
        <w:t xml:space="preserve">trastuzumab </w:t>
      </w:r>
      <w:r w:rsidRPr="00CE427E">
        <w:rPr>
          <w:rFonts w:eastAsia="Calibri"/>
          <w:color w:val="000000"/>
          <w:szCs w:val="22"/>
        </w:rPr>
        <w:t>was administered after completion of adjuvant chemotherapy NYHA class III</w:t>
      </w:r>
      <w:r w:rsidRPr="00CE427E">
        <w:rPr>
          <w:rFonts w:eastAsia="Calibri"/>
          <w:color w:val="000000"/>
          <w:szCs w:val="22"/>
        </w:rPr>
        <w:noBreakHyphen/>
        <w:t>IV heart failure was observed in 0.6</w:t>
      </w:r>
      <w:r w:rsidR="000840CF" w:rsidRPr="00CE427E">
        <w:rPr>
          <w:rFonts w:eastAsia="Calibri"/>
          <w:color w:val="000000"/>
          <w:szCs w:val="22"/>
        </w:rPr>
        <w:t>%</w:t>
      </w:r>
      <w:r w:rsidRPr="00CE427E">
        <w:rPr>
          <w:rFonts w:eastAsia="Calibri"/>
          <w:color w:val="000000"/>
          <w:szCs w:val="22"/>
        </w:rPr>
        <w:t xml:space="preserve"> of patients in the one-year arm after a median follow-up of 12 months. In study BO16348, after a median follow</w:t>
      </w:r>
      <w:r w:rsidRPr="00CE427E">
        <w:rPr>
          <w:rFonts w:eastAsia="Calibri"/>
          <w:color w:val="000000"/>
          <w:szCs w:val="22"/>
        </w:rPr>
        <w:noBreakHyphen/>
        <w:t xml:space="preserve">up of 8 years the incidence of severe CHF (NYHA </w:t>
      </w:r>
      <w:r w:rsidR="000729E5" w:rsidRPr="00CE427E">
        <w:rPr>
          <w:rFonts w:eastAsia="Calibri"/>
          <w:color w:val="000000"/>
          <w:szCs w:val="22"/>
        </w:rPr>
        <w:t xml:space="preserve">class </w:t>
      </w:r>
      <w:r w:rsidRPr="00CE427E">
        <w:rPr>
          <w:rFonts w:eastAsia="Calibri"/>
          <w:color w:val="000000"/>
          <w:szCs w:val="22"/>
        </w:rPr>
        <w:t xml:space="preserve">III &amp; IV) in the </w:t>
      </w:r>
      <w:r w:rsidR="002C52FF" w:rsidRPr="00CE427E">
        <w:rPr>
          <w:rFonts w:eastAsia="Calibri"/>
          <w:color w:val="000000"/>
          <w:szCs w:val="22"/>
        </w:rPr>
        <w:t>trastuzumab</w:t>
      </w:r>
      <w:r w:rsidRPr="00CE427E">
        <w:rPr>
          <w:rFonts w:eastAsia="Calibri"/>
          <w:color w:val="000000"/>
          <w:szCs w:val="22"/>
        </w:rPr>
        <w:t xml:space="preserve"> 1 year treatment arm was 0.8</w:t>
      </w:r>
      <w:r w:rsidR="000840CF" w:rsidRPr="00CE427E">
        <w:rPr>
          <w:rFonts w:eastAsia="Calibri"/>
          <w:color w:val="000000"/>
          <w:szCs w:val="22"/>
        </w:rPr>
        <w:t>%</w:t>
      </w:r>
      <w:r w:rsidRPr="00CE427E">
        <w:rPr>
          <w:rFonts w:eastAsia="Calibri"/>
          <w:color w:val="000000"/>
          <w:szCs w:val="22"/>
        </w:rPr>
        <w:t>, and the rate of mild symptomatic and asymptomatic left ventricular dysfunction was 4.6</w:t>
      </w:r>
      <w:r w:rsidR="000840CF" w:rsidRPr="00CE427E">
        <w:rPr>
          <w:rFonts w:eastAsia="Calibri"/>
          <w:color w:val="000000"/>
          <w:szCs w:val="22"/>
        </w:rPr>
        <w:t>%</w:t>
      </w:r>
      <w:r w:rsidRPr="00CE427E">
        <w:rPr>
          <w:rFonts w:eastAsia="Calibri"/>
          <w:color w:val="000000"/>
          <w:szCs w:val="22"/>
        </w:rPr>
        <w:t>.</w:t>
      </w:r>
    </w:p>
    <w:p w14:paraId="3EC1F708" w14:textId="77777777" w:rsidR="00DC5680" w:rsidRPr="00CE427E" w:rsidRDefault="00DC5680" w:rsidP="006128F6">
      <w:pPr>
        <w:tabs>
          <w:tab w:val="clear" w:pos="567"/>
        </w:tabs>
        <w:autoSpaceDE w:val="0"/>
        <w:autoSpaceDN w:val="0"/>
        <w:adjustRightInd w:val="0"/>
        <w:spacing w:line="240" w:lineRule="auto"/>
        <w:rPr>
          <w:rFonts w:eastAsia="Calibri"/>
          <w:color w:val="000000"/>
          <w:szCs w:val="22"/>
        </w:rPr>
      </w:pPr>
    </w:p>
    <w:p w14:paraId="322EB8D6" w14:textId="24234033" w:rsidR="00DC5680" w:rsidRPr="00CE427E" w:rsidRDefault="00DC5680"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Reversibility of severe CHF (defined as a sequence of at least two consecutive LVEF values ≥</w:t>
      </w:r>
      <w:r w:rsidRPr="006128F6">
        <w:rPr>
          <w:rFonts w:eastAsia="TimesNewRomanPSMT"/>
          <w:color w:val="000000"/>
          <w:szCs w:val="22"/>
        </w:rPr>
        <w:t> </w:t>
      </w:r>
      <w:r w:rsidR="000E4CEB" w:rsidRPr="00CE427E">
        <w:rPr>
          <w:rFonts w:eastAsia="Calibri"/>
          <w:color w:val="000000"/>
          <w:szCs w:val="22"/>
        </w:rPr>
        <w:t>50</w:t>
      </w:r>
      <w:r w:rsidR="000840CF" w:rsidRPr="00CE427E">
        <w:rPr>
          <w:rFonts w:eastAsia="Calibri"/>
          <w:color w:val="000000"/>
          <w:szCs w:val="22"/>
        </w:rPr>
        <w:t>%</w:t>
      </w:r>
      <w:r w:rsidRPr="00CE427E">
        <w:rPr>
          <w:rFonts w:eastAsia="Calibri"/>
          <w:color w:val="000000"/>
          <w:szCs w:val="22"/>
        </w:rPr>
        <w:t xml:space="preserve"> after the event) was evident for 71.4</w:t>
      </w:r>
      <w:r w:rsidR="000840CF" w:rsidRPr="00CE427E">
        <w:rPr>
          <w:rFonts w:eastAsia="Calibri"/>
          <w:color w:val="000000"/>
          <w:szCs w:val="22"/>
        </w:rPr>
        <w:t>%</w:t>
      </w:r>
      <w:r w:rsidRPr="00CE427E">
        <w:rPr>
          <w:rFonts w:eastAsia="Calibri"/>
          <w:color w:val="000000"/>
          <w:szCs w:val="22"/>
        </w:rPr>
        <w:t xml:space="preserve"> of </w:t>
      </w:r>
      <w:r w:rsidR="002C52FF" w:rsidRPr="00CE427E">
        <w:rPr>
          <w:rFonts w:eastAsia="Calibri"/>
          <w:color w:val="000000"/>
          <w:szCs w:val="22"/>
        </w:rPr>
        <w:t>trastuzumab</w:t>
      </w:r>
      <w:r w:rsidRPr="00CE427E">
        <w:rPr>
          <w:rFonts w:eastAsia="Calibri"/>
          <w:color w:val="000000"/>
          <w:szCs w:val="22"/>
        </w:rPr>
        <w:t>-treated patients. Reversibility of mild symptomatic and asymptomatic left ventricular dysfunction was demonstrated for 79.5</w:t>
      </w:r>
      <w:r w:rsidR="000840CF" w:rsidRPr="00CE427E">
        <w:rPr>
          <w:rFonts w:eastAsia="Calibri"/>
          <w:color w:val="000000"/>
          <w:szCs w:val="22"/>
        </w:rPr>
        <w:t>%</w:t>
      </w:r>
      <w:r w:rsidRPr="00CE427E">
        <w:rPr>
          <w:rFonts w:eastAsia="Calibri"/>
          <w:color w:val="000000"/>
          <w:szCs w:val="22"/>
        </w:rPr>
        <w:t xml:space="preserve"> of patients. Approximately 17</w:t>
      </w:r>
      <w:r w:rsidR="000840CF" w:rsidRPr="00CE427E">
        <w:rPr>
          <w:rFonts w:eastAsia="Calibri"/>
          <w:color w:val="000000"/>
          <w:szCs w:val="22"/>
        </w:rPr>
        <w:t>%</w:t>
      </w:r>
      <w:r w:rsidRPr="00CE427E">
        <w:rPr>
          <w:rFonts w:eastAsia="Calibri"/>
          <w:color w:val="000000"/>
          <w:szCs w:val="22"/>
        </w:rPr>
        <w:t xml:space="preserve"> of cardiac dysfunction related events occurred after completion of </w:t>
      </w:r>
      <w:r w:rsidR="00702268" w:rsidRPr="00CE427E">
        <w:rPr>
          <w:rFonts w:eastAsia="Calibri"/>
          <w:color w:val="000000"/>
          <w:szCs w:val="22"/>
        </w:rPr>
        <w:t>trastuzumab</w:t>
      </w:r>
      <w:r w:rsidRPr="00CE427E">
        <w:rPr>
          <w:rFonts w:eastAsia="Calibri"/>
          <w:color w:val="000000"/>
          <w:szCs w:val="22"/>
        </w:rPr>
        <w:t xml:space="preserve">. </w:t>
      </w:r>
    </w:p>
    <w:p w14:paraId="4575B5CB" w14:textId="77777777" w:rsidR="00DC5680" w:rsidRPr="00CE427E" w:rsidRDefault="00DC5680" w:rsidP="006128F6">
      <w:pPr>
        <w:tabs>
          <w:tab w:val="clear" w:pos="567"/>
        </w:tabs>
        <w:autoSpaceDE w:val="0"/>
        <w:autoSpaceDN w:val="0"/>
        <w:adjustRightInd w:val="0"/>
        <w:spacing w:line="240" w:lineRule="auto"/>
        <w:rPr>
          <w:rFonts w:eastAsia="Calibri"/>
          <w:color w:val="000000"/>
          <w:szCs w:val="22"/>
        </w:rPr>
      </w:pPr>
    </w:p>
    <w:p w14:paraId="4FCC1499" w14:textId="4DEFD95E" w:rsidR="00DC5680" w:rsidRPr="00CE427E" w:rsidRDefault="00DC5680"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In the pivotal metastatic </w:t>
      </w:r>
      <w:r w:rsidR="004A5EE5">
        <w:rPr>
          <w:rFonts w:eastAsia="Calibri"/>
          <w:color w:val="000000"/>
          <w:szCs w:val="22"/>
        </w:rPr>
        <w:t>studie</w:t>
      </w:r>
      <w:r w:rsidRPr="00CE427E">
        <w:rPr>
          <w:rFonts w:eastAsia="Calibri"/>
          <w:color w:val="000000"/>
          <w:szCs w:val="22"/>
        </w:rPr>
        <w:t xml:space="preserve">s of intravenous </w:t>
      </w:r>
      <w:r w:rsidR="00702268" w:rsidRPr="00CE427E">
        <w:rPr>
          <w:rFonts w:eastAsia="Calibri"/>
          <w:color w:val="000000"/>
          <w:szCs w:val="22"/>
        </w:rPr>
        <w:t>trastuzumab</w:t>
      </w:r>
      <w:r w:rsidRPr="00CE427E">
        <w:rPr>
          <w:rFonts w:eastAsia="Calibri"/>
          <w:color w:val="000000"/>
          <w:szCs w:val="22"/>
        </w:rPr>
        <w:t>, the incidence of cardiac dysfunction varied between 9</w:t>
      </w:r>
      <w:r w:rsidR="000840CF" w:rsidRPr="00CE427E">
        <w:rPr>
          <w:rFonts w:eastAsia="Calibri"/>
          <w:color w:val="000000"/>
          <w:szCs w:val="22"/>
        </w:rPr>
        <w:t>%</w:t>
      </w:r>
      <w:r w:rsidRPr="00CE427E">
        <w:rPr>
          <w:rFonts w:eastAsia="Calibri"/>
          <w:color w:val="000000"/>
          <w:szCs w:val="22"/>
        </w:rPr>
        <w:t xml:space="preserve"> and 12</w:t>
      </w:r>
      <w:r w:rsidR="000840CF" w:rsidRPr="00CE427E">
        <w:rPr>
          <w:rFonts w:eastAsia="Calibri"/>
          <w:color w:val="000000"/>
          <w:szCs w:val="22"/>
        </w:rPr>
        <w:t>%</w:t>
      </w:r>
      <w:r w:rsidRPr="00CE427E">
        <w:rPr>
          <w:rFonts w:eastAsia="Calibri"/>
          <w:color w:val="000000"/>
          <w:szCs w:val="22"/>
        </w:rPr>
        <w:t xml:space="preserve"> when it was combined with paclitaxel compared with 1</w:t>
      </w:r>
      <w:r w:rsidR="000840CF" w:rsidRPr="00CE427E">
        <w:rPr>
          <w:rFonts w:eastAsia="Calibri"/>
          <w:color w:val="000000"/>
          <w:szCs w:val="22"/>
        </w:rPr>
        <w:t>%</w:t>
      </w:r>
      <w:r w:rsidRPr="00CE427E">
        <w:rPr>
          <w:rFonts w:eastAsia="Calibri"/>
          <w:color w:val="000000"/>
          <w:szCs w:val="22"/>
        </w:rPr>
        <w:noBreakHyphen/>
        <w:t>4</w:t>
      </w:r>
      <w:r w:rsidR="000840CF" w:rsidRPr="00CE427E">
        <w:rPr>
          <w:rFonts w:eastAsia="Calibri"/>
          <w:color w:val="000000"/>
          <w:szCs w:val="22"/>
        </w:rPr>
        <w:t>%</w:t>
      </w:r>
      <w:r w:rsidRPr="00CE427E">
        <w:rPr>
          <w:rFonts w:eastAsia="Calibri"/>
          <w:color w:val="000000"/>
          <w:szCs w:val="22"/>
        </w:rPr>
        <w:t xml:space="preserve"> for paclitaxel alone. For monotherapy, the rate was 6</w:t>
      </w:r>
      <w:r w:rsidR="000840CF" w:rsidRPr="00CE427E">
        <w:rPr>
          <w:rFonts w:eastAsia="Calibri"/>
          <w:color w:val="000000"/>
          <w:szCs w:val="22"/>
        </w:rPr>
        <w:t>%</w:t>
      </w:r>
      <w:r w:rsidRPr="00CE427E">
        <w:rPr>
          <w:rFonts w:eastAsia="Calibri"/>
          <w:color w:val="000000"/>
          <w:szCs w:val="22"/>
        </w:rPr>
        <w:t> </w:t>
      </w:r>
      <w:r w:rsidRPr="00CE427E">
        <w:rPr>
          <w:rFonts w:eastAsia="Calibri"/>
          <w:color w:val="000000"/>
          <w:szCs w:val="22"/>
        </w:rPr>
        <w:noBreakHyphen/>
        <w:t> 9</w:t>
      </w:r>
      <w:r w:rsidR="000840CF" w:rsidRPr="00CE427E">
        <w:rPr>
          <w:rFonts w:eastAsia="Calibri"/>
          <w:color w:val="000000"/>
          <w:szCs w:val="22"/>
        </w:rPr>
        <w:t>%</w:t>
      </w:r>
      <w:r w:rsidRPr="00CE427E">
        <w:rPr>
          <w:rFonts w:eastAsia="Calibri"/>
          <w:color w:val="000000"/>
          <w:szCs w:val="22"/>
        </w:rPr>
        <w:t xml:space="preserve">. The highest rate of cardiac dysfunction was seen in patients receiving </w:t>
      </w:r>
      <w:r w:rsidR="00702268" w:rsidRPr="00CE427E">
        <w:rPr>
          <w:rFonts w:eastAsia="Calibri"/>
          <w:color w:val="000000"/>
          <w:szCs w:val="22"/>
        </w:rPr>
        <w:t>trastuzumab</w:t>
      </w:r>
      <w:r w:rsidRPr="00CE427E">
        <w:rPr>
          <w:rFonts w:eastAsia="Calibri"/>
          <w:color w:val="000000"/>
          <w:szCs w:val="22"/>
        </w:rPr>
        <w:t xml:space="preserve"> concurrently with anthracycline/cyclophosphamide (27</w:t>
      </w:r>
      <w:r w:rsidR="000840CF" w:rsidRPr="00CE427E">
        <w:rPr>
          <w:rFonts w:eastAsia="Calibri"/>
          <w:color w:val="000000"/>
          <w:szCs w:val="22"/>
        </w:rPr>
        <w:t>%</w:t>
      </w:r>
      <w:r w:rsidRPr="00CE427E">
        <w:rPr>
          <w:rFonts w:eastAsia="Calibri"/>
          <w:color w:val="000000"/>
          <w:szCs w:val="22"/>
        </w:rPr>
        <w:t xml:space="preserve">), </w:t>
      </w:r>
      <w:r w:rsidR="000C4E54" w:rsidRPr="00CE427E">
        <w:rPr>
          <w:rFonts w:eastAsia="Calibri"/>
          <w:color w:val="000000"/>
          <w:szCs w:val="22"/>
        </w:rPr>
        <w:t xml:space="preserve">and was </w:t>
      </w:r>
      <w:r w:rsidRPr="00CE427E">
        <w:rPr>
          <w:rFonts w:eastAsia="Calibri"/>
          <w:color w:val="000000"/>
          <w:szCs w:val="22"/>
        </w:rPr>
        <w:t>significantly higher than for anthracycline/cyclophosphamide alone (7</w:t>
      </w:r>
      <w:r w:rsidR="000840CF" w:rsidRPr="00CE427E">
        <w:rPr>
          <w:rFonts w:eastAsia="Calibri"/>
          <w:color w:val="000000"/>
          <w:szCs w:val="22"/>
        </w:rPr>
        <w:t>%</w:t>
      </w:r>
      <w:r w:rsidRPr="00CE427E">
        <w:rPr>
          <w:rFonts w:eastAsia="Calibri"/>
          <w:color w:val="000000"/>
          <w:szCs w:val="22"/>
        </w:rPr>
        <w:noBreakHyphen/>
        <w:t>10</w:t>
      </w:r>
      <w:r w:rsidR="000840CF" w:rsidRPr="00CE427E">
        <w:rPr>
          <w:rFonts w:eastAsia="Calibri"/>
          <w:color w:val="000000"/>
          <w:szCs w:val="22"/>
        </w:rPr>
        <w:t>%</w:t>
      </w:r>
      <w:r w:rsidRPr="00CE427E">
        <w:rPr>
          <w:rFonts w:eastAsia="Calibri"/>
          <w:color w:val="000000"/>
          <w:szCs w:val="22"/>
        </w:rPr>
        <w:t xml:space="preserve">). In a subsequent </w:t>
      </w:r>
      <w:r w:rsidR="004A5EE5">
        <w:rPr>
          <w:rFonts w:eastAsia="Calibri"/>
          <w:color w:val="000000"/>
          <w:szCs w:val="22"/>
        </w:rPr>
        <w:t>study</w:t>
      </w:r>
      <w:r w:rsidRPr="00CE427E">
        <w:rPr>
          <w:rFonts w:eastAsia="Calibri"/>
          <w:color w:val="000000"/>
          <w:szCs w:val="22"/>
        </w:rPr>
        <w:t xml:space="preserve"> with prospective monitoring of cardiac function, the incidence of symptomatic CHF was 2.2</w:t>
      </w:r>
      <w:r w:rsidR="000840CF" w:rsidRPr="00CE427E">
        <w:rPr>
          <w:rFonts w:eastAsia="Calibri"/>
          <w:color w:val="000000"/>
          <w:szCs w:val="22"/>
        </w:rPr>
        <w:t>%</w:t>
      </w:r>
      <w:r w:rsidRPr="00CE427E">
        <w:rPr>
          <w:rFonts w:eastAsia="Calibri"/>
          <w:color w:val="000000"/>
          <w:szCs w:val="22"/>
        </w:rPr>
        <w:t xml:space="preserve"> in patients receiving </w:t>
      </w:r>
      <w:r w:rsidR="00702268" w:rsidRPr="00CE427E">
        <w:rPr>
          <w:rFonts w:eastAsia="Calibri"/>
          <w:color w:val="000000"/>
          <w:szCs w:val="22"/>
        </w:rPr>
        <w:t>trastuzumab</w:t>
      </w:r>
      <w:r w:rsidRPr="00CE427E">
        <w:rPr>
          <w:rFonts w:eastAsia="Calibri"/>
          <w:color w:val="000000"/>
          <w:szCs w:val="22"/>
        </w:rPr>
        <w:t xml:space="preserve"> and docetaxel, compared with 0</w:t>
      </w:r>
      <w:r w:rsidR="000840CF" w:rsidRPr="00CE427E">
        <w:rPr>
          <w:rFonts w:eastAsia="Calibri"/>
          <w:color w:val="000000"/>
          <w:szCs w:val="22"/>
        </w:rPr>
        <w:t>%</w:t>
      </w:r>
      <w:r w:rsidRPr="00CE427E">
        <w:rPr>
          <w:rFonts w:eastAsia="Calibri"/>
          <w:color w:val="000000"/>
          <w:szCs w:val="22"/>
        </w:rPr>
        <w:t xml:space="preserve"> in patients receiving docetaxel alone. </w:t>
      </w:r>
      <w:r w:rsidRPr="00CE427E">
        <w:rPr>
          <w:rFonts w:eastAsia="Calibri"/>
          <w:color w:val="000000"/>
          <w:szCs w:val="22"/>
        </w:rPr>
        <w:lastRenderedPageBreak/>
        <w:t>Most of the patients (79</w:t>
      </w:r>
      <w:r w:rsidR="000840CF" w:rsidRPr="00CE427E">
        <w:rPr>
          <w:rFonts w:eastAsia="Calibri"/>
          <w:color w:val="000000"/>
          <w:szCs w:val="22"/>
        </w:rPr>
        <w:t>%</w:t>
      </w:r>
      <w:r w:rsidRPr="00CE427E">
        <w:rPr>
          <w:rFonts w:eastAsia="Calibri"/>
          <w:color w:val="000000"/>
          <w:szCs w:val="22"/>
        </w:rPr>
        <w:t xml:space="preserve">) who developed cardiac dysfunction in these </w:t>
      </w:r>
      <w:r w:rsidR="004A5EE5">
        <w:rPr>
          <w:rFonts w:eastAsia="Calibri"/>
          <w:color w:val="000000"/>
          <w:szCs w:val="22"/>
        </w:rPr>
        <w:t>studie</w:t>
      </w:r>
      <w:r w:rsidRPr="00CE427E">
        <w:rPr>
          <w:rFonts w:eastAsia="Calibri"/>
          <w:color w:val="000000"/>
          <w:szCs w:val="22"/>
        </w:rPr>
        <w:t>s experienced an improvement after receiving standard treatment for CHF.</w:t>
      </w:r>
    </w:p>
    <w:p w14:paraId="633F01FA" w14:textId="77777777" w:rsidR="00DC5680" w:rsidRPr="00CE427E" w:rsidRDefault="00DC5680" w:rsidP="006128F6">
      <w:pPr>
        <w:tabs>
          <w:tab w:val="clear" w:pos="567"/>
        </w:tabs>
        <w:autoSpaceDE w:val="0"/>
        <w:autoSpaceDN w:val="0"/>
        <w:adjustRightInd w:val="0"/>
        <w:spacing w:line="240" w:lineRule="auto"/>
        <w:rPr>
          <w:rFonts w:eastAsia="Calibri"/>
          <w:i/>
          <w:iCs/>
          <w:color w:val="000000"/>
          <w:szCs w:val="22"/>
        </w:rPr>
      </w:pPr>
    </w:p>
    <w:p w14:paraId="033BD035" w14:textId="77777777" w:rsidR="00DC5680" w:rsidRPr="00CE427E" w:rsidRDefault="00DC5680" w:rsidP="00B61225">
      <w:pPr>
        <w:keepNext/>
        <w:tabs>
          <w:tab w:val="clear" w:pos="567"/>
        </w:tabs>
        <w:autoSpaceDE w:val="0"/>
        <w:autoSpaceDN w:val="0"/>
        <w:adjustRightInd w:val="0"/>
        <w:spacing w:line="240" w:lineRule="auto"/>
        <w:rPr>
          <w:rFonts w:eastAsia="Calibri"/>
          <w:i/>
          <w:iCs/>
          <w:color w:val="000000"/>
          <w:szCs w:val="22"/>
          <w:u w:val="single"/>
        </w:rPr>
      </w:pPr>
      <w:r w:rsidRPr="00CE427E">
        <w:rPr>
          <w:rFonts w:eastAsia="Calibri"/>
          <w:i/>
          <w:iCs/>
          <w:color w:val="000000"/>
          <w:szCs w:val="22"/>
          <w:u w:val="single"/>
        </w:rPr>
        <w:t>Infusion reactions, allergic-like reactions and hypersensitivity</w:t>
      </w:r>
    </w:p>
    <w:p w14:paraId="431F430E" w14:textId="77777777" w:rsidR="000E1F7F" w:rsidRPr="00CE427E" w:rsidRDefault="000E1F7F" w:rsidP="00B61225">
      <w:pPr>
        <w:keepNext/>
        <w:tabs>
          <w:tab w:val="clear" w:pos="567"/>
        </w:tabs>
        <w:autoSpaceDE w:val="0"/>
        <w:autoSpaceDN w:val="0"/>
        <w:adjustRightInd w:val="0"/>
        <w:spacing w:line="240" w:lineRule="auto"/>
        <w:rPr>
          <w:rFonts w:eastAsia="Calibri"/>
          <w:i/>
          <w:iCs/>
          <w:color w:val="000000"/>
          <w:szCs w:val="22"/>
          <w:u w:val="single"/>
        </w:rPr>
      </w:pPr>
    </w:p>
    <w:p w14:paraId="28AF2273" w14:textId="2ABB1C55" w:rsidR="00DC5680" w:rsidRPr="00CE427E" w:rsidRDefault="00DC5680"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It is estimated that approximately 40</w:t>
      </w:r>
      <w:r w:rsidR="000840CF" w:rsidRPr="00CE427E">
        <w:rPr>
          <w:rFonts w:eastAsia="Calibri"/>
          <w:color w:val="000000"/>
          <w:szCs w:val="22"/>
        </w:rPr>
        <w:t>%</w:t>
      </w:r>
      <w:r w:rsidRPr="00CE427E">
        <w:rPr>
          <w:rFonts w:eastAsia="Calibri"/>
          <w:color w:val="000000"/>
          <w:szCs w:val="22"/>
        </w:rPr>
        <w:t xml:space="preserve"> of patients who are treated with </w:t>
      </w:r>
      <w:r w:rsidR="00702268" w:rsidRPr="00CE427E">
        <w:rPr>
          <w:rFonts w:eastAsia="Calibri"/>
          <w:color w:val="000000"/>
          <w:szCs w:val="22"/>
        </w:rPr>
        <w:t>trastuzumab</w:t>
      </w:r>
      <w:r w:rsidRPr="00CE427E">
        <w:rPr>
          <w:rFonts w:eastAsia="Calibri"/>
          <w:color w:val="000000"/>
          <w:szCs w:val="22"/>
        </w:rPr>
        <w:t xml:space="preserve"> will experience some form of infusion-related reaction. However, the majority of infusion</w:t>
      </w:r>
      <w:r w:rsidRPr="00CE427E">
        <w:rPr>
          <w:rFonts w:eastAsia="Calibri"/>
          <w:color w:val="000000"/>
          <w:szCs w:val="22"/>
        </w:rPr>
        <w:noBreakHyphen/>
        <w:t>related reactions are mild to moderate in intensity (NCI</w:t>
      </w:r>
      <w:r w:rsidRPr="00CE427E">
        <w:rPr>
          <w:rFonts w:eastAsia="Calibri"/>
          <w:color w:val="000000"/>
          <w:szCs w:val="22"/>
        </w:rPr>
        <w:noBreakHyphen/>
        <w:t>CTC grading system) and tend to occur earlier in treatment, i.e. during infusions one, two and three and lessen in frequency in subsequent infusions. Reactions include chills, fever, dyspnoea, hypotension, wheezing, bronchospasm, tachycardia, reduced oxygen saturation, respiratory distress, rash, nausea, vomiting and headache (see section 4.4). The rate of infusion</w:t>
      </w:r>
      <w:r w:rsidRPr="00CE427E">
        <w:rPr>
          <w:rFonts w:eastAsia="Calibri"/>
          <w:color w:val="000000"/>
          <w:szCs w:val="22"/>
        </w:rPr>
        <w:noBreakHyphen/>
        <w:t>related reactions of all grades varied between studies depending on the indication, the data collection methodology, and whether trastuzumab was given concurrently with chemotherapy or as monotherapy.</w:t>
      </w:r>
    </w:p>
    <w:p w14:paraId="61C95B29" w14:textId="77777777" w:rsidR="00DC5680" w:rsidRPr="00CE427E" w:rsidRDefault="00DC5680" w:rsidP="006128F6">
      <w:pPr>
        <w:tabs>
          <w:tab w:val="clear" w:pos="567"/>
        </w:tabs>
        <w:autoSpaceDE w:val="0"/>
        <w:autoSpaceDN w:val="0"/>
        <w:adjustRightInd w:val="0"/>
        <w:spacing w:line="240" w:lineRule="auto"/>
        <w:rPr>
          <w:rFonts w:eastAsia="Calibri"/>
          <w:color w:val="000000"/>
          <w:szCs w:val="22"/>
        </w:rPr>
      </w:pPr>
    </w:p>
    <w:p w14:paraId="3F994EC4" w14:textId="01D0B473" w:rsidR="00DC5680" w:rsidRPr="00CE427E" w:rsidRDefault="00DC5680"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Severe anaphylactic reactions requiring immediate additional intervention can occur usually during either the first or second infusion of </w:t>
      </w:r>
      <w:r w:rsidR="00702268" w:rsidRPr="00CE427E">
        <w:rPr>
          <w:rFonts w:eastAsia="Calibri"/>
          <w:color w:val="000000"/>
          <w:szCs w:val="22"/>
        </w:rPr>
        <w:t>trastuzumab</w:t>
      </w:r>
      <w:r w:rsidRPr="00CE427E">
        <w:rPr>
          <w:rFonts w:eastAsia="Calibri"/>
          <w:color w:val="000000"/>
          <w:szCs w:val="22"/>
        </w:rPr>
        <w:t xml:space="preserve"> (see section 4.4) and have been associated with a fatal outcome.</w:t>
      </w:r>
      <w:r w:rsidR="0032436C" w:rsidRPr="00CE427E">
        <w:rPr>
          <w:rFonts w:eastAsia="Calibri"/>
          <w:color w:val="000000"/>
          <w:szCs w:val="22"/>
        </w:rPr>
        <w:t xml:space="preserve"> </w:t>
      </w:r>
      <w:r w:rsidRPr="00CE427E">
        <w:rPr>
          <w:rFonts w:eastAsia="Calibri"/>
          <w:color w:val="000000"/>
          <w:szCs w:val="22"/>
        </w:rPr>
        <w:t>Anaphylactoid reactions have been observed in isolated cases.</w:t>
      </w:r>
    </w:p>
    <w:p w14:paraId="776F8333" w14:textId="77777777" w:rsidR="00DC5680" w:rsidRPr="00CE427E" w:rsidRDefault="00DC5680" w:rsidP="006128F6">
      <w:pPr>
        <w:tabs>
          <w:tab w:val="clear" w:pos="567"/>
        </w:tabs>
        <w:autoSpaceDE w:val="0"/>
        <w:autoSpaceDN w:val="0"/>
        <w:adjustRightInd w:val="0"/>
        <w:spacing w:line="240" w:lineRule="auto"/>
        <w:rPr>
          <w:rFonts w:eastAsia="Calibri"/>
          <w:i/>
          <w:iCs/>
          <w:color w:val="000000"/>
          <w:szCs w:val="22"/>
        </w:rPr>
      </w:pPr>
    </w:p>
    <w:p w14:paraId="0C093F1B" w14:textId="77777777" w:rsidR="00DC5680" w:rsidRPr="00CE427E" w:rsidRDefault="00DC5680" w:rsidP="006128F6">
      <w:pPr>
        <w:keepNext/>
        <w:tabs>
          <w:tab w:val="clear" w:pos="567"/>
        </w:tabs>
        <w:autoSpaceDE w:val="0"/>
        <w:autoSpaceDN w:val="0"/>
        <w:adjustRightInd w:val="0"/>
        <w:spacing w:line="240" w:lineRule="auto"/>
        <w:rPr>
          <w:rFonts w:eastAsia="Calibri"/>
          <w:i/>
          <w:iCs/>
          <w:color w:val="000000"/>
          <w:szCs w:val="22"/>
          <w:u w:val="single"/>
        </w:rPr>
      </w:pPr>
      <w:r w:rsidRPr="00CE427E">
        <w:rPr>
          <w:rFonts w:eastAsia="Calibri"/>
          <w:i/>
          <w:iCs/>
          <w:color w:val="000000"/>
          <w:szCs w:val="22"/>
          <w:u w:val="single"/>
        </w:rPr>
        <w:t>Haematotoxicity</w:t>
      </w:r>
    </w:p>
    <w:p w14:paraId="215C5A7C" w14:textId="77777777" w:rsidR="000E1F7F" w:rsidRPr="00CE427E" w:rsidRDefault="000E1F7F" w:rsidP="006128F6">
      <w:pPr>
        <w:keepNext/>
        <w:tabs>
          <w:tab w:val="clear" w:pos="567"/>
        </w:tabs>
        <w:autoSpaceDE w:val="0"/>
        <w:autoSpaceDN w:val="0"/>
        <w:adjustRightInd w:val="0"/>
        <w:spacing w:line="240" w:lineRule="auto"/>
        <w:rPr>
          <w:rFonts w:eastAsia="Calibri"/>
          <w:i/>
          <w:iCs/>
          <w:color w:val="000000"/>
          <w:szCs w:val="22"/>
          <w:u w:val="single"/>
        </w:rPr>
      </w:pPr>
    </w:p>
    <w:p w14:paraId="59C6A0C9" w14:textId="663304EB" w:rsidR="00DC5680" w:rsidRPr="00CE427E" w:rsidRDefault="00DC5680" w:rsidP="006128F6">
      <w:pPr>
        <w:keepNext/>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Febrile neutropenia</w:t>
      </w:r>
      <w:r w:rsidR="000C4E54" w:rsidRPr="00CE427E">
        <w:rPr>
          <w:rFonts w:eastAsia="Calibri"/>
          <w:color w:val="000000"/>
          <w:szCs w:val="22"/>
        </w:rPr>
        <w:t>,</w:t>
      </w:r>
      <w:r w:rsidRPr="00CE427E">
        <w:rPr>
          <w:rFonts w:eastAsia="Calibri"/>
          <w:color w:val="000000"/>
          <w:szCs w:val="22"/>
        </w:rPr>
        <w:t xml:space="preserve"> leukopenia</w:t>
      </w:r>
      <w:r w:rsidR="000C4E54" w:rsidRPr="00CE427E">
        <w:rPr>
          <w:rFonts w:eastAsia="Calibri"/>
          <w:color w:val="000000"/>
          <w:szCs w:val="22"/>
        </w:rPr>
        <w:t>, anaemia, thrombocytopenia and neutropenia</w:t>
      </w:r>
      <w:r w:rsidRPr="00CE427E">
        <w:rPr>
          <w:rFonts w:eastAsia="Calibri"/>
          <w:color w:val="000000"/>
          <w:szCs w:val="22"/>
        </w:rPr>
        <w:t xml:space="preserve"> occurred very commonly. The frequency of occurrence of hypoprothrombin</w:t>
      </w:r>
      <w:r w:rsidR="00AE0770" w:rsidRPr="00CE427E">
        <w:rPr>
          <w:rFonts w:eastAsia="Calibri"/>
          <w:color w:val="000000"/>
          <w:szCs w:val="22"/>
        </w:rPr>
        <w:t>a</w:t>
      </w:r>
      <w:r w:rsidRPr="00CE427E">
        <w:rPr>
          <w:rFonts w:eastAsia="Calibri"/>
          <w:color w:val="000000"/>
          <w:szCs w:val="22"/>
        </w:rPr>
        <w:t>emia is not known. The risk of neutropenia may be slightly increased when trastuzumab is administered with docetaxel following anthracycline therapy.</w:t>
      </w:r>
    </w:p>
    <w:p w14:paraId="34131EC7" w14:textId="77777777" w:rsidR="00DC5680" w:rsidRPr="00CE427E" w:rsidRDefault="00DC5680" w:rsidP="006128F6">
      <w:pPr>
        <w:tabs>
          <w:tab w:val="clear" w:pos="567"/>
        </w:tabs>
        <w:autoSpaceDE w:val="0"/>
        <w:autoSpaceDN w:val="0"/>
        <w:adjustRightInd w:val="0"/>
        <w:spacing w:line="240" w:lineRule="auto"/>
        <w:rPr>
          <w:rFonts w:eastAsia="Calibri"/>
          <w:i/>
          <w:iCs/>
          <w:color w:val="000000"/>
          <w:szCs w:val="22"/>
        </w:rPr>
      </w:pPr>
    </w:p>
    <w:p w14:paraId="5C909760" w14:textId="77777777" w:rsidR="00DC5680" w:rsidRPr="00CE427E" w:rsidRDefault="00DC5680" w:rsidP="006128F6">
      <w:pPr>
        <w:tabs>
          <w:tab w:val="clear" w:pos="567"/>
        </w:tabs>
        <w:autoSpaceDE w:val="0"/>
        <w:autoSpaceDN w:val="0"/>
        <w:adjustRightInd w:val="0"/>
        <w:spacing w:line="240" w:lineRule="auto"/>
        <w:rPr>
          <w:rFonts w:eastAsia="Calibri"/>
          <w:i/>
          <w:iCs/>
          <w:color w:val="000000"/>
          <w:szCs w:val="22"/>
          <w:u w:val="single"/>
        </w:rPr>
      </w:pPr>
      <w:r w:rsidRPr="00CE427E">
        <w:rPr>
          <w:rFonts w:eastAsia="Calibri"/>
          <w:i/>
          <w:iCs/>
          <w:color w:val="000000"/>
          <w:szCs w:val="22"/>
          <w:u w:val="single"/>
        </w:rPr>
        <w:t>Pulmonary events</w:t>
      </w:r>
    </w:p>
    <w:p w14:paraId="6F081E30" w14:textId="77777777" w:rsidR="000E1F7F" w:rsidRPr="00CE427E" w:rsidRDefault="000E1F7F" w:rsidP="006128F6">
      <w:pPr>
        <w:tabs>
          <w:tab w:val="clear" w:pos="567"/>
        </w:tabs>
        <w:autoSpaceDE w:val="0"/>
        <w:autoSpaceDN w:val="0"/>
        <w:adjustRightInd w:val="0"/>
        <w:spacing w:line="240" w:lineRule="auto"/>
        <w:rPr>
          <w:rFonts w:eastAsia="Calibri"/>
          <w:i/>
          <w:iCs/>
          <w:color w:val="000000"/>
          <w:szCs w:val="22"/>
          <w:u w:val="single"/>
        </w:rPr>
      </w:pPr>
    </w:p>
    <w:p w14:paraId="320C2AF9" w14:textId="77777777" w:rsidR="00DC5680" w:rsidRPr="00CE427E" w:rsidRDefault="00DC5680"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Severe pulmonary adverse reactions occur in association with the use of </w:t>
      </w:r>
      <w:r w:rsidR="00702268" w:rsidRPr="00CE427E">
        <w:rPr>
          <w:rFonts w:eastAsia="Calibri"/>
          <w:color w:val="000000"/>
          <w:szCs w:val="22"/>
        </w:rPr>
        <w:t>trastuzumab</w:t>
      </w:r>
      <w:r w:rsidRPr="00CE427E">
        <w:rPr>
          <w:rFonts w:eastAsia="Calibri"/>
          <w:color w:val="000000"/>
          <w:szCs w:val="22"/>
        </w:rPr>
        <w:t xml:space="preserve"> and have been associated with a fatal outcome. These include, but are not limited to, pulmonary infiltrates, acute respiratory distress syndrome, pneumonia, pneumonitis, pleural effusion, respiratory distress, acute pulmonary oedema and respiratory insufficiency (see section 4.4).</w:t>
      </w:r>
    </w:p>
    <w:p w14:paraId="17D957EB" w14:textId="77777777" w:rsidR="00DC5680" w:rsidRPr="00CE427E" w:rsidRDefault="00DC5680" w:rsidP="006128F6">
      <w:pPr>
        <w:tabs>
          <w:tab w:val="clear" w:pos="567"/>
        </w:tabs>
        <w:autoSpaceDE w:val="0"/>
        <w:autoSpaceDN w:val="0"/>
        <w:adjustRightInd w:val="0"/>
        <w:spacing w:line="240" w:lineRule="auto"/>
        <w:rPr>
          <w:rFonts w:eastAsia="Calibri"/>
          <w:color w:val="000000"/>
          <w:szCs w:val="22"/>
        </w:rPr>
      </w:pPr>
    </w:p>
    <w:p w14:paraId="4D1CBF49" w14:textId="2CC5E44C" w:rsidR="004E2671" w:rsidRPr="00CE427E" w:rsidRDefault="00DC5680" w:rsidP="004E2671">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Details of risk minimisation measures that are consistent with </w:t>
      </w:r>
      <w:r w:rsidR="001A72D2" w:rsidRPr="00CE427E">
        <w:rPr>
          <w:rFonts w:eastAsia="Calibri"/>
          <w:color w:val="000000"/>
          <w:szCs w:val="22"/>
        </w:rPr>
        <w:t xml:space="preserve">the EU Risk Management Plan are </w:t>
      </w:r>
      <w:r w:rsidRPr="00CE427E">
        <w:rPr>
          <w:rFonts w:eastAsia="Calibri"/>
          <w:color w:val="000000"/>
          <w:szCs w:val="22"/>
        </w:rPr>
        <w:t>presented in</w:t>
      </w:r>
      <w:r w:rsidR="001B633B" w:rsidRPr="00CE427E">
        <w:rPr>
          <w:rFonts w:eastAsia="Calibri"/>
          <w:color w:val="000000"/>
          <w:szCs w:val="22"/>
        </w:rPr>
        <w:t xml:space="preserve"> (see section 4.4) w</w:t>
      </w:r>
      <w:r w:rsidR="006073D5" w:rsidRPr="00CE427E">
        <w:rPr>
          <w:rFonts w:eastAsia="Calibri"/>
          <w:color w:val="000000"/>
          <w:szCs w:val="22"/>
        </w:rPr>
        <w:t>arnings and precautions</w:t>
      </w:r>
      <w:r w:rsidR="004E2671" w:rsidRPr="00CE427E">
        <w:rPr>
          <w:rFonts w:eastAsia="Calibri"/>
          <w:color w:val="000000"/>
          <w:szCs w:val="22"/>
        </w:rPr>
        <w:t>.</w:t>
      </w:r>
    </w:p>
    <w:p w14:paraId="32622E49" w14:textId="631C3B53" w:rsidR="00DC5680" w:rsidRPr="00CE427E" w:rsidRDefault="00DC5680" w:rsidP="006128F6">
      <w:pPr>
        <w:tabs>
          <w:tab w:val="clear" w:pos="567"/>
        </w:tabs>
        <w:autoSpaceDE w:val="0"/>
        <w:autoSpaceDN w:val="0"/>
        <w:adjustRightInd w:val="0"/>
        <w:spacing w:line="240" w:lineRule="auto"/>
        <w:rPr>
          <w:rFonts w:eastAsia="Calibri"/>
          <w:color w:val="000000"/>
          <w:szCs w:val="22"/>
        </w:rPr>
      </w:pPr>
    </w:p>
    <w:p w14:paraId="7B9681EE" w14:textId="77777777" w:rsidR="00F72B9A" w:rsidRPr="00CE427E" w:rsidRDefault="00F72B9A" w:rsidP="006128F6">
      <w:pPr>
        <w:tabs>
          <w:tab w:val="clear" w:pos="567"/>
        </w:tabs>
        <w:autoSpaceDE w:val="0"/>
        <w:autoSpaceDN w:val="0"/>
        <w:adjustRightInd w:val="0"/>
        <w:spacing w:line="240" w:lineRule="auto"/>
        <w:rPr>
          <w:rFonts w:eastAsia="Calibri"/>
          <w:i/>
          <w:color w:val="000000"/>
          <w:szCs w:val="22"/>
          <w:u w:val="single"/>
        </w:rPr>
      </w:pPr>
      <w:r w:rsidRPr="00CE427E">
        <w:rPr>
          <w:rFonts w:eastAsia="Calibri"/>
          <w:i/>
          <w:color w:val="000000"/>
          <w:szCs w:val="22"/>
          <w:u w:val="single"/>
        </w:rPr>
        <w:t>Immunogenicity</w:t>
      </w:r>
    </w:p>
    <w:p w14:paraId="58037860" w14:textId="77777777" w:rsidR="00F72B9A" w:rsidRPr="00CE427E" w:rsidRDefault="00F72B9A" w:rsidP="006128F6">
      <w:pPr>
        <w:tabs>
          <w:tab w:val="clear" w:pos="567"/>
        </w:tabs>
        <w:autoSpaceDE w:val="0"/>
        <w:autoSpaceDN w:val="0"/>
        <w:adjustRightInd w:val="0"/>
        <w:spacing w:line="240" w:lineRule="auto"/>
        <w:rPr>
          <w:rFonts w:eastAsia="Calibri"/>
          <w:color w:val="000000"/>
          <w:szCs w:val="22"/>
        </w:rPr>
      </w:pPr>
    </w:p>
    <w:p w14:paraId="182DF0E4" w14:textId="54348091" w:rsidR="00F72B9A" w:rsidRPr="00CE427E" w:rsidRDefault="00F72B9A"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In the neoadjuvant-adjuvant EBC </w:t>
      </w:r>
      <w:r w:rsidR="00D8588A">
        <w:t>study (BO22227)</w:t>
      </w:r>
      <w:r w:rsidR="00D8588A" w:rsidRPr="00500A35">
        <w:t xml:space="preserve">, </w:t>
      </w:r>
      <w:r w:rsidR="00D8588A">
        <w:t>at a median follow-up exceeding 70 months, 10</w:t>
      </w:r>
      <w:r w:rsidRPr="00CE427E">
        <w:rPr>
          <w:rFonts w:eastAsia="Calibri"/>
          <w:color w:val="000000"/>
          <w:szCs w:val="22"/>
        </w:rPr>
        <w:t>.1</w:t>
      </w:r>
      <w:r w:rsidR="000840CF" w:rsidRPr="00CE427E">
        <w:rPr>
          <w:rFonts w:eastAsia="Calibri"/>
          <w:color w:val="000000"/>
          <w:szCs w:val="22"/>
        </w:rPr>
        <w:t>%</w:t>
      </w:r>
      <w:r w:rsidRPr="00CE427E">
        <w:rPr>
          <w:rFonts w:eastAsia="Calibri"/>
          <w:color w:val="000000"/>
          <w:szCs w:val="22"/>
        </w:rPr>
        <w:t xml:space="preserve"> (</w:t>
      </w:r>
      <w:r w:rsidR="00D8588A" w:rsidRPr="00CE427E">
        <w:rPr>
          <w:rFonts w:eastAsia="Calibri"/>
          <w:color w:val="000000"/>
          <w:szCs w:val="22"/>
        </w:rPr>
        <w:t>30</w:t>
      </w:r>
      <w:r w:rsidRPr="00CE427E">
        <w:rPr>
          <w:rFonts w:eastAsia="Calibri"/>
          <w:color w:val="000000"/>
          <w:szCs w:val="22"/>
        </w:rPr>
        <w:t>/296) of patients treated with trastuzumab intravenous developed antibodies against trastuzumab. Neutrali</w:t>
      </w:r>
      <w:r w:rsidR="00E22409" w:rsidRPr="00CE427E">
        <w:rPr>
          <w:rFonts w:eastAsia="Calibri"/>
          <w:color w:val="000000"/>
          <w:szCs w:val="22"/>
        </w:rPr>
        <w:t>s</w:t>
      </w:r>
      <w:r w:rsidRPr="00CE427E">
        <w:rPr>
          <w:rFonts w:eastAsia="Calibri"/>
          <w:color w:val="000000"/>
          <w:szCs w:val="22"/>
        </w:rPr>
        <w:t xml:space="preserve">ing anti-trastuzumab antibodies were detected in post-baseline samples in 2 of </w:t>
      </w:r>
      <w:r w:rsidR="00D8588A" w:rsidRPr="00CE427E">
        <w:rPr>
          <w:rFonts w:eastAsia="Calibri"/>
          <w:color w:val="000000"/>
          <w:szCs w:val="22"/>
        </w:rPr>
        <w:t xml:space="preserve">30 </w:t>
      </w:r>
      <w:r w:rsidR="00D8588A">
        <w:t>patients in the</w:t>
      </w:r>
      <w:r w:rsidR="00D8588A" w:rsidRPr="00CE427E">
        <w:rPr>
          <w:rFonts w:eastAsia="Calibri"/>
          <w:color w:val="000000"/>
          <w:szCs w:val="22"/>
        </w:rPr>
        <w:t xml:space="preserve"> </w:t>
      </w:r>
      <w:r w:rsidRPr="00CE427E">
        <w:rPr>
          <w:rFonts w:eastAsia="Calibri"/>
          <w:color w:val="000000"/>
          <w:szCs w:val="22"/>
        </w:rPr>
        <w:t>trastuzumab intravenous</w:t>
      </w:r>
      <w:r w:rsidR="00D8588A" w:rsidRPr="00CE427E">
        <w:rPr>
          <w:rFonts w:eastAsia="Calibri"/>
          <w:color w:val="000000"/>
          <w:szCs w:val="22"/>
        </w:rPr>
        <w:t xml:space="preserve"> arm</w:t>
      </w:r>
      <w:r w:rsidRPr="00CE427E">
        <w:rPr>
          <w:rFonts w:eastAsia="Calibri"/>
          <w:color w:val="000000"/>
          <w:szCs w:val="22"/>
        </w:rPr>
        <w:t>.</w:t>
      </w:r>
    </w:p>
    <w:p w14:paraId="7E12C638" w14:textId="77777777" w:rsidR="006B3061" w:rsidRPr="00CE427E" w:rsidRDefault="006B3061" w:rsidP="006128F6">
      <w:pPr>
        <w:tabs>
          <w:tab w:val="clear" w:pos="567"/>
        </w:tabs>
        <w:autoSpaceDE w:val="0"/>
        <w:autoSpaceDN w:val="0"/>
        <w:adjustRightInd w:val="0"/>
        <w:spacing w:line="240" w:lineRule="auto"/>
        <w:rPr>
          <w:rFonts w:eastAsia="Calibri"/>
          <w:color w:val="000000"/>
          <w:szCs w:val="22"/>
        </w:rPr>
      </w:pPr>
    </w:p>
    <w:p w14:paraId="66D03272" w14:textId="0572BC1D" w:rsidR="00F72B9A" w:rsidRPr="00CE427E" w:rsidRDefault="00F72B9A"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The clinical relevance of these antibodies is not known</w:t>
      </w:r>
      <w:r w:rsidR="00D8588A" w:rsidRPr="00CE427E">
        <w:rPr>
          <w:rFonts w:eastAsia="Calibri"/>
          <w:color w:val="000000"/>
          <w:szCs w:val="22"/>
        </w:rPr>
        <w:t xml:space="preserve">. </w:t>
      </w:r>
      <w:r w:rsidR="00D8588A" w:rsidRPr="00355EC1">
        <w:t xml:space="preserve">The presence of anti-trastuzumab antibodies had no impact </w:t>
      </w:r>
      <w:r w:rsidR="00D8588A">
        <w:t>on</w:t>
      </w:r>
      <w:r w:rsidR="00D8588A" w:rsidRPr="00CE427E">
        <w:rPr>
          <w:rFonts w:eastAsia="Calibri"/>
          <w:color w:val="000000"/>
          <w:szCs w:val="22"/>
        </w:rPr>
        <w:t xml:space="preserve"> </w:t>
      </w:r>
      <w:r w:rsidRPr="00CE427E">
        <w:rPr>
          <w:rFonts w:eastAsia="Calibri"/>
          <w:color w:val="000000"/>
          <w:szCs w:val="22"/>
        </w:rPr>
        <w:t xml:space="preserve">pharmacokinetics, efficacy (determined by pathological </w:t>
      </w:r>
      <w:r w:rsidR="00EE0352" w:rsidRPr="00CE427E">
        <w:rPr>
          <w:rFonts w:eastAsia="Calibri"/>
          <w:color w:val="000000"/>
          <w:szCs w:val="22"/>
        </w:rPr>
        <w:t>c</w:t>
      </w:r>
      <w:r w:rsidRPr="00CE427E">
        <w:rPr>
          <w:rFonts w:eastAsia="Calibri"/>
          <w:color w:val="000000"/>
          <w:szCs w:val="22"/>
        </w:rPr>
        <w:t xml:space="preserve">omplete </w:t>
      </w:r>
      <w:r w:rsidR="00EE0352" w:rsidRPr="00CE427E">
        <w:rPr>
          <w:rFonts w:eastAsia="Calibri"/>
          <w:color w:val="000000"/>
          <w:szCs w:val="22"/>
        </w:rPr>
        <w:t>r</w:t>
      </w:r>
      <w:r w:rsidRPr="00CE427E">
        <w:rPr>
          <w:rFonts w:eastAsia="Calibri"/>
          <w:color w:val="000000"/>
          <w:szCs w:val="22"/>
        </w:rPr>
        <w:t xml:space="preserve">esponse [pCR] </w:t>
      </w:r>
      <w:r w:rsidR="00D8588A">
        <w:t>and event</w:t>
      </w:r>
      <w:r w:rsidR="001155D1">
        <w:t>-</w:t>
      </w:r>
      <w:r w:rsidR="00D8588A">
        <w:t xml:space="preserve">free survival </w:t>
      </w:r>
      <w:r w:rsidR="00D8588A" w:rsidRPr="00C00591">
        <w:t>[</w:t>
      </w:r>
      <w:r w:rsidR="00D8588A">
        <w:t>EFS]</w:t>
      </w:r>
      <w:r w:rsidR="00D8588A" w:rsidRPr="00C00591">
        <w:t>)</w:t>
      </w:r>
      <w:r w:rsidR="00D8588A">
        <w:t xml:space="preserve"> </w:t>
      </w:r>
      <w:r w:rsidRPr="00CE427E">
        <w:rPr>
          <w:rFonts w:eastAsia="Calibri"/>
          <w:color w:val="000000"/>
          <w:szCs w:val="22"/>
        </w:rPr>
        <w:t>and safety determined by occurrence of administration related reactions (ARRs) of trastuzumab intravenous</w:t>
      </w:r>
      <w:r w:rsidR="00D8588A" w:rsidRPr="00CE427E">
        <w:rPr>
          <w:rFonts w:eastAsia="Calibri"/>
          <w:color w:val="000000"/>
          <w:szCs w:val="22"/>
        </w:rPr>
        <w:t>.</w:t>
      </w:r>
      <w:r w:rsidRPr="00CE427E">
        <w:rPr>
          <w:rFonts w:eastAsia="Calibri"/>
          <w:color w:val="000000"/>
          <w:szCs w:val="22"/>
        </w:rPr>
        <w:t xml:space="preserve"> </w:t>
      </w:r>
    </w:p>
    <w:p w14:paraId="5C2C276A" w14:textId="77777777" w:rsidR="00F72B9A" w:rsidRPr="00CE427E" w:rsidRDefault="00F72B9A" w:rsidP="006128F6">
      <w:pPr>
        <w:tabs>
          <w:tab w:val="clear" w:pos="567"/>
        </w:tabs>
        <w:autoSpaceDE w:val="0"/>
        <w:autoSpaceDN w:val="0"/>
        <w:adjustRightInd w:val="0"/>
        <w:spacing w:line="240" w:lineRule="auto"/>
        <w:rPr>
          <w:rFonts w:eastAsia="Calibri"/>
          <w:color w:val="000000"/>
          <w:szCs w:val="22"/>
        </w:rPr>
      </w:pPr>
    </w:p>
    <w:p w14:paraId="24F0EBD8" w14:textId="77777777" w:rsidR="00F72B9A" w:rsidRPr="00CE427E" w:rsidRDefault="00F72B9A"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There are no immunogenicity data available for </w:t>
      </w:r>
      <w:r w:rsidR="003F2973" w:rsidRPr="00CE427E">
        <w:rPr>
          <w:rFonts w:eastAsia="Calibri"/>
          <w:color w:val="000000"/>
          <w:szCs w:val="22"/>
        </w:rPr>
        <w:t xml:space="preserve">trastuzumab </w:t>
      </w:r>
      <w:r w:rsidRPr="00CE427E">
        <w:rPr>
          <w:rFonts w:eastAsia="Calibri"/>
          <w:color w:val="000000"/>
          <w:szCs w:val="22"/>
        </w:rPr>
        <w:t>in gastric cancer.</w:t>
      </w:r>
    </w:p>
    <w:p w14:paraId="49948B3E" w14:textId="77777777" w:rsidR="00F72B9A" w:rsidRPr="00CE427E" w:rsidRDefault="00F72B9A" w:rsidP="006128F6">
      <w:pPr>
        <w:tabs>
          <w:tab w:val="clear" w:pos="567"/>
        </w:tabs>
        <w:autoSpaceDE w:val="0"/>
        <w:autoSpaceDN w:val="0"/>
        <w:adjustRightInd w:val="0"/>
        <w:spacing w:line="240" w:lineRule="auto"/>
        <w:rPr>
          <w:rFonts w:eastAsia="Calibri"/>
          <w:color w:val="000000"/>
          <w:szCs w:val="22"/>
          <w:u w:val="single"/>
        </w:rPr>
      </w:pPr>
    </w:p>
    <w:p w14:paraId="62AEB831" w14:textId="77777777" w:rsidR="00DC5680" w:rsidRPr="00CE427E" w:rsidRDefault="00DC5680" w:rsidP="006128F6">
      <w:pPr>
        <w:tabs>
          <w:tab w:val="clear" w:pos="567"/>
        </w:tabs>
        <w:autoSpaceDE w:val="0"/>
        <w:autoSpaceDN w:val="0"/>
        <w:adjustRightInd w:val="0"/>
        <w:spacing w:line="240" w:lineRule="auto"/>
        <w:rPr>
          <w:rFonts w:eastAsia="Calibri"/>
          <w:color w:val="000000"/>
          <w:szCs w:val="22"/>
          <w:u w:val="single"/>
        </w:rPr>
      </w:pPr>
      <w:r w:rsidRPr="00CE427E">
        <w:rPr>
          <w:rFonts w:eastAsia="Calibri"/>
          <w:color w:val="000000"/>
          <w:szCs w:val="22"/>
          <w:u w:val="single"/>
        </w:rPr>
        <w:t>Reporting of suspected adverse reactions</w:t>
      </w:r>
    </w:p>
    <w:p w14:paraId="257AFACB" w14:textId="77777777" w:rsidR="000E1F7F" w:rsidRPr="00CE427E" w:rsidRDefault="000E1F7F" w:rsidP="006128F6">
      <w:pPr>
        <w:tabs>
          <w:tab w:val="clear" w:pos="567"/>
        </w:tabs>
        <w:autoSpaceDE w:val="0"/>
        <w:autoSpaceDN w:val="0"/>
        <w:adjustRightInd w:val="0"/>
        <w:spacing w:line="240" w:lineRule="auto"/>
        <w:rPr>
          <w:rFonts w:eastAsia="Calibri"/>
          <w:color w:val="000000"/>
          <w:szCs w:val="22"/>
          <w:u w:val="single"/>
        </w:rPr>
      </w:pPr>
    </w:p>
    <w:p w14:paraId="63DD1481" w14:textId="07D79DEA" w:rsidR="00DC5680" w:rsidRPr="00CE427E" w:rsidRDefault="00DC5680" w:rsidP="006128F6">
      <w:pPr>
        <w:tabs>
          <w:tab w:val="clear" w:pos="567"/>
        </w:tabs>
        <w:autoSpaceDE w:val="0"/>
        <w:autoSpaceDN w:val="0"/>
        <w:adjustRightInd w:val="0"/>
        <w:spacing w:line="240" w:lineRule="auto"/>
        <w:rPr>
          <w:rFonts w:eastAsia="Calibri"/>
          <w:szCs w:val="22"/>
        </w:rPr>
      </w:pPr>
      <w:r w:rsidRPr="00CE427E">
        <w:rPr>
          <w:rFonts w:eastAsia="Calibri"/>
          <w:color w:val="000000"/>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Pr>
          <w:rFonts w:eastAsia="Calibri"/>
          <w:szCs w:val="22"/>
          <w:highlight w:val="lightGray"/>
        </w:rPr>
        <w:t xml:space="preserve">the national reporting system listed in </w:t>
      </w:r>
      <w:hyperlink r:id="rId13" w:history="1">
        <w:r w:rsidR="007960E9">
          <w:rPr>
            <w:rStyle w:val="Hyperlink"/>
            <w:szCs w:val="22"/>
            <w:highlight w:val="lightGray"/>
          </w:rPr>
          <w:t>Appendix V</w:t>
        </w:r>
      </w:hyperlink>
      <w:r w:rsidRPr="00CE427E">
        <w:rPr>
          <w:rFonts w:eastAsia="Calibri"/>
          <w:szCs w:val="22"/>
        </w:rPr>
        <w:t>.</w:t>
      </w:r>
    </w:p>
    <w:p w14:paraId="33687780" w14:textId="77777777" w:rsidR="0096641A" w:rsidRPr="00CE427E" w:rsidRDefault="0096641A" w:rsidP="006128F6">
      <w:pPr>
        <w:tabs>
          <w:tab w:val="clear" w:pos="567"/>
        </w:tabs>
        <w:autoSpaceDE w:val="0"/>
        <w:autoSpaceDN w:val="0"/>
        <w:adjustRightInd w:val="0"/>
        <w:spacing w:line="240" w:lineRule="auto"/>
        <w:rPr>
          <w:rFonts w:eastAsia="Calibri"/>
          <w:szCs w:val="22"/>
        </w:rPr>
      </w:pPr>
    </w:p>
    <w:p w14:paraId="49BD2CC9" w14:textId="77777777" w:rsidR="00925686" w:rsidRPr="006128F6" w:rsidRDefault="00925686" w:rsidP="006128F6">
      <w:pPr>
        <w:keepNext/>
        <w:spacing w:line="240" w:lineRule="auto"/>
        <w:ind w:left="567" w:hanging="567"/>
        <w:outlineLvl w:val="0"/>
        <w:rPr>
          <w:szCs w:val="22"/>
        </w:rPr>
      </w:pPr>
      <w:r w:rsidRPr="006128F6">
        <w:rPr>
          <w:b/>
          <w:szCs w:val="22"/>
        </w:rPr>
        <w:lastRenderedPageBreak/>
        <w:t>4.9</w:t>
      </w:r>
      <w:r w:rsidRPr="006128F6">
        <w:rPr>
          <w:b/>
          <w:szCs w:val="22"/>
        </w:rPr>
        <w:tab/>
        <w:t>Overdose</w:t>
      </w:r>
    </w:p>
    <w:p w14:paraId="796BF934" w14:textId="77777777" w:rsidR="00925686" w:rsidRPr="006128F6" w:rsidRDefault="00925686" w:rsidP="006128F6">
      <w:pPr>
        <w:keepNext/>
        <w:spacing w:line="240" w:lineRule="auto"/>
        <w:rPr>
          <w:szCs w:val="22"/>
        </w:rPr>
      </w:pPr>
    </w:p>
    <w:p w14:paraId="3E442618" w14:textId="4427D176" w:rsidR="00925686" w:rsidRPr="006128F6" w:rsidRDefault="00193C21" w:rsidP="006128F6">
      <w:pPr>
        <w:spacing w:line="240" w:lineRule="auto"/>
      </w:pPr>
      <w:r w:rsidRPr="006128F6">
        <w:rPr>
          <w:color w:val="000000"/>
        </w:rPr>
        <w:t xml:space="preserve">There is no experience with overdose in human clinical </w:t>
      </w:r>
      <w:r w:rsidR="004A5EE5">
        <w:rPr>
          <w:color w:val="000000"/>
        </w:rPr>
        <w:t>studie</w:t>
      </w:r>
      <w:r w:rsidRPr="006128F6">
        <w:rPr>
          <w:color w:val="000000"/>
        </w:rPr>
        <w:t xml:space="preserve">s. Single doses of </w:t>
      </w:r>
      <w:r w:rsidR="00702268" w:rsidRPr="006128F6">
        <w:rPr>
          <w:color w:val="000000"/>
        </w:rPr>
        <w:t>trastuzumab</w:t>
      </w:r>
      <w:r w:rsidRPr="006128F6">
        <w:rPr>
          <w:color w:val="000000"/>
        </w:rPr>
        <w:t xml:space="preserve"> alone greater than 10 mg/kg have not been administered in the clinical </w:t>
      </w:r>
      <w:r w:rsidR="004A5EE5">
        <w:rPr>
          <w:color w:val="000000"/>
        </w:rPr>
        <w:t>studie</w:t>
      </w:r>
      <w:r w:rsidRPr="006128F6">
        <w:rPr>
          <w:color w:val="000000"/>
        </w:rPr>
        <w:t>s</w:t>
      </w:r>
      <w:r w:rsidR="00700FCB" w:rsidRPr="006128F6">
        <w:rPr>
          <w:color w:val="000000"/>
        </w:rPr>
        <w:t>; a maintenance do</w:t>
      </w:r>
      <w:r w:rsidR="00236BC6" w:rsidRPr="006128F6">
        <w:rPr>
          <w:color w:val="000000"/>
        </w:rPr>
        <w:t>se</w:t>
      </w:r>
      <w:r w:rsidR="00700FCB" w:rsidRPr="006128F6">
        <w:rPr>
          <w:color w:val="000000"/>
        </w:rPr>
        <w:t xml:space="preserve"> of 10 mg/kg q3w following a loading dose of 8</w:t>
      </w:r>
      <w:r w:rsidR="00C037F3" w:rsidRPr="006128F6">
        <w:rPr>
          <w:color w:val="000000"/>
        </w:rPr>
        <w:t> </w:t>
      </w:r>
      <w:r w:rsidR="00700FCB" w:rsidRPr="006128F6">
        <w:rPr>
          <w:color w:val="000000"/>
        </w:rPr>
        <w:t xml:space="preserve">mg/kg has been studied in a clinical </w:t>
      </w:r>
      <w:r w:rsidR="004A5EE5">
        <w:rPr>
          <w:color w:val="000000"/>
        </w:rPr>
        <w:t>study</w:t>
      </w:r>
      <w:r w:rsidR="00700FCB" w:rsidRPr="006128F6">
        <w:rPr>
          <w:color w:val="000000"/>
        </w:rPr>
        <w:t xml:space="preserve"> with </w:t>
      </w:r>
      <w:r w:rsidR="001B633B">
        <w:rPr>
          <w:color w:val="000000"/>
        </w:rPr>
        <w:t>metastatic gastric cancer</w:t>
      </w:r>
      <w:r w:rsidR="00700FCB" w:rsidRPr="006128F6">
        <w:rPr>
          <w:color w:val="000000"/>
        </w:rPr>
        <w:t xml:space="preserve"> patients. </w:t>
      </w:r>
      <w:r w:rsidRPr="006128F6">
        <w:rPr>
          <w:color w:val="000000"/>
        </w:rPr>
        <w:t>Doses up to this level were well tolerated</w:t>
      </w:r>
      <w:r w:rsidR="00700FCB" w:rsidRPr="006128F6">
        <w:rPr>
          <w:color w:val="000000"/>
        </w:rPr>
        <w:t>.</w:t>
      </w:r>
    </w:p>
    <w:p w14:paraId="57763744" w14:textId="77777777" w:rsidR="00925686" w:rsidRPr="006128F6" w:rsidRDefault="00925686" w:rsidP="006128F6">
      <w:pPr>
        <w:spacing w:line="240" w:lineRule="auto"/>
      </w:pPr>
    </w:p>
    <w:p w14:paraId="6D330FA8" w14:textId="77777777" w:rsidR="005C756F" w:rsidRPr="006128F6" w:rsidRDefault="005C756F" w:rsidP="006128F6">
      <w:pPr>
        <w:spacing w:line="240" w:lineRule="auto"/>
      </w:pPr>
    </w:p>
    <w:p w14:paraId="5AEC85B5" w14:textId="77777777" w:rsidR="00925686" w:rsidRPr="006128F6" w:rsidRDefault="00925686" w:rsidP="006128F6">
      <w:pPr>
        <w:keepNext/>
        <w:suppressAutoHyphens/>
        <w:spacing w:line="240" w:lineRule="auto"/>
        <w:ind w:left="567" w:hanging="567"/>
      </w:pPr>
      <w:r w:rsidRPr="006128F6">
        <w:rPr>
          <w:b/>
        </w:rPr>
        <w:t>5.</w:t>
      </w:r>
      <w:r w:rsidRPr="006128F6">
        <w:rPr>
          <w:b/>
        </w:rPr>
        <w:tab/>
        <w:t>PHARMACOLOGICAL PROPERTIES</w:t>
      </w:r>
    </w:p>
    <w:p w14:paraId="3ED25D53" w14:textId="77777777" w:rsidR="00925686" w:rsidRPr="006128F6" w:rsidRDefault="00925686" w:rsidP="006128F6">
      <w:pPr>
        <w:keepNext/>
        <w:spacing w:line="240" w:lineRule="auto"/>
      </w:pPr>
    </w:p>
    <w:p w14:paraId="27531A90" w14:textId="2CC5B7B9" w:rsidR="00925686" w:rsidRPr="006128F6" w:rsidRDefault="00925686" w:rsidP="006128F6">
      <w:pPr>
        <w:keepNext/>
        <w:spacing w:line="240" w:lineRule="auto"/>
        <w:ind w:left="567" w:hanging="567"/>
        <w:outlineLvl w:val="0"/>
      </w:pPr>
      <w:r w:rsidRPr="006128F6">
        <w:rPr>
          <w:b/>
        </w:rPr>
        <w:t>5.1</w:t>
      </w:r>
      <w:r w:rsidRPr="006128F6">
        <w:rPr>
          <w:b/>
        </w:rPr>
        <w:tab/>
        <w:t>Pharmacodynamic properties</w:t>
      </w:r>
    </w:p>
    <w:p w14:paraId="3A2EBEE2" w14:textId="77777777" w:rsidR="00925686" w:rsidRPr="006128F6" w:rsidRDefault="00925686" w:rsidP="006128F6">
      <w:pPr>
        <w:keepNext/>
        <w:spacing w:line="240" w:lineRule="auto"/>
      </w:pPr>
    </w:p>
    <w:p w14:paraId="2E5DC343" w14:textId="129F041B" w:rsidR="00094277" w:rsidRPr="00CE427E" w:rsidRDefault="00094277" w:rsidP="006128F6">
      <w:pPr>
        <w:tabs>
          <w:tab w:val="clear" w:pos="567"/>
        </w:tabs>
        <w:autoSpaceDE w:val="0"/>
        <w:autoSpaceDN w:val="0"/>
        <w:adjustRightInd w:val="0"/>
        <w:spacing w:line="240" w:lineRule="auto"/>
        <w:rPr>
          <w:rFonts w:eastAsia="Calibri"/>
          <w:szCs w:val="22"/>
        </w:rPr>
      </w:pPr>
      <w:r w:rsidRPr="00CE427E">
        <w:rPr>
          <w:rFonts w:eastAsia="Calibri"/>
          <w:szCs w:val="22"/>
        </w:rPr>
        <w:t xml:space="preserve">Pharmacotherapeutic group: Antineoplastic </w:t>
      </w:r>
      <w:r w:rsidR="003D4AC3">
        <w:rPr>
          <w:rFonts w:eastAsia="Calibri"/>
          <w:szCs w:val="22"/>
        </w:rPr>
        <w:t xml:space="preserve">and immunomodulating </w:t>
      </w:r>
      <w:r w:rsidRPr="00CE427E">
        <w:rPr>
          <w:rFonts w:eastAsia="Calibri"/>
          <w:szCs w:val="22"/>
        </w:rPr>
        <w:t xml:space="preserve">agents, </w:t>
      </w:r>
      <w:r w:rsidR="003D4AC3">
        <w:rPr>
          <w:rFonts w:eastAsia="Calibri"/>
          <w:szCs w:val="22"/>
        </w:rPr>
        <w:t xml:space="preserve">antineoplastic agents, </w:t>
      </w:r>
      <w:r w:rsidRPr="00CE427E">
        <w:rPr>
          <w:rFonts w:eastAsia="Calibri"/>
          <w:szCs w:val="22"/>
        </w:rPr>
        <w:t>monoclonal antibodies</w:t>
      </w:r>
      <w:r w:rsidR="003D4AC3">
        <w:rPr>
          <w:rFonts w:eastAsia="Calibri"/>
          <w:szCs w:val="22"/>
        </w:rPr>
        <w:t xml:space="preserve"> and antibody drug conjugates</w:t>
      </w:r>
      <w:r w:rsidRPr="00CE427E">
        <w:rPr>
          <w:rFonts w:eastAsia="Calibri"/>
          <w:szCs w:val="22"/>
        </w:rPr>
        <w:t>,</w:t>
      </w:r>
      <w:r w:rsidR="003D4AC3">
        <w:rPr>
          <w:rFonts w:eastAsia="Calibri"/>
          <w:szCs w:val="22"/>
        </w:rPr>
        <w:t xml:space="preserve"> </w:t>
      </w:r>
      <w:r w:rsidRPr="00CE427E">
        <w:rPr>
          <w:rFonts w:eastAsia="Calibri"/>
          <w:szCs w:val="22"/>
        </w:rPr>
        <w:t>ATC code: L01</w:t>
      </w:r>
      <w:r w:rsidR="003D4AC3">
        <w:rPr>
          <w:rFonts w:eastAsia="Calibri"/>
          <w:szCs w:val="22"/>
        </w:rPr>
        <w:t>FD</w:t>
      </w:r>
      <w:r w:rsidRPr="00CE427E">
        <w:rPr>
          <w:rFonts w:eastAsia="Calibri"/>
          <w:szCs w:val="22"/>
        </w:rPr>
        <w:t>0</w:t>
      </w:r>
      <w:r w:rsidR="003D4AC3">
        <w:rPr>
          <w:rFonts w:eastAsia="Calibri"/>
          <w:szCs w:val="22"/>
        </w:rPr>
        <w:t>1</w:t>
      </w:r>
      <w:r w:rsidRPr="00CE427E">
        <w:rPr>
          <w:rFonts w:eastAsia="Calibri"/>
          <w:szCs w:val="22"/>
        </w:rPr>
        <w:t xml:space="preserve"> </w:t>
      </w:r>
    </w:p>
    <w:p w14:paraId="5E18AF0A" w14:textId="77777777" w:rsidR="00702268" w:rsidRPr="00CE427E" w:rsidRDefault="00702268" w:rsidP="006128F6">
      <w:pPr>
        <w:tabs>
          <w:tab w:val="clear" w:pos="567"/>
        </w:tabs>
        <w:autoSpaceDE w:val="0"/>
        <w:autoSpaceDN w:val="0"/>
        <w:adjustRightInd w:val="0"/>
        <w:spacing w:line="240" w:lineRule="auto"/>
        <w:rPr>
          <w:rFonts w:eastAsia="Calibri"/>
          <w:szCs w:val="22"/>
        </w:rPr>
      </w:pPr>
    </w:p>
    <w:p w14:paraId="73FFFA55" w14:textId="77936B08" w:rsidR="00094277" w:rsidRPr="006128F6" w:rsidRDefault="008E0EE9" w:rsidP="006128F6">
      <w:pPr>
        <w:tabs>
          <w:tab w:val="clear" w:pos="567"/>
        </w:tabs>
        <w:autoSpaceDE w:val="0"/>
        <w:autoSpaceDN w:val="0"/>
        <w:adjustRightInd w:val="0"/>
        <w:spacing w:line="240" w:lineRule="auto"/>
        <w:rPr>
          <w:szCs w:val="22"/>
          <w:lang w:eastAsia="en-GB"/>
        </w:rPr>
      </w:pPr>
      <w:r w:rsidRPr="006128F6">
        <w:rPr>
          <w:szCs w:val="22"/>
          <w:lang w:eastAsia="en-GB"/>
        </w:rPr>
        <w:t>KANJINTI</w:t>
      </w:r>
      <w:r w:rsidR="00702268" w:rsidRPr="006128F6">
        <w:rPr>
          <w:szCs w:val="22"/>
          <w:lang w:eastAsia="en-GB"/>
        </w:rPr>
        <w:t xml:space="preserve"> is a biosimilar medicinal product. Detailed information is available on the website of the European Medicines Agency </w:t>
      </w:r>
      <w:hyperlink r:id="rId14" w:history="1">
        <w:r w:rsidR="005613F7" w:rsidRPr="006128F6">
          <w:rPr>
            <w:rStyle w:val="Hyperlink"/>
            <w:szCs w:val="22"/>
            <w:lang w:eastAsia="en-GB"/>
          </w:rPr>
          <w:t>http://www.ema.europa.eu</w:t>
        </w:r>
      </w:hyperlink>
      <w:r w:rsidR="00702268" w:rsidRPr="006128F6">
        <w:rPr>
          <w:szCs w:val="22"/>
          <w:lang w:eastAsia="en-GB"/>
        </w:rPr>
        <w:t>.</w:t>
      </w:r>
    </w:p>
    <w:p w14:paraId="3E3377B4" w14:textId="77777777" w:rsidR="005613F7" w:rsidRPr="00CE427E" w:rsidRDefault="005613F7" w:rsidP="006128F6">
      <w:pPr>
        <w:tabs>
          <w:tab w:val="clear" w:pos="567"/>
        </w:tabs>
        <w:autoSpaceDE w:val="0"/>
        <w:autoSpaceDN w:val="0"/>
        <w:adjustRightInd w:val="0"/>
        <w:spacing w:line="240" w:lineRule="auto"/>
        <w:rPr>
          <w:rFonts w:eastAsia="Calibri"/>
          <w:szCs w:val="22"/>
        </w:rPr>
      </w:pPr>
    </w:p>
    <w:p w14:paraId="578412B9" w14:textId="335EC4F3" w:rsidR="00094277" w:rsidRPr="00CE427E" w:rsidRDefault="00094277" w:rsidP="006128F6">
      <w:pPr>
        <w:tabs>
          <w:tab w:val="clear" w:pos="567"/>
        </w:tabs>
        <w:autoSpaceDE w:val="0"/>
        <w:autoSpaceDN w:val="0"/>
        <w:adjustRightInd w:val="0"/>
        <w:spacing w:line="240" w:lineRule="auto"/>
        <w:rPr>
          <w:rFonts w:eastAsia="Calibri"/>
          <w:szCs w:val="22"/>
        </w:rPr>
      </w:pPr>
      <w:r w:rsidRPr="00CE427E">
        <w:rPr>
          <w:rFonts w:eastAsia="Calibri"/>
          <w:szCs w:val="22"/>
        </w:rPr>
        <w:t>Trastuzumab is a recombinant humanised IgG1 monoclonal antibody against the human epidermal growth factor receptor 2 (HER2). Overexpression of</w:t>
      </w:r>
      <w:r w:rsidR="000E4CEB" w:rsidRPr="00CE427E">
        <w:rPr>
          <w:rFonts w:eastAsia="Calibri"/>
          <w:szCs w:val="22"/>
        </w:rPr>
        <w:t xml:space="preserve"> HER2 is observed in 20</w:t>
      </w:r>
      <w:r w:rsidR="000840CF" w:rsidRPr="00CE427E">
        <w:rPr>
          <w:rFonts w:eastAsia="Calibri"/>
          <w:szCs w:val="22"/>
        </w:rPr>
        <w:t>%</w:t>
      </w:r>
      <w:r w:rsidR="000E4CEB" w:rsidRPr="00CE427E">
        <w:rPr>
          <w:rFonts w:eastAsia="Calibri"/>
          <w:szCs w:val="22"/>
        </w:rPr>
        <w:noBreakHyphen/>
        <w:t>30</w:t>
      </w:r>
      <w:r w:rsidR="000840CF" w:rsidRPr="00CE427E">
        <w:rPr>
          <w:rFonts w:eastAsia="Calibri"/>
          <w:szCs w:val="22"/>
        </w:rPr>
        <w:t>%</w:t>
      </w:r>
      <w:r w:rsidRPr="00CE427E">
        <w:rPr>
          <w:rFonts w:eastAsia="Calibri"/>
          <w:szCs w:val="22"/>
        </w:rPr>
        <w:t xml:space="preserve"> of primary breast cancers. Studies of HER2</w:t>
      </w:r>
      <w:r w:rsidRPr="00CE427E">
        <w:rPr>
          <w:rFonts w:eastAsia="Calibri"/>
          <w:szCs w:val="22"/>
        </w:rPr>
        <w:noBreakHyphen/>
        <w:t xml:space="preserve">positivity rates in gastric cancer (GC) using immunohistochemistry (IHC) and fluorescence </w:t>
      </w:r>
      <w:r w:rsidRPr="00CE427E">
        <w:rPr>
          <w:rFonts w:eastAsia="Calibri"/>
          <w:i/>
          <w:iCs/>
          <w:szCs w:val="22"/>
        </w:rPr>
        <w:t xml:space="preserve">in situ </w:t>
      </w:r>
      <w:r w:rsidRPr="00CE427E">
        <w:rPr>
          <w:rFonts w:eastAsia="Calibri"/>
          <w:szCs w:val="22"/>
        </w:rPr>
        <w:t>hybridi</w:t>
      </w:r>
      <w:r w:rsidR="000429F1" w:rsidRPr="00CE427E">
        <w:rPr>
          <w:rFonts w:eastAsia="Calibri"/>
          <w:szCs w:val="22"/>
        </w:rPr>
        <w:t>s</w:t>
      </w:r>
      <w:r w:rsidRPr="00CE427E">
        <w:rPr>
          <w:rFonts w:eastAsia="Calibri"/>
          <w:szCs w:val="22"/>
        </w:rPr>
        <w:t xml:space="preserve">ation (FISH) or chromogenic </w:t>
      </w:r>
      <w:r w:rsidRPr="00CE427E">
        <w:rPr>
          <w:rFonts w:eastAsia="Calibri"/>
          <w:i/>
          <w:iCs/>
          <w:szCs w:val="22"/>
        </w:rPr>
        <w:t xml:space="preserve">in situ </w:t>
      </w:r>
      <w:r w:rsidRPr="00CE427E">
        <w:rPr>
          <w:rFonts w:eastAsia="Calibri"/>
          <w:szCs w:val="22"/>
        </w:rPr>
        <w:t>hybridi</w:t>
      </w:r>
      <w:r w:rsidR="000429F1" w:rsidRPr="00CE427E">
        <w:rPr>
          <w:rFonts w:eastAsia="Calibri"/>
          <w:szCs w:val="22"/>
        </w:rPr>
        <w:t>s</w:t>
      </w:r>
      <w:r w:rsidRPr="00CE427E">
        <w:rPr>
          <w:rFonts w:eastAsia="Calibri"/>
          <w:szCs w:val="22"/>
        </w:rPr>
        <w:t>ation (CISH) have shown that there is a broad variation of HER2</w:t>
      </w:r>
      <w:r w:rsidRPr="00CE427E">
        <w:rPr>
          <w:rFonts w:eastAsia="Calibri"/>
          <w:szCs w:val="22"/>
        </w:rPr>
        <w:noBreakHyphen/>
        <w:t>positivity ranging from 6.8</w:t>
      </w:r>
      <w:r w:rsidR="000840CF" w:rsidRPr="00CE427E">
        <w:rPr>
          <w:rFonts w:eastAsia="Calibri"/>
          <w:szCs w:val="22"/>
        </w:rPr>
        <w:t>%</w:t>
      </w:r>
      <w:r w:rsidRPr="00CE427E">
        <w:rPr>
          <w:rFonts w:eastAsia="Calibri"/>
          <w:szCs w:val="22"/>
        </w:rPr>
        <w:t xml:space="preserve"> to 34.0</w:t>
      </w:r>
      <w:r w:rsidR="000840CF" w:rsidRPr="00CE427E">
        <w:rPr>
          <w:rFonts w:eastAsia="Calibri"/>
          <w:szCs w:val="22"/>
        </w:rPr>
        <w:t>%</w:t>
      </w:r>
      <w:r w:rsidRPr="00CE427E">
        <w:rPr>
          <w:rFonts w:eastAsia="Calibri"/>
          <w:szCs w:val="22"/>
        </w:rPr>
        <w:t xml:space="preserve"> for IHC and 7.1</w:t>
      </w:r>
      <w:r w:rsidR="000840CF" w:rsidRPr="00CE427E">
        <w:rPr>
          <w:rFonts w:eastAsia="Calibri"/>
          <w:szCs w:val="22"/>
        </w:rPr>
        <w:t>%</w:t>
      </w:r>
      <w:r w:rsidRPr="00CE427E">
        <w:rPr>
          <w:rFonts w:eastAsia="Calibri"/>
          <w:szCs w:val="22"/>
        </w:rPr>
        <w:t xml:space="preserve"> to 42.6</w:t>
      </w:r>
      <w:r w:rsidR="000840CF" w:rsidRPr="00CE427E">
        <w:rPr>
          <w:rFonts w:eastAsia="Calibri"/>
          <w:szCs w:val="22"/>
        </w:rPr>
        <w:t>%</w:t>
      </w:r>
      <w:r w:rsidRPr="00CE427E">
        <w:rPr>
          <w:rFonts w:eastAsia="Calibri"/>
          <w:szCs w:val="22"/>
        </w:rPr>
        <w:t xml:space="preserve"> for FISH. Studies indicate that breast cancer patients whose tumours overexpress HER2 have a shortened disease</w:t>
      </w:r>
      <w:r w:rsidRPr="00CE427E">
        <w:rPr>
          <w:rFonts w:eastAsia="Calibri"/>
          <w:szCs w:val="22"/>
        </w:rPr>
        <w:noBreakHyphen/>
        <w:t>free survival compared to patients whose tumours do not overexpress HER2. The extracellular domain of the receptor (ECD, p105) can be shed into the blood stream and measured in serum samples.</w:t>
      </w:r>
    </w:p>
    <w:p w14:paraId="00CF375A" w14:textId="77777777" w:rsidR="00094277" w:rsidRPr="00CE427E" w:rsidRDefault="00094277" w:rsidP="006128F6">
      <w:pPr>
        <w:tabs>
          <w:tab w:val="clear" w:pos="567"/>
        </w:tabs>
        <w:autoSpaceDE w:val="0"/>
        <w:autoSpaceDN w:val="0"/>
        <w:adjustRightInd w:val="0"/>
        <w:spacing w:line="240" w:lineRule="auto"/>
        <w:rPr>
          <w:rFonts w:eastAsia="Calibri"/>
          <w:szCs w:val="22"/>
        </w:rPr>
      </w:pPr>
    </w:p>
    <w:p w14:paraId="288B19A4" w14:textId="77777777" w:rsidR="00094277" w:rsidRPr="00CE427E" w:rsidRDefault="00094277" w:rsidP="006128F6">
      <w:pPr>
        <w:keepNext/>
        <w:tabs>
          <w:tab w:val="clear" w:pos="567"/>
        </w:tabs>
        <w:autoSpaceDE w:val="0"/>
        <w:autoSpaceDN w:val="0"/>
        <w:adjustRightInd w:val="0"/>
        <w:spacing w:line="240" w:lineRule="auto"/>
        <w:rPr>
          <w:rFonts w:eastAsia="Calibri"/>
          <w:szCs w:val="22"/>
          <w:u w:val="single"/>
        </w:rPr>
      </w:pPr>
      <w:r w:rsidRPr="00CE427E">
        <w:rPr>
          <w:rFonts w:eastAsia="Calibri"/>
          <w:szCs w:val="22"/>
          <w:u w:val="single"/>
        </w:rPr>
        <w:t>Mechanism of action</w:t>
      </w:r>
    </w:p>
    <w:p w14:paraId="7B6366EB" w14:textId="77777777" w:rsidR="00094277" w:rsidRPr="00CE427E" w:rsidRDefault="00094277" w:rsidP="006128F6">
      <w:pPr>
        <w:keepNext/>
        <w:tabs>
          <w:tab w:val="clear" w:pos="567"/>
        </w:tabs>
        <w:autoSpaceDE w:val="0"/>
        <w:autoSpaceDN w:val="0"/>
        <w:adjustRightInd w:val="0"/>
        <w:spacing w:line="240" w:lineRule="auto"/>
        <w:rPr>
          <w:rFonts w:eastAsia="Calibri"/>
          <w:szCs w:val="22"/>
          <w:u w:val="single"/>
        </w:rPr>
      </w:pPr>
    </w:p>
    <w:p w14:paraId="2F702F82" w14:textId="77777777" w:rsidR="00094277" w:rsidRPr="00CE427E" w:rsidRDefault="00094277" w:rsidP="006128F6">
      <w:pPr>
        <w:tabs>
          <w:tab w:val="clear" w:pos="567"/>
        </w:tabs>
        <w:autoSpaceDE w:val="0"/>
        <w:autoSpaceDN w:val="0"/>
        <w:adjustRightInd w:val="0"/>
        <w:spacing w:line="240" w:lineRule="auto"/>
        <w:rPr>
          <w:rFonts w:eastAsia="Calibri"/>
          <w:szCs w:val="22"/>
        </w:rPr>
      </w:pPr>
      <w:r w:rsidRPr="00CE427E">
        <w:rPr>
          <w:rFonts w:eastAsia="Calibri"/>
          <w:szCs w:val="22"/>
        </w:rPr>
        <w:t>Trastuzumab binds with high affinity and specificity to sub</w:t>
      </w:r>
      <w:r w:rsidRPr="00CE427E">
        <w:rPr>
          <w:rFonts w:eastAsia="Calibri"/>
          <w:szCs w:val="22"/>
        </w:rPr>
        <w:noBreakHyphen/>
        <w:t>domain IV, a juxta-membrane region of HER2’s extracellular domain. Binding of trastuzumab to HER2 inhibits ligand</w:t>
      </w:r>
      <w:r w:rsidRPr="00CE427E">
        <w:rPr>
          <w:rFonts w:eastAsia="Calibri"/>
          <w:szCs w:val="22"/>
        </w:rPr>
        <w:noBreakHyphen/>
        <w:t xml:space="preserve">independent HER2 signalling and prevents the proteolytic cleavage of its extracellular domain, an activation mechanism of HER2. As a result, trastuzumab has been shown, in both </w:t>
      </w:r>
      <w:r w:rsidRPr="00CE427E">
        <w:rPr>
          <w:rFonts w:eastAsia="Calibri"/>
          <w:i/>
          <w:iCs/>
          <w:szCs w:val="22"/>
        </w:rPr>
        <w:t xml:space="preserve">in vitro </w:t>
      </w:r>
      <w:r w:rsidRPr="00CE427E">
        <w:rPr>
          <w:rFonts w:eastAsia="Calibri"/>
          <w:szCs w:val="22"/>
        </w:rPr>
        <w:t>assays and in animals, to inhibit the proliferation of human tumour cells that overexpress HER2. Additionally, trastuzumab is a potent mediator of antibody</w:t>
      </w:r>
      <w:r w:rsidRPr="00CE427E">
        <w:rPr>
          <w:rFonts w:eastAsia="Calibri"/>
          <w:szCs w:val="22"/>
        </w:rPr>
        <w:noBreakHyphen/>
        <w:t>dependent cell</w:t>
      </w:r>
      <w:r w:rsidRPr="00CE427E">
        <w:rPr>
          <w:rFonts w:eastAsia="Calibri"/>
          <w:szCs w:val="22"/>
        </w:rPr>
        <w:noBreakHyphen/>
        <w:t xml:space="preserve">mediated cytotoxicity (ADCC). </w:t>
      </w:r>
      <w:r w:rsidRPr="00CE427E">
        <w:rPr>
          <w:rFonts w:eastAsia="Calibri"/>
          <w:i/>
          <w:iCs/>
          <w:szCs w:val="22"/>
        </w:rPr>
        <w:t>In vitro</w:t>
      </w:r>
      <w:r w:rsidRPr="00CE427E">
        <w:rPr>
          <w:rFonts w:eastAsia="Calibri"/>
          <w:szCs w:val="22"/>
        </w:rPr>
        <w:t>, trastuzumab-mediated ADCC has been shown to be preferentially exerted on HER2 overexpressing cancer cells compared with cancer cells that do not overexpress HER2.</w:t>
      </w:r>
    </w:p>
    <w:p w14:paraId="7DDB6045" w14:textId="77777777" w:rsidR="00094277" w:rsidRPr="00CE427E" w:rsidRDefault="00094277" w:rsidP="006128F6">
      <w:pPr>
        <w:tabs>
          <w:tab w:val="clear" w:pos="567"/>
        </w:tabs>
        <w:autoSpaceDE w:val="0"/>
        <w:autoSpaceDN w:val="0"/>
        <w:adjustRightInd w:val="0"/>
        <w:spacing w:line="240" w:lineRule="auto"/>
        <w:rPr>
          <w:rFonts w:eastAsia="Calibri"/>
          <w:szCs w:val="22"/>
        </w:rPr>
      </w:pPr>
    </w:p>
    <w:p w14:paraId="6409334C" w14:textId="77777777" w:rsidR="00094277" w:rsidRPr="00CE427E" w:rsidRDefault="00094277" w:rsidP="006128F6">
      <w:pPr>
        <w:tabs>
          <w:tab w:val="clear" w:pos="567"/>
        </w:tabs>
        <w:autoSpaceDE w:val="0"/>
        <w:autoSpaceDN w:val="0"/>
        <w:adjustRightInd w:val="0"/>
        <w:spacing w:line="240" w:lineRule="auto"/>
        <w:rPr>
          <w:rFonts w:eastAsia="Calibri"/>
          <w:szCs w:val="22"/>
          <w:u w:val="single"/>
        </w:rPr>
      </w:pPr>
      <w:r w:rsidRPr="00CE427E">
        <w:rPr>
          <w:rFonts w:eastAsia="Calibri"/>
          <w:szCs w:val="22"/>
          <w:u w:val="single"/>
        </w:rPr>
        <w:t>Detection of HER2 overexpression or HER2 gene amplification</w:t>
      </w:r>
    </w:p>
    <w:p w14:paraId="5001CABE" w14:textId="77777777" w:rsidR="00094277" w:rsidRPr="00CE427E" w:rsidRDefault="00094277" w:rsidP="006128F6">
      <w:pPr>
        <w:tabs>
          <w:tab w:val="clear" w:pos="567"/>
        </w:tabs>
        <w:autoSpaceDE w:val="0"/>
        <w:autoSpaceDN w:val="0"/>
        <w:adjustRightInd w:val="0"/>
        <w:spacing w:line="240" w:lineRule="auto"/>
        <w:rPr>
          <w:rFonts w:eastAsia="Calibri"/>
          <w:i/>
          <w:iCs/>
          <w:szCs w:val="22"/>
        </w:rPr>
      </w:pPr>
    </w:p>
    <w:p w14:paraId="6FCBB695" w14:textId="77777777" w:rsidR="00094277" w:rsidRPr="00CE427E" w:rsidRDefault="00094277" w:rsidP="006128F6">
      <w:pPr>
        <w:tabs>
          <w:tab w:val="clear" w:pos="567"/>
        </w:tabs>
        <w:autoSpaceDE w:val="0"/>
        <w:autoSpaceDN w:val="0"/>
        <w:adjustRightInd w:val="0"/>
        <w:spacing w:line="240" w:lineRule="auto"/>
        <w:rPr>
          <w:rFonts w:eastAsia="Calibri"/>
          <w:i/>
          <w:iCs/>
          <w:szCs w:val="22"/>
        </w:rPr>
      </w:pPr>
      <w:r w:rsidRPr="00CE427E">
        <w:rPr>
          <w:rFonts w:eastAsia="Calibri"/>
          <w:i/>
          <w:iCs/>
          <w:szCs w:val="22"/>
        </w:rPr>
        <w:t>Detection of HER2 overexpression or HER2 gene amplification in breast cancer</w:t>
      </w:r>
    </w:p>
    <w:p w14:paraId="752870FB" w14:textId="543F45C9" w:rsidR="00094277" w:rsidRPr="00CE427E" w:rsidRDefault="008E0EE9" w:rsidP="006128F6">
      <w:pPr>
        <w:tabs>
          <w:tab w:val="clear" w:pos="567"/>
        </w:tabs>
        <w:autoSpaceDE w:val="0"/>
        <w:autoSpaceDN w:val="0"/>
        <w:adjustRightInd w:val="0"/>
        <w:spacing w:line="240" w:lineRule="auto"/>
        <w:rPr>
          <w:rFonts w:eastAsia="Calibri"/>
          <w:szCs w:val="22"/>
        </w:rPr>
      </w:pPr>
      <w:r w:rsidRPr="00CE427E">
        <w:rPr>
          <w:rFonts w:eastAsia="Calibri"/>
          <w:szCs w:val="22"/>
        </w:rPr>
        <w:t>KANJINTI</w:t>
      </w:r>
      <w:r w:rsidR="00094277" w:rsidRPr="00CE427E">
        <w:rPr>
          <w:rFonts w:eastAsia="Calibri"/>
          <w:szCs w:val="22"/>
        </w:rPr>
        <w:t xml:space="preserve"> should only be used in patients whose tumours have HER2 overexpression or HER2 gene amplification as determined by an accurate and validated assay. HER2 overexpression should be detected using an immunohistochemistry (IHC)-based assessment of fixed tumour blocks (see section 4.4). HER2 gene amplification should be detected using fluorescence </w:t>
      </w:r>
      <w:r w:rsidR="00094277" w:rsidRPr="00CE427E">
        <w:rPr>
          <w:rFonts w:eastAsia="Calibri"/>
          <w:i/>
          <w:iCs/>
          <w:szCs w:val="22"/>
        </w:rPr>
        <w:t xml:space="preserve">in situ </w:t>
      </w:r>
      <w:r w:rsidR="00094277" w:rsidRPr="00CE427E">
        <w:rPr>
          <w:rFonts w:eastAsia="Calibri"/>
          <w:szCs w:val="22"/>
        </w:rPr>
        <w:t xml:space="preserve">hybridisation (FISH) or chromogenic </w:t>
      </w:r>
      <w:r w:rsidR="00094277" w:rsidRPr="00CE427E">
        <w:rPr>
          <w:rFonts w:eastAsia="Calibri"/>
          <w:i/>
          <w:iCs/>
          <w:szCs w:val="22"/>
        </w:rPr>
        <w:t xml:space="preserve">in situ </w:t>
      </w:r>
      <w:r w:rsidR="00094277" w:rsidRPr="00CE427E">
        <w:rPr>
          <w:rFonts w:eastAsia="Calibri"/>
          <w:szCs w:val="22"/>
        </w:rPr>
        <w:t xml:space="preserve">hybridisation (CISH) of fixed tumour blocks. Patients are eligible for </w:t>
      </w:r>
      <w:r w:rsidRPr="00CE427E">
        <w:rPr>
          <w:rFonts w:eastAsia="Calibri"/>
          <w:szCs w:val="22"/>
        </w:rPr>
        <w:t>KANJINTI</w:t>
      </w:r>
      <w:r w:rsidR="00094277" w:rsidRPr="00CE427E">
        <w:rPr>
          <w:rFonts w:eastAsia="Calibri"/>
          <w:szCs w:val="22"/>
        </w:rPr>
        <w:t xml:space="preserve"> treatment if they show strong HER2 overexpression as described by a 3+ score by IHC or a positive FISH or CISH result.</w:t>
      </w:r>
    </w:p>
    <w:p w14:paraId="2B833AF5" w14:textId="77777777" w:rsidR="00094277" w:rsidRPr="00CE427E" w:rsidRDefault="00094277" w:rsidP="006128F6">
      <w:pPr>
        <w:tabs>
          <w:tab w:val="clear" w:pos="567"/>
        </w:tabs>
        <w:autoSpaceDE w:val="0"/>
        <w:autoSpaceDN w:val="0"/>
        <w:adjustRightInd w:val="0"/>
        <w:spacing w:line="240" w:lineRule="auto"/>
        <w:rPr>
          <w:rFonts w:eastAsia="Calibri"/>
          <w:szCs w:val="22"/>
        </w:rPr>
      </w:pPr>
    </w:p>
    <w:p w14:paraId="64798086" w14:textId="77777777" w:rsidR="00094277" w:rsidRPr="00CE427E" w:rsidRDefault="00094277" w:rsidP="006128F6">
      <w:pPr>
        <w:tabs>
          <w:tab w:val="clear" w:pos="567"/>
        </w:tabs>
        <w:autoSpaceDE w:val="0"/>
        <w:autoSpaceDN w:val="0"/>
        <w:adjustRightInd w:val="0"/>
        <w:spacing w:line="240" w:lineRule="auto"/>
        <w:rPr>
          <w:rFonts w:eastAsia="Calibri"/>
          <w:szCs w:val="22"/>
        </w:rPr>
      </w:pPr>
      <w:r w:rsidRPr="00CE427E">
        <w:rPr>
          <w:rFonts w:eastAsia="Calibri"/>
          <w:szCs w:val="22"/>
        </w:rPr>
        <w:t>To ensure accurate and reproducible results, the testing must be performed in a specialised laboratory, which can ensure validation of the testing procedures.</w:t>
      </w:r>
    </w:p>
    <w:p w14:paraId="24448560" w14:textId="77777777" w:rsidR="00094277" w:rsidRPr="00CE427E" w:rsidRDefault="00094277" w:rsidP="006128F6">
      <w:pPr>
        <w:tabs>
          <w:tab w:val="clear" w:pos="567"/>
        </w:tabs>
        <w:autoSpaceDE w:val="0"/>
        <w:autoSpaceDN w:val="0"/>
        <w:adjustRightInd w:val="0"/>
        <w:spacing w:line="240" w:lineRule="auto"/>
        <w:rPr>
          <w:rFonts w:eastAsia="Calibri"/>
          <w:szCs w:val="22"/>
        </w:rPr>
      </w:pPr>
    </w:p>
    <w:p w14:paraId="73BD6E8B" w14:textId="071031E7" w:rsidR="00094277" w:rsidRPr="00CE427E" w:rsidRDefault="00094277" w:rsidP="006E01AA">
      <w:pPr>
        <w:keepNext/>
        <w:tabs>
          <w:tab w:val="clear" w:pos="567"/>
        </w:tabs>
        <w:autoSpaceDE w:val="0"/>
        <w:autoSpaceDN w:val="0"/>
        <w:adjustRightInd w:val="0"/>
        <w:spacing w:line="240" w:lineRule="auto"/>
        <w:rPr>
          <w:rFonts w:eastAsia="Calibri"/>
          <w:szCs w:val="22"/>
        </w:rPr>
      </w:pPr>
      <w:r w:rsidRPr="00CE427E">
        <w:rPr>
          <w:rFonts w:eastAsia="Calibri"/>
          <w:szCs w:val="22"/>
        </w:rPr>
        <w:lastRenderedPageBreak/>
        <w:t xml:space="preserve">The recommended scoring system to evaluate the IHC staining patterns is as stated in </w:t>
      </w:r>
      <w:r w:rsidR="007519ED" w:rsidRPr="00CE427E">
        <w:rPr>
          <w:rFonts w:eastAsia="Calibri"/>
          <w:szCs w:val="22"/>
        </w:rPr>
        <w:t>t</w:t>
      </w:r>
      <w:r w:rsidRPr="00CE427E">
        <w:rPr>
          <w:rFonts w:eastAsia="Calibri"/>
          <w:szCs w:val="22"/>
        </w:rPr>
        <w:t xml:space="preserve">able 2: </w:t>
      </w:r>
    </w:p>
    <w:p w14:paraId="4546ACF4" w14:textId="77777777" w:rsidR="00094277" w:rsidRPr="00CE427E" w:rsidRDefault="00094277" w:rsidP="006E01AA">
      <w:pPr>
        <w:keepNext/>
        <w:tabs>
          <w:tab w:val="clear" w:pos="567"/>
        </w:tabs>
        <w:autoSpaceDE w:val="0"/>
        <w:autoSpaceDN w:val="0"/>
        <w:adjustRightInd w:val="0"/>
        <w:spacing w:line="240" w:lineRule="auto"/>
        <w:rPr>
          <w:rFonts w:eastAsia="Calibri"/>
          <w:szCs w:val="22"/>
        </w:rPr>
      </w:pPr>
    </w:p>
    <w:p w14:paraId="4365DA31" w14:textId="77777777" w:rsidR="00925686" w:rsidRPr="00CE427E" w:rsidRDefault="00094277" w:rsidP="006128F6">
      <w:pPr>
        <w:keepNext/>
        <w:tabs>
          <w:tab w:val="clear" w:pos="567"/>
        </w:tabs>
        <w:autoSpaceDE w:val="0"/>
        <w:autoSpaceDN w:val="0"/>
        <w:adjustRightInd w:val="0"/>
        <w:spacing w:line="240" w:lineRule="auto"/>
        <w:rPr>
          <w:rFonts w:eastAsia="Calibri"/>
          <w:b/>
          <w:szCs w:val="22"/>
        </w:rPr>
      </w:pPr>
      <w:r w:rsidRPr="00CE427E">
        <w:rPr>
          <w:rFonts w:eastAsia="Calibri"/>
          <w:b/>
          <w:szCs w:val="22"/>
        </w:rPr>
        <w:t>Table 2 Recommended scoring system to evaluate the IHC staining patterns in breast cancer</w:t>
      </w:r>
    </w:p>
    <w:p w14:paraId="35706391" w14:textId="77777777" w:rsidR="00094277" w:rsidRPr="00CE427E" w:rsidRDefault="00094277" w:rsidP="006128F6">
      <w:pPr>
        <w:keepNext/>
        <w:tabs>
          <w:tab w:val="clear" w:pos="567"/>
        </w:tabs>
        <w:autoSpaceDE w:val="0"/>
        <w:autoSpaceDN w:val="0"/>
        <w:adjustRightInd w:val="0"/>
        <w:spacing w:line="240" w:lineRule="auto"/>
        <w:rPr>
          <w:rFonts w:eastAsia="Calibri"/>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557"/>
        <w:gridCol w:w="1913"/>
      </w:tblGrid>
      <w:tr w:rsidR="00FB26D6" w:rsidRPr="006128F6" w14:paraId="190BCC39" w14:textId="77777777" w:rsidTr="008B2AA4">
        <w:trPr>
          <w:trHeight w:val="300"/>
        </w:trPr>
        <w:tc>
          <w:tcPr>
            <w:tcW w:w="440" w:type="pct"/>
            <w:shd w:val="clear" w:color="auto" w:fill="auto"/>
            <w:noWrap/>
            <w:hideMark/>
          </w:tcPr>
          <w:p w14:paraId="33A87C61" w14:textId="77777777" w:rsidR="00FB26D6" w:rsidRPr="006128F6" w:rsidRDefault="00FB26D6" w:rsidP="006128F6">
            <w:pPr>
              <w:keepNext/>
              <w:tabs>
                <w:tab w:val="clear" w:pos="567"/>
              </w:tabs>
              <w:spacing w:line="240" w:lineRule="auto"/>
              <w:rPr>
                <w:b/>
                <w:color w:val="000000"/>
                <w:szCs w:val="22"/>
                <w:lang w:eastAsia="en-GB"/>
              </w:rPr>
            </w:pPr>
            <w:r w:rsidRPr="006128F6">
              <w:rPr>
                <w:b/>
                <w:color w:val="000000"/>
                <w:szCs w:val="22"/>
                <w:lang w:eastAsia="en-GB"/>
              </w:rPr>
              <w:t xml:space="preserve">Score </w:t>
            </w:r>
          </w:p>
        </w:tc>
        <w:tc>
          <w:tcPr>
            <w:tcW w:w="3530" w:type="pct"/>
            <w:shd w:val="clear" w:color="auto" w:fill="auto"/>
            <w:noWrap/>
            <w:hideMark/>
          </w:tcPr>
          <w:p w14:paraId="61B872BF" w14:textId="77777777" w:rsidR="00FB26D6" w:rsidRPr="006128F6" w:rsidRDefault="00FB26D6" w:rsidP="006128F6">
            <w:pPr>
              <w:keepNext/>
              <w:tabs>
                <w:tab w:val="clear" w:pos="567"/>
              </w:tabs>
              <w:spacing w:line="240" w:lineRule="auto"/>
              <w:rPr>
                <w:b/>
                <w:color w:val="000000"/>
                <w:szCs w:val="22"/>
                <w:lang w:eastAsia="en-GB"/>
              </w:rPr>
            </w:pPr>
            <w:r w:rsidRPr="006128F6">
              <w:rPr>
                <w:b/>
                <w:color w:val="000000"/>
                <w:szCs w:val="22"/>
                <w:lang w:eastAsia="en-GB"/>
              </w:rPr>
              <w:t xml:space="preserve">Staining pattern </w:t>
            </w:r>
          </w:p>
        </w:tc>
        <w:tc>
          <w:tcPr>
            <w:tcW w:w="1030" w:type="pct"/>
            <w:shd w:val="clear" w:color="auto" w:fill="auto"/>
            <w:noWrap/>
            <w:hideMark/>
          </w:tcPr>
          <w:p w14:paraId="7C16FD99" w14:textId="77777777" w:rsidR="00FB26D6" w:rsidRPr="006128F6" w:rsidRDefault="00FB26D6" w:rsidP="006128F6">
            <w:pPr>
              <w:keepNext/>
              <w:tabs>
                <w:tab w:val="clear" w:pos="567"/>
              </w:tabs>
              <w:spacing w:line="240" w:lineRule="auto"/>
              <w:rPr>
                <w:b/>
                <w:color w:val="000000"/>
                <w:szCs w:val="22"/>
                <w:lang w:eastAsia="en-GB"/>
              </w:rPr>
            </w:pPr>
            <w:r w:rsidRPr="006128F6">
              <w:rPr>
                <w:b/>
                <w:color w:val="000000"/>
                <w:szCs w:val="22"/>
                <w:lang w:eastAsia="en-GB"/>
              </w:rPr>
              <w:t xml:space="preserve">HER2 overexpression assessment </w:t>
            </w:r>
          </w:p>
        </w:tc>
      </w:tr>
      <w:tr w:rsidR="00FB26D6" w:rsidRPr="006128F6" w14:paraId="4C1148EA" w14:textId="77777777" w:rsidTr="008B2AA4">
        <w:trPr>
          <w:trHeight w:val="300"/>
        </w:trPr>
        <w:tc>
          <w:tcPr>
            <w:tcW w:w="440" w:type="pct"/>
            <w:shd w:val="clear" w:color="auto" w:fill="auto"/>
            <w:noWrap/>
            <w:hideMark/>
          </w:tcPr>
          <w:p w14:paraId="74A66113" w14:textId="77777777" w:rsidR="00FB26D6" w:rsidRPr="006128F6" w:rsidRDefault="00FB26D6" w:rsidP="006128F6">
            <w:pPr>
              <w:keepNext/>
              <w:tabs>
                <w:tab w:val="clear" w:pos="567"/>
              </w:tabs>
              <w:spacing w:line="240" w:lineRule="auto"/>
              <w:rPr>
                <w:color w:val="000000"/>
                <w:szCs w:val="22"/>
                <w:lang w:eastAsia="en-GB"/>
              </w:rPr>
            </w:pPr>
            <w:r w:rsidRPr="006128F6">
              <w:rPr>
                <w:color w:val="000000"/>
                <w:szCs w:val="22"/>
                <w:lang w:eastAsia="en-GB"/>
              </w:rPr>
              <w:t>0</w:t>
            </w:r>
          </w:p>
        </w:tc>
        <w:tc>
          <w:tcPr>
            <w:tcW w:w="3530" w:type="pct"/>
            <w:shd w:val="clear" w:color="auto" w:fill="auto"/>
            <w:noWrap/>
            <w:hideMark/>
          </w:tcPr>
          <w:p w14:paraId="2DE702D9" w14:textId="52EEB6CC" w:rsidR="00FB26D6" w:rsidRPr="006128F6" w:rsidRDefault="00FB26D6" w:rsidP="006128F6">
            <w:pPr>
              <w:keepNext/>
              <w:tabs>
                <w:tab w:val="clear" w:pos="567"/>
              </w:tabs>
              <w:spacing w:line="240" w:lineRule="auto"/>
              <w:rPr>
                <w:color w:val="000000"/>
                <w:szCs w:val="22"/>
                <w:lang w:eastAsia="en-GB"/>
              </w:rPr>
            </w:pPr>
            <w:r w:rsidRPr="006128F6">
              <w:rPr>
                <w:color w:val="000000"/>
                <w:szCs w:val="22"/>
                <w:lang w:eastAsia="en-GB"/>
              </w:rPr>
              <w:t>No staining is observed or membrane staining is observed in &lt; 10</w:t>
            </w:r>
            <w:r w:rsidR="000840CF" w:rsidRPr="006128F6">
              <w:rPr>
                <w:color w:val="000000"/>
                <w:szCs w:val="22"/>
                <w:lang w:eastAsia="en-GB"/>
              </w:rPr>
              <w:t>%</w:t>
            </w:r>
            <w:r w:rsidRPr="006128F6">
              <w:rPr>
                <w:color w:val="000000"/>
                <w:szCs w:val="22"/>
                <w:lang w:eastAsia="en-GB"/>
              </w:rPr>
              <w:t xml:space="preserve"> of the tumour cells</w:t>
            </w:r>
            <w:r w:rsidR="00B72F39" w:rsidRPr="006128F6">
              <w:rPr>
                <w:color w:val="000000"/>
                <w:szCs w:val="22"/>
                <w:lang w:eastAsia="en-GB"/>
              </w:rPr>
              <w:t>.</w:t>
            </w:r>
            <w:r w:rsidRPr="006128F6">
              <w:rPr>
                <w:color w:val="000000"/>
                <w:szCs w:val="22"/>
                <w:lang w:eastAsia="en-GB"/>
              </w:rPr>
              <w:t xml:space="preserve"> </w:t>
            </w:r>
          </w:p>
        </w:tc>
        <w:tc>
          <w:tcPr>
            <w:tcW w:w="1030" w:type="pct"/>
            <w:shd w:val="clear" w:color="auto" w:fill="auto"/>
            <w:noWrap/>
            <w:hideMark/>
          </w:tcPr>
          <w:p w14:paraId="12651CDF" w14:textId="77777777" w:rsidR="00FB26D6" w:rsidRPr="006128F6" w:rsidRDefault="00FB26D6" w:rsidP="006128F6">
            <w:pPr>
              <w:keepNext/>
              <w:tabs>
                <w:tab w:val="clear" w:pos="567"/>
              </w:tabs>
              <w:spacing w:line="240" w:lineRule="auto"/>
              <w:rPr>
                <w:color w:val="000000"/>
                <w:szCs w:val="22"/>
                <w:lang w:eastAsia="en-GB"/>
              </w:rPr>
            </w:pPr>
            <w:r w:rsidRPr="006128F6">
              <w:rPr>
                <w:color w:val="000000"/>
                <w:szCs w:val="22"/>
                <w:lang w:eastAsia="en-GB"/>
              </w:rPr>
              <w:t xml:space="preserve">Negative </w:t>
            </w:r>
          </w:p>
        </w:tc>
      </w:tr>
      <w:tr w:rsidR="00FB26D6" w:rsidRPr="006128F6" w14:paraId="6A58BEFF" w14:textId="77777777" w:rsidTr="008B2AA4">
        <w:trPr>
          <w:trHeight w:val="300"/>
        </w:trPr>
        <w:tc>
          <w:tcPr>
            <w:tcW w:w="440" w:type="pct"/>
            <w:shd w:val="clear" w:color="auto" w:fill="auto"/>
            <w:noWrap/>
            <w:hideMark/>
          </w:tcPr>
          <w:p w14:paraId="4E2711CC" w14:textId="77777777" w:rsidR="00FB26D6" w:rsidRPr="006128F6" w:rsidRDefault="00FB26D6" w:rsidP="006128F6">
            <w:pPr>
              <w:keepNext/>
              <w:tabs>
                <w:tab w:val="clear" w:pos="567"/>
              </w:tabs>
              <w:spacing w:line="240" w:lineRule="auto"/>
              <w:rPr>
                <w:color w:val="000000"/>
                <w:szCs w:val="22"/>
                <w:lang w:eastAsia="en-GB"/>
              </w:rPr>
            </w:pPr>
            <w:r w:rsidRPr="006128F6">
              <w:rPr>
                <w:color w:val="000000"/>
                <w:szCs w:val="22"/>
                <w:lang w:eastAsia="en-GB"/>
              </w:rPr>
              <w:t xml:space="preserve">1+ </w:t>
            </w:r>
          </w:p>
        </w:tc>
        <w:tc>
          <w:tcPr>
            <w:tcW w:w="3530" w:type="pct"/>
            <w:shd w:val="clear" w:color="auto" w:fill="auto"/>
            <w:noWrap/>
            <w:hideMark/>
          </w:tcPr>
          <w:p w14:paraId="4BE2A250" w14:textId="0E848DE3" w:rsidR="00FB26D6" w:rsidRPr="006128F6" w:rsidRDefault="00FB26D6" w:rsidP="006128F6">
            <w:pPr>
              <w:keepNext/>
              <w:tabs>
                <w:tab w:val="clear" w:pos="567"/>
              </w:tabs>
              <w:spacing w:line="240" w:lineRule="auto"/>
              <w:rPr>
                <w:color w:val="000000"/>
                <w:szCs w:val="22"/>
                <w:lang w:eastAsia="en-GB"/>
              </w:rPr>
            </w:pPr>
            <w:r w:rsidRPr="006128F6">
              <w:rPr>
                <w:color w:val="000000"/>
                <w:szCs w:val="22"/>
                <w:lang w:eastAsia="en-GB"/>
              </w:rPr>
              <w:t>A faint/barely perceptible membrane staining is detected in &gt; </w:t>
            </w:r>
            <w:r w:rsidR="004442B5" w:rsidRPr="006128F6">
              <w:rPr>
                <w:color w:val="000000"/>
                <w:szCs w:val="22"/>
                <w:lang w:eastAsia="en-GB"/>
              </w:rPr>
              <w:t>10</w:t>
            </w:r>
            <w:r w:rsidR="000840CF" w:rsidRPr="006128F6">
              <w:rPr>
                <w:color w:val="000000"/>
                <w:szCs w:val="22"/>
                <w:lang w:eastAsia="en-GB"/>
              </w:rPr>
              <w:t>%</w:t>
            </w:r>
            <w:r w:rsidRPr="006128F6">
              <w:rPr>
                <w:color w:val="000000"/>
                <w:szCs w:val="22"/>
                <w:lang w:eastAsia="en-GB"/>
              </w:rPr>
              <w:t xml:space="preserve"> of the tumour cells. The cells are only stained in part of their membrane. </w:t>
            </w:r>
          </w:p>
        </w:tc>
        <w:tc>
          <w:tcPr>
            <w:tcW w:w="1030" w:type="pct"/>
            <w:shd w:val="clear" w:color="auto" w:fill="auto"/>
            <w:noWrap/>
            <w:hideMark/>
          </w:tcPr>
          <w:p w14:paraId="5079C3C8" w14:textId="77777777" w:rsidR="00FB26D6" w:rsidRPr="006128F6" w:rsidRDefault="00FB26D6" w:rsidP="006128F6">
            <w:pPr>
              <w:keepNext/>
              <w:tabs>
                <w:tab w:val="clear" w:pos="567"/>
              </w:tabs>
              <w:spacing w:line="240" w:lineRule="auto"/>
              <w:rPr>
                <w:color w:val="000000"/>
                <w:szCs w:val="22"/>
                <w:lang w:eastAsia="en-GB"/>
              </w:rPr>
            </w:pPr>
            <w:r w:rsidRPr="006128F6">
              <w:rPr>
                <w:color w:val="000000"/>
                <w:szCs w:val="22"/>
                <w:lang w:eastAsia="en-GB"/>
              </w:rPr>
              <w:t xml:space="preserve">Negative </w:t>
            </w:r>
          </w:p>
        </w:tc>
      </w:tr>
      <w:tr w:rsidR="00FB26D6" w:rsidRPr="006128F6" w14:paraId="649A3B48" w14:textId="77777777" w:rsidTr="008B2AA4">
        <w:trPr>
          <w:trHeight w:val="300"/>
        </w:trPr>
        <w:tc>
          <w:tcPr>
            <w:tcW w:w="440" w:type="pct"/>
            <w:tcBorders>
              <w:bottom w:val="single" w:sz="4" w:space="0" w:color="auto"/>
            </w:tcBorders>
            <w:shd w:val="clear" w:color="auto" w:fill="auto"/>
            <w:noWrap/>
            <w:hideMark/>
          </w:tcPr>
          <w:p w14:paraId="69A439B1" w14:textId="77777777" w:rsidR="00FB26D6" w:rsidRPr="006128F6" w:rsidRDefault="00FB26D6" w:rsidP="006128F6">
            <w:pPr>
              <w:tabs>
                <w:tab w:val="clear" w:pos="567"/>
              </w:tabs>
              <w:spacing w:line="240" w:lineRule="auto"/>
              <w:rPr>
                <w:color w:val="000000"/>
                <w:szCs w:val="22"/>
                <w:lang w:eastAsia="en-GB"/>
              </w:rPr>
            </w:pPr>
            <w:r w:rsidRPr="006128F6">
              <w:rPr>
                <w:color w:val="000000"/>
                <w:szCs w:val="22"/>
                <w:lang w:eastAsia="en-GB"/>
              </w:rPr>
              <w:t xml:space="preserve">2+ </w:t>
            </w:r>
          </w:p>
        </w:tc>
        <w:tc>
          <w:tcPr>
            <w:tcW w:w="3530" w:type="pct"/>
            <w:tcBorders>
              <w:bottom w:val="single" w:sz="4" w:space="0" w:color="auto"/>
            </w:tcBorders>
            <w:shd w:val="clear" w:color="auto" w:fill="auto"/>
            <w:noWrap/>
            <w:hideMark/>
          </w:tcPr>
          <w:p w14:paraId="5C461B35" w14:textId="5DF27111" w:rsidR="00FB26D6" w:rsidRPr="006128F6" w:rsidRDefault="00FB26D6" w:rsidP="006128F6">
            <w:pPr>
              <w:tabs>
                <w:tab w:val="clear" w:pos="567"/>
              </w:tabs>
              <w:spacing w:line="240" w:lineRule="auto"/>
              <w:rPr>
                <w:color w:val="000000"/>
                <w:szCs w:val="22"/>
                <w:lang w:eastAsia="en-GB"/>
              </w:rPr>
            </w:pPr>
            <w:r w:rsidRPr="006128F6">
              <w:rPr>
                <w:color w:val="000000"/>
                <w:szCs w:val="22"/>
                <w:lang w:eastAsia="en-GB"/>
              </w:rPr>
              <w:t>A weak to moderate complete membrane staining is detected in &gt; </w:t>
            </w:r>
            <w:r w:rsidR="004442B5" w:rsidRPr="006128F6">
              <w:rPr>
                <w:color w:val="000000"/>
                <w:szCs w:val="22"/>
                <w:lang w:eastAsia="en-GB"/>
              </w:rPr>
              <w:t>10</w:t>
            </w:r>
            <w:r w:rsidR="000840CF" w:rsidRPr="006128F6">
              <w:rPr>
                <w:color w:val="000000"/>
                <w:szCs w:val="22"/>
                <w:lang w:eastAsia="en-GB"/>
              </w:rPr>
              <w:t>%</w:t>
            </w:r>
            <w:r w:rsidRPr="006128F6">
              <w:rPr>
                <w:color w:val="000000"/>
                <w:szCs w:val="22"/>
                <w:lang w:eastAsia="en-GB"/>
              </w:rPr>
              <w:t xml:space="preserve"> of the tumour cells. </w:t>
            </w:r>
          </w:p>
        </w:tc>
        <w:tc>
          <w:tcPr>
            <w:tcW w:w="1030" w:type="pct"/>
            <w:tcBorders>
              <w:bottom w:val="single" w:sz="4" w:space="0" w:color="auto"/>
            </w:tcBorders>
            <w:shd w:val="clear" w:color="auto" w:fill="auto"/>
            <w:noWrap/>
            <w:hideMark/>
          </w:tcPr>
          <w:p w14:paraId="088EAD47" w14:textId="77777777" w:rsidR="00FB26D6" w:rsidRPr="006128F6" w:rsidRDefault="00FB26D6" w:rsidP="006128F6">
            <w:pPr>
              <w:tabs>
                <w:tab w:val="clear" w:pos="567"/>
              </w:tabs>
              <w:spacing w:line="240" w:lineRule="auto"/>
              <w:rPr>
                <w:color w:val="000000"/>
                <w:szCs w:val="22"/>
                <w:lang w:eastAsia="en-GB"/>
              </w:rPr>
            </w:pPr>
            <w:r w:rsidRPr="006128F6">
              <w:rPr>
                <w:color w:val="000000"/>
                <w:szCs w:val="22"/>
                <w:lang w:eastAsia="en-GB"/>
              </w:rPr>
              <w:t xml:space="preserve">Equivocal </w:t>
            </w:r>
          </w:p>
        </w:tc>
      </w:tr>
      <w:tr w:rsidR="00FB26D6" w:rsidRPr="006128F6" w14:paraId="3D1D2546" w14:textId="77777777" w:rsidTr="008B2AA4">
        <w:trPr>
          <w:trHeight w:val="300"/>
        </w:trPr>
        <w:tc>
          <w:tcPr>
            <w:tcW w:w="440" w:type="pct"/>
            <w:tcBorders>
              <w:bottom w:val="single" w:sz="4" w:space="0" w:color="auto"/>
            </w:tcBorders>
            <w:shd w:val="clear" w:color="auto" w:fill="auto"/>
            <w:noWrap/>
            <w:hideMark/>
          </w:tcPr>
          <w:p w14:paraId="0BE125BB" w14:textId="77777777" w:rsidR="00FB26D6" w:rsidRPr="006128F6" w:rsidRDefault="00FB26D6" w:rsidP="006128F6">
            <w:pPr>
              <w:tabs>
                <w:tab w:val="clear" w:pos="567"/>
              </w:tabs>
              <w:spacing w:line="240" w:lineRule="auto"/>
              <w:rPr>
                <w:color w:val="000000"/>
                <w:szCs w:val="22"/>
                <w:lang w:eastAsia="en-GB"/>
              </w:rPr>
            </w:pPr>
            <w:r w:rsidRPr="006128F6">
              <w:rPr>
                <w:color w:val="000000"/>
                <w:szCs w:val="22"/>
                <w:lang w:eastAsia="en-GB"/>
              </w:rPr>
              <w:t xml:space="preserve">3+ </w:t>
            </w:r>
          </w:p>
        </w:tc>
        <w:tc>
          <w:tcPr>
            <w:tcW w:w="3530" w:type="pct"/>
            <w:tcBorders>
              <w:bottom w:val="single" w:sz="4" w:space="0" w:color="auto"/>
            </w:tcBorders>
            <w:shd w:val="clear" w:color="auto" w:fill="auto"/>
            <w:noWrap/>
            <w:hideMark/>
          </w:tcPr>
          <w:p w14:paraId="577131FA" w14:textId="4D3CFC53" w:rsidR="00FB26D6" w:rsidRPr="006128F6" w:rsidRDefault="00FB26D6" w:rsidP="006128F6">
            <w:pPr>
              <w:tabs>
                <w:tab w:val="clear" w:pos="567"/>
              </w:tabs>
              <w:spacing w:line="240" w:lineRule="auto"/>
              <w:rPr>
                <w:color w:val="000000"/>
                <w:szCs w:val="22"/>
                <w:lang w:eastAsia="en-GB"/>
              </w:rPr>
            </w:pPr>
            <w:r w:rsidRPr="006128F6">
              <w:rPr>
                <w:color w:val="000000"/>
                <w:szCs w:val="22"/>
                <w:lang w:eastAsia="en-GB"/>
              </w:rPr>
              <w:t>Strong complete membrane staining is detected in &gt; 10</w:t>
            </w:r>
            <w:r w:rsidR="000840CF" w:rsidRPr="006128F6">
              <w:rPr>
                <w:color w:val="000000"/>
                <w:szCs w:val="22"/>
                <w:lang w:eastAsia="en-GB"/>
              </w:rPr>
              <w:t>%</w:t>
            </w:r>
            <w:r w:rsidRPr="006128F6">
              <w:rPr>
                <w:color w:val="000000"/>
                <w:szCs w:val="22"/>
                <w:lang w:eastAsia="en-GB"/>
              </w:rPr>
              <w:t xml:space="preserve"> of the tumour cells. </w:t>
            </w:r>
          </w:p>
        </w:tc>
        <w:tc>
          <w:tcPr>
            <w:tcW w:w="1030" w:type="pct"/>
            <w:tcBorders>
              <w:bottom w:val="single" w:sz="4" w:space="0" w:color="auto"/>
            </w:tcBorders>
            <w:shd w:val="clear" w:color="auto" w:fill="auto"/>
            <w:noWrap/>
            <w:hideMark/>
          </w:tcPr>
          <w:p w14:paraId="2C9722C2" w14:textId="77777777" w:rsidR="00FB26D6" w:rsidRPr="006128F6" w:rsidRDefault="00FB26D6" w:rsidP="006128F6">
            <w:pPr>
              <w:tabs>
                <w:tab w:val="clear" w:pos="567"/>
              </w:tabs>
              <w:spacing w:line="240" w:lineRule="auto"/>
              <w:rPr>
                <w:color w:val="000000"/>
                <w:szCs w:val="22"/>
                <w:lang w:eastAsia="en-GB"/>
              </w:rPr>
            </w:pPr>
            <w:r w:rsidRPr="006128F6">
              <w:rPr>
                <w:color w:val="000000"/>
                <w:szCs w:val="22"/>
                <w:lang w:eastAsia="en-GB"/>
              </w:rPr>
              <w:t xml:space="preserve">Positive </w:t>
            </w:r>
          </w:p>
        </w:tc>
      </w:tr>
    </w:tbl>
    <w:p w14:paraId="222BBC22" w14:textId="77777777" w:rsidR="00FB26D6" w:rsidRPr="006128F6" w:rsidRDefault="00FB26D6" w:rsidP="006128F6">
      <w:pPr>
        <w:spacing w:line="240" w:lineRule="auto"/>
        <w:ind w:left="561" w:hanging="561"/>
        <w:outlineLvl w:val="0"/>
        <w:rPr>
          <w:b/>
          <w:szCs w:val="22"/>
        </w:rPr>
      </w:pPr>
    </w:p>
    <w:p w14:paraId="02DD25B1" w14:textId="77777777" w:rsidR="00FB26D6" w:rsidRPr="00CE427E" w:rsidRDefault="00FB26D6" w:rsidP="006128F6">
      <w:pPr>
        <w:tabs>
          <w:tab w:val="clear" w:pos="567"/>
        </w:tabs>
        <w:autoSpaceDE w:val="0"/>
        <w:autoSpaceDN w:val="0"/>
        <w:adjustRightInd w:val="0"/>
        <w:spacing w:line="240" w:lineRule="auto"/>
        <w:rPr>
          <w:rFonts w:eastAsia="Calibri"/>
          <w:szCs w:val="22"/>
        </w:rPr>
      </w:pPr>
      <w:r w:rsidRPr="00CE427E">
        <w:rPr>
          <w:rFonts w:eastAsia="Calibri"/>
          <w:szCs w:val="22"/>
        </w:rPr>
        <w:t>In general, FISH is considered positive if the ratio of the HER2 gene</w:t>
      </w:r>
      <w:r w:rsidR="000A39BC" w:rsidRPr="00CE427E">
        <w:rPr>
          <w:rFonts w:eastAsia="Calibri"/>
          <w:szCs w:val="22"/>
        </w:rPr>
        <w:t xml:space="preserve"> copy number per tumour cell to </w:t>
      </w:r>
      <w:r w:rsidRPr="00CE427E">
        <w:rPr>
          <w:rFonts w:eastAsia="Calibri"/>
          <w:szCs w:val="22"/>
        </w:rPr>
        <w:t>the chromosome 17 copy number is greater than or equal to 2, or if ther</w:t>
      </w:r>
      <w:r w:rsidR="000A39BC" w:rsidRPr="00CE427E">
        <w:rPr>
          <w:rFonts w:eastAsia="Calibri"/>
          <w:szCs w:val="22"/>
        </w:rPr>
        <w:t xml:space="preserve">e are more than 4 copies of the </w:t>
      </w:r>
      <w:r w:rsidRPr="00CE427E">
        <w:rPr>
          <w:rFonts w:eastAsia="Calibri"/>
          <w:szCs w:val="22"/>
        </w:rPr>
        <w:t>HER2 gene per tumour cell if no chromosome 17 control is used.</w:t>
      </w:r>
    </w:p>
    <w:p w14:paraId="78FBB9C2" w14:textId="77777777" w:rsidR="000A39BC" w:rsidRPr="00CE427E" w:rsidRDefault="000A39BC" w:rsidP="006128F6">
      <w:pPr>
        <w:tabs>
          <w:tab w:val="clear" w:pos="567"/>
        </w:tabs>
        <w:autoSpaceDE w:val="0"/>
        <w:autoSpaceDN w:val="0"/>
        <w:adjustRightInd w:val="0"/>
        <w:spacing w:line="240" w:lineRule="auto"/>
        <w:rPr>
          <w:rFonts w:eastAsia="Calibri"/>
          <w:szCs w:val="22"/>
        </w:rPr>
      </w:pPr>
    </w:p>
    <w:p w14:paraId="6C124C1A" w14:textId="64E0EF07" w:rsidR="00FB26D6" w:rsidRPr="00CE427E" w:rsidRDefault="00FB26D6" w:rsidP="006128F6">
      <w:pPr>
        <w:tabs>
          <w:tab w:val="clear" w:pos="567"/>
        </w:tabs>
        <w:autoSpaceDE w:val="0"/>
        <w:autoSpaceDN w:val="0"/>
        <w:adjustRightInd w:val="0"/>
        <w:spacing w:line="240" w:lineRule="auto"/>
        <w:rPr>
          <w:rFonts w:eastAsia="Calibri"/>
          <w:szCs w:val="22"/>
        </w:rPr>
      </w:pPr>
      <w:r w:rsidRPr="00CE427E">
        <w:rPr>
          <w:rFonts w:eastAsia="Calibri"/>
          <w:szCs w:val="22"/>
        </w:rPr>
        <w:t>In general, CISH is considered positive if there are more than 5 copi</w:t>
      </w:r>
      <w:r w:rsidR="000A39BC" w:rsidRPr="00CE427E">
        <w:rPr>
          <w:rFonts w:eastAsia="Calibri"/>
          <w:szCs w:val="22"/>
        </w:rPr>
        <w:t xml:space="preserve">es of the HER2 gene per nucleus </w:t>
      </w:r>
      <w:r w:rsidR="00214AB8" w:rsidRPr="00CE427E">
        <w:rPr>
          <w:rFonts w:eastAsia="Calibri"/>
          <w:szCs w:val="22"/>
        </w:rPr>
        <w:t>in greater than 50</w:t>
      </w:r>
      <w:r w:rsidR="000840CF" w:rsidRPr="00CE427E">
        <w:rPr>
          <w:rFonts w:eastAsia="Calibri"/>
          <w:szCs w:val="22"/>
        </w:rPr>
        <w:t>%</w:t>
      </w:r>
      <w:r w:rsidRPr="00CE427E">
        <w:rPr>
          <w:rFonts w:eastAsia="Calibri"/>
          <w:szCs w:val="22"/>
        </w:rPr>
        <w:t xml:space="preserve"> of tumour cells.</w:t>
      </w:r>
    </w:p>
    <w:p w14:paraId="14FE5F55" w14:textId="77777777" w:rsidR="00214AB8" w:rsidRPr="00CE427E" w:rsidRDefault="00214AB8" w:rsidP="006128F6">
      <w:pPr>
        <w:tabs>
          <w:tab w:val="clear" w:pos="567"/>
        </w:tabs>
        <w:autoSpaceDE w:val="0"/>
        <w:autoSpaceDN w:val="0"/>
        <w:adjustRightInd w:val="0"/>
        <w:spacing w:line="240" w:lineRule="auto"/>
        <w:rPr>
          <w:rFonts w:eastAsia="Calibri"/>
          <w:szCs w:val="22"/>
        </w:rPr>
      </w:pPr>
    </w:p>
    <w:p w14:paraId="7D9C0A47" w14:textId="77777777" w:rsidR="000A39BC" w:rsidRPr="00CE427E" w:rsidRDefault="00FB26D6" w:rsidP="006128F6">
      <w:pPr>
        <w:tabs>
          <w:tab w:val="clear" w:pos="567"/>
        </w:tabs>
        <w:autoSpaceDE w:val="0"/>
        <w:autoSpaceDN w:val="0"/>
        <w:adjustRightInd w:val="0"/>
        <w:spacing w:line="240" w:lineRule="auto"/>
        <w:rPr>
          <w:rFonts w:eastAsia="Calibri"/>
          <w:szCs w:val="22"/>
        </w:rPr>
      </w:pPr>
      <w:r w:rsidRPr="00CE427E">
        <w:rPr>
          <w:rFonts w:eastAsia="Calibri"/>
          <w:szCs w:val="22"/>
        </w:rPr>
        <w:t xml:space="preserve">For full instructions on assay performance and interpretation please </w:t>
      </w:r>
      <w:r w:rsidR="000A39BC" w:rsidRPr="00CE427E">
        <w:rPr>
          <w:rFonts w:eastAsia="Calibri"/>
          <w:szCs w:val="22"/>
        </w:rPr>
        <w:t xml:space="preserve">refer to the package inserts of </w:t>
      </w:r>
      <w:r w:rsidRPr="00CE427E">
        <w:rPr>
          <w:rFonts w:eastAsia="Calibri"/>
          <w:szCs w:val="22"/>
        </w:rPr>
        <w:t>validated FISH and CISH assays. Official recommendations on HER2 testing may als</w:t>
      </w:r>
      <w:r w:rsidR="000A39BC" w:rsidRPr="00CE427E">
        <w:rPr>
          <w:rFonts w:eastAsia="Calibri"/>
          <w:szCs w:val="22"/>
        </w:rPr>
        <w:t xml:space="preserve">o apply. </w:t>
      </w:r>
    </w:p>
    <w:p w14:paraId="66435428" w14:textId="77777777" w:rsidR="00214AB8" w:rsidRPr="00CE427E" w:rsidRDefault="00214AB8" w:rsidP="006128F6">
      <w:pPr>
        <w:tabs>
          <w:tab w:val="clear" w:pos="567"/>
        </w:tabs>
        <w:autoSpaceDE w:val="0"/>
        <w:autoSpaceDN w:val="0"/>
        <w:adjustRightInd w:val="0"/>
        <w:spacing w:line="240" w:lineRule="auto"/>
        <w:rPr>
          <w:rFonts w:eastAsia="Calibri"/>
          <w:szCs w:val="22"/>
        </w:rPr>
      </w:pPr>
    </w:p>
    <w:p w14:paraId="400060DE" w14:textId="77777777" w:rsidR="00FB26D6" w:rsidRPr="00CE427E" w:rsidRDefault="00FB26D6" w:rsidP="006128F6">
      <w:pPr>
        <w:tabs>
          <w:tab w:val="clear" w:pos="567"/>
        </w:tabs>
        <w:autoSpaceDE w:val="0"/>
        <w:autoSpaceDN w:val="0"/>
        <w:adjustRightInd w:val="0"/>
        <w:spacing w:line="240" w:lineRule="auto"/>
        <w:rPr>
          <w:rFonts w:eastAsia="Calibri"/>
          <w:szCs w:val="22"/>
        </w:rPr>
      </w:pPr>
      <w:r w:rsidRPr="00CE427E">
        <w:rPr>
          <w:rFonts w:eastAsia="Calibri"/>
          <w:szCs w:val="22"/>
        </w:rPr>
        <w:t xml:space="preserve">For any other method that may be used for the assessment of HER2 </w:t>
      </w:r>
      <w:r w:rsidR="000A39BC" w:rsidRPr="00CE427E">
        <w:rPr>
          <w:rFonts w:eastAsia="Calibri"/>
          <w:szCs w:val="22"/>
        </w:rPr>
        <w:t xml:space="preserve">protein or gene expression, the </w:t>
      </w:r>
      <w:r w:rsidRPr="00CE427E">
        <w:rPr>
          <w:rFonts w:eastAsia="Calibri"/>
          <w:szCs w:val="22"/>
        </w:rPr>
        <w:t>analyses should only be performed by laboratories that provide adequa</w:t>
      </w:r>
      <w:r w:rsidR="000A39BC" w:rsidRPr="00CE427E">
        <w:rPr>
          <w:rFonts w:eastAsia="Calibri"/>
          <w:szCs w:val="22"/>
        </w:rPr>
        <w:t>te state</w:t>
      </w:r>
      <w:r w:rsidR="00214AB8" w:rsidRPr="00CE427E">
        <w:rPr>
          <w:rFonts w:eastAsia="Calibri"/>
          <w:szCs w:val="22"/>
        </w:rPr>
        <w:noBreakHyphen/>
      </w:r>
      <w:r w:rsidR="000A39BC" w:rsidRPr="00CE427E">
        <w:rPr>
          <w:rFonts w:eastAsia="Calibri"/>
          <w:szCs w:val="22"/>
        </w:rPr>
        <w:t>of</w:t>
      </w:r>
      <w:r w:rsidR="00214AB8" w:rsidRPr="00CE427E">
        <w:rPr>
          <w:rFonts w:eastAsia="Calibri"/>
          <w:szCs w:val="22"/>
        </w:rPr>
        <w:noBreakHyphen/>
      </w:r>
      <w:r w:rsidR="000A39BC" w:rsidRPr="00CE427E">
        <w:rPr>
          <w:rFonts w:eastAsia="Calibri"/>
          <w:szCs w:val="22"/>
        </w:rPr>
        <w:t>the</w:t>
      </w:r>
      <w:r w:rsidR="00214AB8" w:rsidRPr="00CE427E">
        <w:rPr>
          <w:rFonts w:eastAsia="Calibri"/>
          <w:szCs w:val="22"/>
        </w:rPr>
        <w:noBreakHyphen/>
      </w:r>
      <w:r w:rsidR="000A39BC" w:rsidRPr="00CE427E">
        <w:rPr>
          <w:rFonts w:eastAsia="Calibri"/>
          <w:szCs w:val="22"/>
        </w:rPr>
        <w:t xml:space="preserve">art performance </w:t>
      </w:r>
      <w:r w:rsidRPr="00CE427E">
        <w:rPr>
          <w:rFonts w:eastAsia="Calibri"/>
          <w:szCs w:val="22"/>
        </w:rPr>
        <w:t>of validated methods. Such methods must clearly be precise and</w:t>
      </w:r>
      <w:r w:rsidR="000A39BC" w:rsidRPr="00CE427E">
        <w:rPr>
          <w:rFonts w:eastAsia="Calibri"/>
          <w:szCs w:val="22"/>
        </w:rPr>
        <w:t xml:space="preserve"> accurate enough to demonstrate </w:t>
      </w:r>
      <w:r w:rsidRPr="00CE427E">
        <w:rPr>
          <w:rFonts w:eastAsia="Calibri"/>
          <w:szCs w:val="22"/>
        </w:rPr>
        <w:t>overexpression of HER2 and must be able to distinguish between m</w:t>
      </w:r>
      <w:r w:rsidR="000A39BC" w:rsidRPr="00CE427E">
        <w:rPr>
          <w:rFonts w:eastAsia="Calibri"/>
          <w:szCs w:val="22"/>
        </w:rPr>
        <w:t xml:space="preserve">oderate (congruent with 2+) and </w:t>
      </w:r>
      <w:r w:rsidRPr="00CE427E">
        <w:rPr>
          <w:rFonts w:eastAsia="Calibri"/>
          <w:szCs w:val="22"/>
        </w:rPr>
        <w:t>strong (congruent with 3+) overexpression of HER2.</w:t>
      </w:r>
    </w:p>
    <w:p w14:paraId="6990F26C" w14:textId="77777777" w:rsidR="000A39BC" w:rsidRPr="00CE427E" w:rsidRDefault="000A39BC" w:rsidP="006128F6">
      <w:pPr>
        <w:tabs>
          <w:tab w:val="clear" w:pos="567"/>
        </w:tabs>
        <w:autoSpaceDE w:val="0"/>
        <w:autoSpaceDN w:val="0"/>
        <w:adjustRightInd w:val="0"/>
        <w:spacing w:line="240" w:lineRule="auto"/>
        <w:rPr>
          <w:rFonts w:eastAsia="Calibri"/>
          <w:i/>
          <w:iCs/>
          <w:szCs w:val="22"/>
        </w:rPr>
      </w:pPr>
    </w:p>
    <w:p w14:paraId="78B107E6" w14:textId="77777777" w:rsidR="00FB26D6" w:rsidRPr="00CE427E" w:rsidRDefault="00FB26D6" w:rsidP="006128F6">
      <w:pPr>
        <w:tabs>
          <w:tab w:val="clear" w:pos="567"/>
        </w:tabs>
        <w:autoSpaceDE w:val="0"/>
        <w:autoSpaceDN w:val="0"/>
        <w:adjustRightInd w:val="0"/>
        <w:spacing w:line="240" w:lineRule="auto"/>
        <w:rPr>
          <w:rFonts w:eastAsia="Calibri"/>
          <w:i/>
          <w:iCs/>
          <w:szCs w:val="22"/>
        </w:rPr>
      </w:pPr>
      <w:r w:rsidRPr="00CE427E">
        <w:rPr>
          <w:rFonts w:eastAsia="Calibri"/>
          <w:i/>
          <w:iCs/>
          <w:szCs w:val="22"/>
        </w:rPr>
        <w:t>Detection of HER2 over expression or HER2 gene amplification in gastric cancer</w:t>
      </w:r>
    </w:p>
    <w:p w14:paraId="3A890D9F" w14:textId="2F22A37C" w:rsidR="00214AB8" w:rsidRPr="00CE427E" w:rsidRDefault="00FB26D6" w:rsidP="006128F6">
      <w:pPr>
        <w:tabs>
          <w:tab w:val="clear" w:pos="567"/>
        </w:tabs>
        <w:autoSpaceDE w:val="0"/>
        <w:autoSpaceDN w:val="0"/>
        <w:adjustRightInd w:val="0"/>
        <w:spacing w:line="240" w:lineRule="auto"/>
        <w:rPr>
          <w:rFonts w:eastAsia="Calibri"/>
          <w:szCs w:val="22"/>
        </w:rPr>
      </w:pPr>
      <w:r w:rsidRPr="00CE427E">
        <w:rPr>
          <w:rFonts w:eastAsia="Calibri"/>
          <w:szCs w:val="22"/>
        </w:rPr>
        <w:t>Only an accurate and validated assay should be used to detect HE</w:t>
      </w:r>
      <w:r w:rsidR="000A39BC" w:rsidRPr="00CE427E">
        <w:rPr>
          <w:rFonts w:eastAsia="Calibri"/>
          <w:szCs w:val="22"/>
        </w:rPr>
        <w:t xml:space="preserve">R2 over expression or HER2 gene </w:t>
      </w:r>
      <w:r w:rsidRPr="00CE427E">
        <w:rPr>
          <w:rFonts w:eastAsia="Calibri"/>
          <w:szCs w:val="22"/>
        </w:rPr>
        <w:t>amplification. IHC is recommended as the first testing modali</w:t>
      </w:r>
      <w:r w:rsidR="000A39BC" w:rsidRPr="00CE427E">
        <w:rPr>
          <w:rFonts w:eastAsia="Calibri"/>
          <w:szCs w:val="22"/>
        </w:rPr>
        <w:t xml:space="preserve">ty and in cases where HER2 gene </w:t>
      </w:r>
      <w:r w:rsidRPr="00CE427E">
        <w:rPr>
          <w:rFonts w:eastAsia="Calibri"/>
          <w:szCs w:val="22"/>
        </w:rPr>
        <w:t>amplification status is also required, either a silver</w:t>
      </w:r>
      <w:r w:rsidR="00214AB8" w:rsidRPr="00CE427E">
        <w:rPr>
          <w:rFonts w:eastAsia="Calibri"/>
          <w:szCs w:val="22"/>
        </w:rPr>
        <w:noBreakHyphen/>
      </w:r>
      <w:r w:rsidRPr="00CE427E">
        <w:rPr>
          <w:rFonts w:eastAsia="Calibri"/>
          <w:szCs w:val="22"/>
        </w:rPr>
        <w:t xml:space="preserve">enhanced </w:t>
      </w:r>
      <w:r w:rsidRPr="00CE427E">
        <w:rPr>
          <w:rFonts w:eastAsia="Calibri"/>
          <w:i/>
          <w:iCs/>
          <w:szCs w:val="22"/>
        </w:rPr>
        <w:t xml:space="preserve">in situ </w:t>
      </w:r>
      <w:r w:rsidR="000A39BC" w:rsidRPr="00CE427E">
        <w:rPr>
          <w:rFonts w:eastAsia="Calibri"/>
          <w:szCs w:val="22"/>
        </w:rPr>
        <w:t>hybridi</w:t>
      </w:r>
      <w:r w:rsidR="000429F1" w:rsidRPr="00CE427E">
        <w:rPr>
          <w:rFonts w:eastAsia="Calibri"/>
          <w:szCs w:val="22"/>
        </w:rPr>
        <w:t>s</w:t>
      </w:r>
      <w:r w:rsidR="000A39BC" w:rsidRPr="00CE427E">
        <w:rPr>
          <w:rFonts w:eastAsia="Calibri"/>
          <w:szCs w:val="22"/>
        </w:rPr>
        <w:t xml:space="preserve">ation (SISH) or a FISH </w:t>
      </w:r>
      <w:r w:rsidRPr="00CE427E">
        <w:rPr>
          <w:rFonts w:eastAsia="Calibri"/>
          <w:szCs w:val="22"/>
        </w:rPr>
        <w:t>technique must be applied. SISH technology is however, recomm</w:t>
      </w:r>
      <w:r w:rsidR="000A39BC" w:rsidRPr="00CE427E">
        <w:rPr>
          <w:rFonts w:eastAsia="Calibri"/>
          <w:szCs w:val="22"/>
        </w:rPr>
        <w:t xml:space="preserve">ended to allow for the parallel </w:t>
      </w:r>
      <w:r w:rsidRPr="00CE427E">
        <w:rPr>
          <w:rFonts w:eastAsia="Calibri"/>
          <w:szCs w:val="22"/>
        </w:rPr>
        <w:t>evaluation of tumo</w:t>
      </w:r>
      <w:r w:rsidR="00214AB8" w:rsidRPr="00CE427E">
        <w:rPr>
          <w:rFonts w:eastAsia="Calibri"/>
          <w:szCs w:val="22"/>
        </w:rPr>
        <w:t>u</w:t>
      </w:r>
      <w:r w:rsidRPr="00CE427E">
        <w:rPr>
          <w:rFonts w:eastAsia="Calibri"/>
          <w:szCs w:val="22"/>
        </w:rPr>
        <w:t>r histology and morphology. To ensure validatio</w:t>
      </w:r>
      <w:r w:rsidR="00214AB8" w:rsidRPr="00CE427E">
        <w:rPr>
          <w:rFonts w:eastAsia="Calibri"/>
          <w:szCs w:val="22"/>
        </w:rPr>
        <w:t xml:space="preserve">n of testing procedures and the </w:t>
      </w:r>
      <w:r w:rsidRPr="00CE427E">
        <w:rPr>
          <w:rFonts w:eastAsia="Calibri"/>
          <w:szCs w:val="22"/>
        </w:rPr>
        <w:t>generation of accurate and reproducible results, HER2 testing mu</w:t>
      </w:r>
      <w:r w:rsidR="000A39BC" w:rsidRPr="00CE427E">
        <w:rPr>
          <w:rFonts w:eastAsia="Calibri"/>
          <w:szCs w:val="22"/>
        </w:rPr>
        <w:t xml:space="preserve">st be performed in a laboratory </w:t>
      </w:r>
      <w:r w:rsidRPr="00CE427E">
        <w:rPr>
          <w:rFonts w:eastAsia="Calibri"/>
          <w:szCs w:val="22"/>
        </w:rPr>
        <w:t>staffed by trained personnel. Full instructions on assay performance an</w:t>
      </w:r>
      <w:r w:rsidR="000A39BC" w:rsidRPr="00CE427E">
        <w:rPr>
          <w:rFonts w:eastAsia="Calibri"/>
          <w:szCs w:val="22"/>
        </w:rPr>
        <w:t xml:space="preserve">d results interpretation should </w:t>
      </w:r>
      <w:r w:rsidRPr="00CE427E">
        <w:rPr>
          <w:rFonts w:eastAsia="Calibri"/>
          <w:szCs w:val="22"/>
        </w:rPr>
        <w:t xml:space="preserve">be taken from the product information leaflet provided with the HER2 </w:t>
      </w:r>
      <w:r w:rsidR="000A39BC" w:rsidRPr="00CE427E">
        <w:rPr>
          <w:rFonts w:eastAsia="Calibri"/>
          <w:szCs w:val="22"/>
        </w:rPr>
        <w:t xml:space="preserve">testing assays used. </w:t>
      </w:r>
    </w:p>
    <w:p w14:paraId="36DC6B66" w14:textId="77777777" w:rsidR="00214AB8" w:rsidRPr="00CE427E" w:rsidRDefault="00214AB8" w:rsidP="006128F6">
      <w:pPr>
        <w:tabs>
          <w:tab w:val="clear" w:pos="567"/>
        </w:tabs>
        <w:autoSpaceDE w:val="0"/>
        <w:autoSpaceDN w:val="0"/>
        <w:adjustRightInd w:val="0"/>
        <w:spacing w:line="240" w:lineRule="auto"/>
        <w:rPr>
          <w:rFonts w:eastAsia="Calibri"/>
          <w:szCs w:val="22"/>
        </w:rPr>
      </w:pPr>
    </w:p>
    <w:p w14:paraId="4110EB57" w14:textId="38AE08D9" w:rsidR="00FB26D6" w:rsidRPr="00CE427E" w:rsidRDefault="00FB26D6" w:rsidP="006128F6">
      <w:pPr>
        <w:tabs>
          <w:tab w:val="clear" w:pos="567"/>
        </w:tabs>
        <w:autoSpaceDE w:val="0"/>
        <w:autoSpaceDN w:val="0"/>
        <w:adjustRightInd w:val="0"/>
        <w:spacing w:line="240" w:lineRule="auto"/>
        <w:rPr>
          <w:rFonts w:eastAsia="Calibri"/>
          <w:szCs w:val="22"/>
        </w:rPr>
      </w:pPr>
      <w:r w:rsidRPr="00CE427E">
        <w:rPr>
          <w:rFonts w:eastAsia="Calibri"/>
          <w:szCs w:val="22"/>
        </w:rPr>
        <w:t xml:space="preserve">In the ToGA (BO18255) </w:t>
      </w:r>
      <w:r w:rsidR="004A5EE5">
        <w:rPr>
          <w:rFonts w:eastAsia="Calibri"/>
          <w:szCs w:val="22"/>
        </w:rPr>
        <w:t>study</w:t>
      </w:r>
      <w:r w:rsidRPr="00CE427E">
        <w:rPr>
          <w:rFonts w:eastAsia="Calibri"/>
          <w:szCs w:val="22"/>
        </w:rPr>
        <w:t>, patients whose tumours were eit</w:t>
      </w:r>
      <w:r w:rsidR="000A39BC" w:rsidRPr="00CE427E">
        <w:rPr>
          <w:rFonts w:eastAsia="Calibri"/>
          <w:szCs w:val="22"/>
        </w:rPr>
        <w:t xml:space="preserve">her IHC3+ or FISH positive were </w:t>
      </w:r>
      <w:r w:rsidRPr="00CE427E">
        <w:rPr>
          <w:rFonts w:eastAsia="Calibri"/>
          <w:szCs w:val="22"/>
        </w:rPr>
        <w:t xml:space="preserve">defined as HER2 positive and thus included in the </w:t>
      </w:r>
      <w:r w:rsidR="004A5EE5">
        <w:rPr>
          <w:rFonts w:eastAsia="Calibri"/>
          <w:szCs w:val="22"/>
        </w:rPr>
        <w:t>study</w:t>
      </w:r>
      <w:r w:rsidRPr="00CE427E">
        <w:rPr>
          <w:rFonts w:eastAsia="Calibri"/>
          <w:szCs w:val="22"/>
        </w:rPr>
        <w:t xml:space="preserve">. Based on </w:t>
      </w:r>
      <w:r w:rsidR="000A39BC" w:rsidRPr="00CE427E">
        <w:rPr>
          <w:rFonts w:eastAsia="Calibri"/>
          <w:szCs w:val="22"/>
        </w:rPr>
        <w:t xml:space="preserve">the clinical </w:t>
      </w:r>
      <w:r w:rsidR="004A5EE5">
        <w:rPr>
          <w:rFonts w:eastAsia="Calibri"/>
          <w:szCs w:val="22"/>
        </w:rPr>
        <w:t>study</w:t>
      </w:r>
      <w:r w:rsidR="004A5EE5" w:rsidRPr="00CE427E">
        <w:rPr>
          <w:rFonts w:eastAsia="Calibri"/>
          <w:szCs w:val="22"/>
        </w:rPr>
        <w:t xml:space="preserve"> </w:t>
      </w:r>
      <w:r w:rsidR="000A39BC" w:rsidRPr="00CE427E">
        <w:rPr>
          <w:rFonts w:eastAsia="Calibri"/>
          <w:szCs w:val="22"/>
        </w:rPr>
        <w:t xml:space="preserve">results, the </w:t>
      </w:r>
      <w:r w:rsidRPr="00CE427E">
        <w:rPr>
          <w:rFonts w:eastAsia="Calibri"/>
          <w:szCs w:val="22"/>
        </w:rPr>
        <w:t xml:space="preserve">beneficial effects were limited to patients with the highest level </w:t>
      </w:r>
      <w:r w:rsidR="000A39BC" w:rsidRPr="00CE427E">
        <w:rPr>
          <w:rFonts w:eastAsia="Calibri"/>
          <w:szCs w:val="22"/>
        </w:rPr>
        <w:t xml:space="preserve">of HER2 protein overexpression, </w:t>
      </w:r>
      <w:r w:rsidRPr="00CE427E">
        <w:rPr>
          <w:rFonts w:eastAsia="Calibri"/>
          <w:szCs w:val="22"/>
        </w:rPr>
        <w:t>defined by a 3+ score by IHC, or a 2+ score by IHC and a positive FISH result.</w:t>
      </w:r>
    </w:p>
    <w:p w14:paraId="412146CA" w14:textId="77777777" w:rsidR="000A39BC" w:rsidRPr="00CE427E" w:rsidRDefault="000A39BC" w:rsidP="006128F6">
      <w:pPr>
        <w:tabs>
          <w:tab w:val="clear" w:pos="567"/>
        </w:tabs>
        <w:autoSpaceDE w:val="0"/>
        <w:autoSpaceDN w:val="0"/>
        <w:adjustRightInd w:val="0"/>
        <w:spacing w:line="240" w:lineRule="auto"/>
        <w:rPr>
          <w:rFonts w:eastAsia="Calibri"/>
          <w:szCs w:val="22"/>
        </w:rPr>
      </w:pPr>
    </w:p>
    <w:p w14:paraId="34A59996" w14:textId="3FC03DE4" w:rsidR="00214AB8" w:rsidRPr="00CE427E" w:rsidRDefault="00FB26D6" w:rsidP="006128F6">
      <w:pPr>
        <w:tabs>
          <w:tab w:val="clear" w:pos="567"/>
        </w:tabs>
        <w:autoSpaceDE w:val="0"/>
        <w:autoSpaceDN w:val="0"/>
        <w:adjustRightInd w:val="0"/>
        <w:spacing w:line="240" w:lineRule="auto"/>
        <w:rPr>
          <w:rFonts w:eastAsia="Calibri"/>
          <w:szCs w:val="22"/>
        </w:rPr>
      </w:pPr>
      <w:r w:rsidRPr="00CE427E">
        <w:rPr>
          <w:rFonts w:eastAsia="Calibri"/>
          <w:szCs w:val="22"/>
        </w:rPr>
        <w:t>In a method comparison study (study D008548) a high degree of c</w:t>
      </w:r>
      <w:r w:rsidR="000A39BC" w:rsidRPr="00CE427E">
        <w:rPr>
          <w:rFonts w:eastAsia="Calibri"/>
          <w:szCs w:val="22"/>
        </w:rPr>
        <w:t>oncordance (&gt;</w:t>
      </w:r>
      <w:r w:rsidR="00214AB8" w:rsidRPr="00CE427E">
        <w:rPr>
          <w:rFonts w:eastAsia="Calibri"/>
          <w:szCs w:val="22"/>
        </w:rPr>
        <w:t> </w:t>
      </w:r>
      <w:r w:rsidR="004442B5" w:rsidRPr="00CE427E">
        <w:rPr>
          <w:rFonts w:eastAsia="Calibri"/>
          <w:szCs w:val="22"/>
        </w:rPr>
        <w:t>95</w:t>
      </w:r>
      <w:r w:rsidR="000840CF" w:rsidRPr="00CE427E">
        <w:rPr>
          <w:rFonts w:eastAsia="Calibri"/>
          <w:szCs w:val="22"/>
        </w:rPr>
        <w:t>%</w:t>
      </w:r>
      <w:r w:rsidR="000A39BC" w:rsidRPr="00CE427E">
        <w:rPr>
          <w:rFonts w:eastAsia="Calibri"/>
          <w:szCs w:val="22"/>
        </w:rPr>
        <w:t xml:space="preserve">) was observed </w:t>
      </w:r>
      <w:r w:rsidRPr="00CE427E">
        <w:rPr>
          <w:rFonts w:eastAsia="Calibri"/>
          <w:szCs w:val="22"/>
        </w:rPr>
        <w:t>for SISH and FISH techniques for the detection of HER2 gene amplificat</w:t>
      </w:r>
      <w:r w:rsidR="000A39BC" w:rsidRPr="00CE427E">
        <w:rPr>
          <w:rFonts w:eastAsia="Calibri"/>
          <w:szCs w:val="22"/>
        </w:rPr>
        <w:t xml:space="preserve">ion in gastric cancer patients. </w:t>
      </w:r>
    </w:p>
    <w:p w14:paraId="5001E00A" w14:textId="77777777" w:rsidR="00214AB8" w:rsidRPr="00CE427E" w:rsidRDefault="00214AB8" w:rsidP="006128F6">
      <w:pPr>
        <w:tabs>
          <w:tab w:val="clear" w:pos="567"/>
        </w:tabs>
        <w:autoSpaceDE w:val="0"/>
        <w:autoSpaceDN w:val="0"/>
        <w:adjustRightInd w:val="0"/>
        <w:spacing w:line="240" w:lineRule="auto"/>
        <w:rPr>
          <w:rFonts w:eastAsia="Calibri"/>
          <w:szCs w:val="22"/>
        </w:rPr>
      </w:pPr>
    </w:p>
    <w:p w14:paraId="72FCC396" w14:textId="77777777" w:rsidR="00FB26D6" w:rsidRPr="00CE427E" w:rsidRDefault="00FB26D6" w:rsidP="006128F6">
      <w:pPr>
        <w:tabs>
          <w:tab w:val="clear" w:pos="567"/>
        </w:tabs>
        <w:autoSpaceDE w:val="0"/>
        <w:autoSpaceDN w:val="0"/>
        <w:adjustRightInd w:val="0"/>
        <w:spacing w:line="240" w:lineRule="auto"/>
        <w:rPr>
          <w:rFonts w:eastAsia="Calibri"/>
          <w:szCs w:val="22"/>
        </w:rPr>
      </w:pPr>
      <w:r w:rsidRPr="00CE427E">
        <w:rPr>
          <w:rFonts w:eastAsia="Calibri"/>
          <w:szCs w:val="22"/>
        </w:rPr>
        <w:t>HER2 over expression should be detected using an immunohistochem</w:t>
      </w:r>
      <w:r w:rsidR="000A39BC" w:rsidRPr="00CE427E">
        <w:rPr>
          <w:rFonts w:eastAsia="Calibri"/>
          <w:szCs w:val="22"/>
        </w:rPr>
        <w:t>istry (IHC)</w:t>
      </w:r>
      <w:r w:rsidR="00214AB8" w:rsidRPr="00CE427E">
        <w:rPr>
          <w:rFonts w:eastAsia="Calibri"/>
          <w:szCs w:val="22"/>
        </w:rPr>
        <w:noBreakHyphen/>
      </w:r>
      <w:r w:rsidR="000A39BC" w:rsidRPr="00CE427E">
        <w:rPr>
          <w:rFonts w:eastAsia="Calibri"/>
          <w:szCs w:val="22"/>
        </w:rPr>
        <w:t xml:space="preserve">based assessment of </w:t>
      </w:r>
      <w:r w:rsidRPr="00CE427E">
        <w:rPr>
          <w:rFonts w:eastAsia="Calibri"/>
          <w:szCs w:val="22"/>
        </w:rPr>
        <w:t xml:space="preserve">fixed tumour blocks; HER2 gene amplification should be detected using </w:t>
      </w:r>
      <w:r w:rsidRPr="00CE427E">
        <w:rPr>
          <w:rFonts w:eastAsia="Calibri"/>
          <w:i/>
          <w:iCs/>
          <w:szCs w:val="22"/>
        </w:rPr>
        <w:t>in situ</w:t>
      </w:r>
      <w:r w:rsidRPr="00CE427E">
        <w:rPr>
          <w:rFonts w:eastAsia="Calibri"/>
          <w:iCs/>
          <w:szCs w:val="22"/>
        </w:rPr>
        <w:t xml:space="preserve"> </w:t>
      </w:r>
      <w:r w:rsidRPr="00CE427E">
        <w:rPr>
          <w:rFonts w:eastAsia="Calibri"/>
          <w:szCs w:val="22"/>
        </w:rPr>
        <w:t>hybridis</w:t>
      </w:r>
      <w:r w:rsidR="000A39BC" w:rsidRPr="00CE427E">
        <w:rPr>
          <w:rFonts w:eastAsia="Calibri"/>
          <w:szCs w:val="22"/>
        </w:rPr>
        <w:t xml:space="preserve">ation using </w:t>
      </w:r>
      <w:r w:rsidRPr="00CE427E">
        <w:rPr>
          <w:rFonts w:eastAsia="Calibri"/>
          <w:szCs w:val="22"/>
        </w:rPr>
        <w:t>either SISH or FISH on fixed tumour blocks.</w:t>
      </w:r>
    </w:p>
    <w:p w14:paraId="65E8372B" w14:textId="77777777" w:rsidR="000A39BC" w:rsidRPr="00CE427E" w:rsidRDefault="000A39BC" w:rsidP="006128F6">
      <w:pPr>
        <w:tabs>
          <w:tab w:val="clear" w:pos="567"/>
        </w:tabs>
        <w:autoSpaceDE w:val="0"/>
        <w:autoSpaceDN w:val="0"/>
        <w:adjustRightInd w:val="0"/>
        <w:spacing w:line="240" w:lineRule="auto"/>
        <w:rPr>
          <w:rFonts w:eastAsia="Calibri"/>
          <w:szCs w:val="22"/>
        </w:rPr>
      </w:pPr>
    </w:p>
    <w:p w14:paraId="18995932" w14:textId="1004FC91" w:rsidR="00FB26D6" w:rsidRPr="00CE427E" w:rsidRDefault="00FB26D6" w:rsidP="006E01AA">
      <w:pPr>
        <w:keepNext/>
        <w:tabs>
          <w:tab w:val="clear" w:pos="567"/>
        </w:tabs>
        <w:autoSpaceDE w:val="0"/>
        <w:autoSpaceDN w:val="0"/>
        <w:adjustRightInd w:val="0"/>
        <w:spacing w:line="240" w:lineRule="auto"/>
        <w:rPr>
          <w:rFonts w:eastAsia="Calibri"/>
          <w:szCs w:val="22"/>
        </w:rPr>
      </w:pPr>
      <w:r w:rsidRPr="00CE427E">
        <w:rPr>
          <w:rFonts w:eastAsia="Calibri"/>
          <w:szCs w:val="22"/>
        </w:rPr>
        <w:lastRenderedPageBreak/>
        <w:t xml:space="preserve">The recommended scoring system to evaluate the IHC staining patterns is as stated in </w:t>
      </w:r>
      <w:r w:rsidR="007519ED" w:rsidRPr="00CE427E">
        <w:rPr>
          <w:rFonts w:eastAsia="Calibri"/>
          <w:szCs w:val="22"/>
        </w:rPr>
        <w:t>t</w:t>
      </w:r>
      <w:r w:rsidRPr="00CE427E">
        <w:rPr>
          <w:rFonts w:eastAsia="Calibri"/>
          <w:szCs w:val="22"/>
        </w:rPr>
        <w:t>able 3:</w:t>
      </w:r>
    </w:p>
    <w:p w14:paraId="4DFF8E35" w14:textId="77777777" w:rsidR="000A39BC" w:rsidRPr="00CE427E" w:rsidRDefault="000A39BC" w:rsidP="006E01AA">
      <w:pPr>
        <w:keepNext/>
        <w:spacing w:line="240" w:lineRule="auto"/>
        <w:outlineLvl w:val="0"/>
        <w:rPr>
          <w:rFonts w:eastAsia="Calibri"/>
          <w:szCs w:val="22"/>
        </w:rPr>
      </w:pPr>
    </w:p>
    <w:p w14:paraId="5FFF6630" w14:textId="77777777" w:rsidR="00FB26D6" w:rsidRPr="00CE427E" w:rsidRDefault="00FB26D6" w:rsidP="006128F6">
      <w:pPr>
        <w:keepNext/>
        <w:spacing w:line="240" w:lineRule="auto"/>
        <w:outlineLvl w:val="0"/>
        <w:rPr>
          <w:rFonts w:eastAsia="Calibri"/>
          <w:b/>
          <w:szCs w:val="22"/>
        </w:rPr>
      </w:pPr>
      <w:r w:rsidRPr="00CE427E">
        <w:rPr>
          <w:rFonts w:eastAsia="Calibri"/>
          <w:b/>
          <w:szCs w:val="22"/>
        </w:rPr>
        <w:t xml:space="preserve">Table 3 Recommended </w:t>
      </w:r>
      <w:r w:rsidR="00E44223" w:rsidRPr="00CE427E">
        <w:rPr>
          <w:rFonts w:eastAsia="Calibri"/>
          <w:b/>
          <w:szCs w:val="22"/>
        </w:rPr>
        <w:t>s</w:t>
      </w:r>
      <w:r w:rsidRPr="00CE427E">
        <w:rPr>
          <w:rFonts w:eastAsia="Calibri"/>
          <w:b/>
          <w:szCs w:val="22"/>
        </w:rPr>
        <w:t xml:space="preserve">coring </w:t>
      </w:r>
      <w:r w:rsidR="00E44223" w:rsidRPr="00CE427E">
        <w:rPr>
          <w:rFonts w:eastAsia="Calibri"/>
          <w:b/>
          <w:szCs w:val="22"/>
        </w:rPr>
        <w:t>s</w:t>
      </w:r>
      <w:r w:rsidRPr="00CE427E">
        <w:rPr>
          <w:rFonts w:eastAsia="Calibri"/>
          <w:b/>
          <w:szCs w:val="22"/>
        </w:rPr>
        <w:t xml:space="preserve">ystem to </w:t>
      </w:r>
      <w:r w:rsidR="00E44223" w:rsidRPr="00CE427E">
        <w:rPr>
          <w:rFonts w:eastAsia="Calibri"/>
          <w:b/>
          <w:szCs w:val="22"/>
        </w:rPr>
        <w:t>e</w:t>
      </w:r>
      <w:r w:rsidRPr="00CE427E">
        <w:rPr>
          <w:rFonts w:eastAsia="Calibri"/>
          <w:b/>
          <w:szCs w:val="22"/>
        </w:rPr>
        <w:t xml:space="preserve">valuate the IHC </w:t>
      </w:r>
      <w:r w:rsidR="00E44223" w:rsidRPr="00CE427E">
        <w:rPr>
          <w:rFonts w:eastAsia="Calibri"/>
          <w:b/>
          <w:szCs w:val="22"/>
        </w:rPr>
        <w:t>s</w:t>
      </w:r>
      <w:r w:rsidRPr="00CE427E">
        <w:rPr>
          <w:rFonts w:eastAsia="Calibri"/>
          <w:b/>
          <w:szCs w:val="22"/>
        </w:rPr>
        <w:t xml:space="preserve">taining </w:t>
      </w:r>
      <w:r w:rsidR="00E44223" w:rsidRPr="00CE427E">
        <w:rPr>
          <w:rFonts w:eastAsia="Calibri"/>
          <w:b/>
          <w:szCs w:val="22"/>
        </w:rPr>
        <w:t>p</w:t>
      </w:r>
      <w:r w:rsidRPr="00CE427E">
        <w:rPr>
          <w:rFonts w:eastAsia="Calibri"/>
          <w:b/>
          <w:szCs w:val="22"/>
        </w:rPr>
        <w:t xml:space="preserve">atterns in </w:t>
      </w:r>
      <w:r w:rsidR="00E44223" w:rsidRPr="00CE427E">
        <w:rPr>
          <w:rFonts w:eastAsia="Calibri"/>
          <w:b/>
          <w:szCs w:val="22"/>
        </w:rPr>
        <w:t>g</w:t>
      </w:r>
      <w:r w:rsidRPr="00CE427E">
        <w:rPr>
          <w:rFonts w:eastAsia="Calibri"/>
          <w:b/>
          <w:szCs w:val="22"/>
        </w:rPr>
        <w:t xml:space="preserve">astric </w:t>
      </w:r>
      <w:r w:rsidR="00E44223" w:rsidRPr="00CE427E">
        <w:rPr>
          <w:rFonts w:eastAsia="Calibri"/>
          <w:b/>
          <w:szCs w:val="22"/>
        </w:rPr>
        <w:t>c</w:t>
      </w:r>
      <w:r w:rsidRPr="00CE427E">
        <w:rPr>
          <w:rFonts w:eastAsia="Calibri"/>
          <w:b/>
          <w:szCs w:val="22"/>
        </w:rPr>
        <w:t>ancer</w:t>
      </w:r>
    </w:p>
    <w:p w14:paraId="64001E98" w14:textId="77777777" w:rsidR="00E44223" w:rsidRPr="006128F6" w:rsidRDefault="00E44223" w:rsidP="006128F6">
      <w:pPr>
        <w:keepNext/>
        <w:spacing w:line="240" w:lineRule="auto"/>
        <w:outlineLvl w:val="0"/>
        <w:rPr>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544"/>
        <w:gridCol w:w="1666"/>
      </w:tblGrid>
      <w:tr w:rsidR="00E44223" w:rsidRPr="006128F6" w14:paraId="4DA20E3E" w14:textId="77777777" w:rsidTr="007519ED">
        <w:trPr>
          <w:trHeight w:val="300"/>
        </w:trPr>
        <w:tc>
          <w:tcPr>
            <w:tcW w:w="440" w:type="pct"/>
            <w:shd w:val="clear" w:color="auto" w:fill="auto"/>
            <w:noWrap/>
            <w:hideMark/>
          </w:tcPr>
          <w:p w14:paraId="73A2A148" w14:textId="77777777" w:rsidR="00E44223" w:rsidRPr="006128F6" w:rsidRDefault="00E44223" w:rsidP="006128F6">
            <w:pPr>
              <w:keepNext/>
              <w:tabs>
                <w:tab w:val="clear" w:pos="567"/>
              </w:tabs>
              <w:spacing w:line="240" w:lineRule="auto"/>
              <w:rPr>
                <w:b/>
                <w:color w:val="000000"/>
                <w:szCs w:val="22"/>
                <w:lang w:eastAsia="en-GB"/>
              </w:rPr>
            </w:pPr>
            <w:r w:rsidRPr="006128F6">
              <w:rPr>
                <w:b/>
                <w:color w:val="000000"/>
                <w:szCs w:val="22"/>
                <w:lang w:eastAsia="en-GB"/>
              </w:rPr>
              <w:t xml:space="preserve">Score </w:t>
            </w:r>
          </w:p>
        </w:tc>
        <w:tc>
          <w:tcPr>
            <w:tcW w:w="1755" w:type="pct"/>
            <w:shd w:val="clear" w:color="auto" w:fill="auto"/>
            <w:noWrap/>
            <w:hideMark/>
          </w:tcPr>
          <w:p w14:paraId="41122EDB" w14:textId="77777777" w:rsidR="00E44223" w:rsidRPr="006128F6" w:rsidRDefault="002B7BA5" w:rsidP="006128F6">
            <w:pPr>
              <w:keepNext/>
              <w:tabs>
                <w:tab w:val="clear" w:pos="567"/>
              </w:tabs>
              <w:spacing w:line="240" w:lineRule="auto"/>
              <w:rPr>
                <w:b/>
                <w:color w:val="000000"/>
                <w:szCs w:val="22"/>
                <w:lang w:eastAsia="en-GB"/>
              </w:rPr>
            </w:pPr>
            <w:r w:rsidRPr="006128F6">
              <w:rPr>
                <w:b/>
                <w:color w:val="000000"/>
                <w:szCs w:val="22"/>
                <w:lang w:eastAsia="en-GB"/>
              </w:rPr>
              <w:t>Surgical specimen - </w:t>
            </w:r>
            <w:r w:rsidR="00E44223" w:rsidRPr="006128F6">
              <w:rPr>
                <w:b/>
                <w:color w:val="000000"/>
                <w:szCs w:val="22"/>
                <w:lang w:eastAsia="en-GB"/>
              </w:rPr>
              <w:t xml:space="preserve">staining pattern </w:t>
            </w:r>
          </w:p>
        </w:tc>
        <w:tc>
          <w:tcPr>
            <w:tcW w:w="1908" w:type="pct"/>
            <w:shd w:val="clear" w:color="auto" w:fill="auto"/>
            <w:noWrap/>
            <w:hideMark/>
          </w:tcPr>
          <w:p w14:paraId="719C7061" w14:textId="77777777" w:rsidR="00E44223" w:rsidRPr="006128F6" w:rsidRDefault="002B7BA5" w:rsidP="006128F6">
            <w:pPr>
              <w:keepNext/>
              <w:tabs>
                <w:tab w:val="clear" w:pos="567"/>
              </w:tabs>
              <w:spacing w:line="240" w:lineRule="auto"/>
              <w:rPr>
                <w:b/>
                <w:color w:val="000000"/>
                <w:szCs w:val="22"/>
                <w:lang w:eastAsia="en-GB"/>
              </w:rPr>
            </w:pPr>
            <w:r w:rsidRPr="006128F6">
              <w:rPr>
                <w:b/>
                <w:color w:val="000000"/>
                <w:szCs w:val="22"/>
                <w:lang w:eastAsia="en-GB"/>
              </w:rPr>
              <w:t>Biopsy specimen - </w:t>
            </w:r>
            <w:r w:rsidR="00E44223" w:rsidRPr="006128F6">
              <w:rPr>
                <w:b/>
                <w:color w:val="000000"/>
                <w:szCs w:val="22"/>
                <w:lang w:eastAsia="en-GB"/>
              </w:rPr>
              <w:t xml:space="preserve">staining pattern </w:t>
            </w:r>
          </w:p>
        </w:tc>
        <w:tc>
          <w:tcPr>
            <w:tcW w:w="897" w:type="pct"/>
            <w:shd w:val="clear" w:color="auto" w:fill="auto"/>
            <w:noWrap/>
            <w:hideMark/>
          </w:tcPr>
          <w:p w14:paraId="19903DDD" w14:textId="77777777" w:rsidR="00E44223" w:rsidRPr="006128F6" w:rsidRDefault="00E44223" w:rsidP="006128F6">
            <w:pPr>
              <w:keepNext/>
              <w:tabs>
                <w:tab w:val="clear" w:pos="567"/>
              </w:tabs>
              <w:spacing w:line="240" w:lineRule="auto"/>
              <w:rPr>
                <w:b/>
                <w:color w:val="000000"/>
                <w:szCs w:val="22"/>
                <w:lang w:eastAsia="en-GB"/>
              </w:rPr>
            </w:pPr>
            <w:r w:rsidRPr="006128F6">
              <w:rPr>
                <w:b/>
                <w:color w:val="000000"/>
                <w:szCs w:val="22"/>
                <w:lang w:eastAsia="en-GB"/>
              </w:rPr>
              <w:t xml:space="preserve">HER2 overexpression assessment </w:t>
            </w:r>
          </w:p>
        </w:tc>
      </w:tr>
      <w:tr w:rsidR="00E44223" w:rsidRPr="006128F6" w14:paraId="2BDE4335" w14:textId="77777777" w:rsidTr="007519ED">
        <w:trPr>
          <w:trHeight w:val="300"/>
        </w:trPr>
        <w:tc>
          <w:tcPr>
            <w:tcW w:w="440" w:type="pct"/>
            <w:shd w:val="clear" w:color="auto" w:fill="auto"/>
            <w:noWrap/>
            <w:vAlign w:val="center"/>
            <w:hideMark/>
          </w:tcPr>
          <w:p w14:paraId="5D093AE3" w14:textId="77777777" w:rsidR="00E44223" w:rsidRPr="006128F6" w:rsidRDefault="00E44223" w:rsidP="006128F6">
            <w:pPr>
              <w:keepNext/>
              <w:tabs>
                <w:tab w:val="clear" w:pos="567"/>
              </w:tabs>
              <w:spacing w:line="240" w:lineRule="auto"/>
              <w:rPr>
                <w:color w:val="000000"/>
                <w:szCs w:val="22"/>
                <w:lang w:eastAsia="en-GB"/>
              </w:rPr>
            </w:pPr>
            <w:r w:rsidRPr="006128F6">
              <w:rPr>
                <w:color w:val="000000"/>
                <w:szCs w:val="22"/>
                <w:lang w:eastAsia="en-GB"/>
              </w:rPr>
              <w:t>0</w:t>
            </w:r>
          </w:p>
        </w:tc>
        <w:tc>
          <w:tcPr>
            <w:tcW w:w="1755" w:type="pct"/>
            <w:shd w:val="clear" w:color="auto" w:fill="auto"/>
            <w:noWrap/>
            <w:hideMark/>
          </w:tcPr>
          <w:p w14:paraId="4624F28D" w14:textId="5FF8D8BE" w:rsidR="00E44223" w:rsidRPr="006128F6" w:rsidRDefault="00E44223" w:rsidP="006128F6">
            <w:pPr>
              <w:keepNext/>
              <w:tabs>
                <w:tab w:val="clear" w:pos="567"/>
              </w:tabs>
              <w:spacing w:line="240" w:lineRule="auto"/>
              <w:rPr>
                <w:color w:val="000000"/>
                <w:szCs w:val="22"/>
                <w:lang w:eastAsia="en-GB"/>
              </w:rPr>
            </w:pPr>
            <w:r w:rsidRPr="006128F6">
              <w:rPr>
                <w:color w:val="000000"/>
                <w:szCs w:val="22"/>
                <w:lang w:eastAsia="en-GB"/>
              </w:rPr>
              <w:t>No reactivity or membranous reactivity in &lt; </w:t>
            </w:r>
            <w:r w:rsidR="004442B5" w:rsidRPr="006128F6">
              <w:rPr>
                <w:color w:val="000000"/>
                <w:szCs w:val="22"/>
                <w:lang w:eastAsia="en-GB"/>
              </w:rPr>
              <w:t>10</w:t>
            </w:r>
            <w:r w:rsidR="000840CF" w:rsidRPr="006128F6">
              <w:rPr>
                <w:color w:val="000000"/>
                <w:szCs w:val="22"/>
                <w:lang w:eastAsia="en-GB"/>
              </w:rPr>
              <w:t>%</w:t>
            </w:r>
            <w:r w:rsidRPr="006128F6">
              <w:rPr>
                <w:color w:val="000000"/>
                <w:szCs w:val="22"/>
                <w:lang w:eastAsia="en-GB"/>
              </w:rPr>
              <w:t xml:space="preserve"> of tumour cells </w:t>
            </w:r>
          </w:p>
        </w:tc>
        <w:tc>
          <w:tcPr>
            <w:tcW w:w="1908" w:type="pct"/>
            <w:shd w:val="clear" w:color="auto" w:fill="auto"/>
            <w:noWrap/>
            <w:hideMark/>
          </w:tcPr>
          <w:p w14:paraId="1279EE22" w14:textId="77777777" w:rsidR="00E44223" w:rsidRPr="006128F6" w:rsidRDefault="00E44223" w:rsidP="006128F6">
            <w:pPr>
              <w:keepNext/>
              <w:tabs>
                <w:tab w:val="clear" w:pos="567"/>
              </w:tabs>
              <w:spacing w:line="240" w:lineRule="auto"/>
              <w:rPr>
                <w:color w:val="000000"/>
                <w:szCs w:val="22"/>
                <w:lang w:eastAsia="en-GB"/>
              </w:rPr>
            </w:pPr>
            <w:r w:rsidRPr="006128F6">
              <w:rPr>
                <w:color w:val="000000"/>
                <w:szCs w:val="22"/>
                <w:lang w:eastAsia="en-GB"/>
              </w:rPr>
              <w:t xml:space="preserve">No reactivity or membranous reactivity in any tumour cell </w:t>
            </w:r>
          </w:p>
        </w:tc>
        <w:tc>
          <w:tcPr>
            <w:tcW w:w="897" w:type="pct"/>
            <w:shd w:val="clear" w:color="auto" w:fill="auto"/>
            <w:noWrap/>
            <w:vAlign w:val="center"/>
            <w:hideMark/>
          </w:tcPr>
          <w:p w14:paraId="6AB138D5" w14:textId="77777777" w:rsidR="00E44223" w:rsidRPr="006128F6" w:rsidRDefault="00E44223" w:rsidP="006128F6">
            <w:pPr>
              <w:keepNext/>
              <w:tabs>
                <w:tab w:val="clear" w:pos="567"/>
              </w:tabs>
              <w:spacing w:line="240" w:lineRule="auto"/>
              <w:rPr>
                <w:color w:val="000000"/>
                <w:szCs w:val="22"/>
                <w:lang w:eastAsia="en-GB"/>
              </w:rPr>
            </w:pPr>
            <w:r w:rsidRPr="006128F6">
              <w:rPr>
                <w:color w:val="000000"/>
                <w:szCs w:val="22"/>
                <w:lang w:eastAsia="en-GB"/>
              </w:rPr>
              <w:t xml:space="preserve">Negative </w:t>
            </w:r>
          </w:p>
        </w:tc>
      </w:tr>
      <w:tr w:rsidR="00E44223" w:rsidRPr="006128F6" w14:paraId="0E08A391" w14:textId="77777777" w:rsidTr="007519ED">
        <w:trPr>
          <w:trHeight w:val="300"/>
        </w:trPr>
        <w:tc>
          <w:tcPr>
            <w:tcW w:w="440" w:type="pct"/>
            <w:shd w:val="clear" w:color="auto" w:fill="auto"/>
            <w:noWrap/>
            <w:vAlign w:val="center"/>
            <w:hideMark/>
          </w:tcPr>
          <w:p w14:paraId="08C51D73" w14:textId="77777777" w:rsidR="00E44223" w:rsidRPr="006128F6" w:rsidRDefault="00E44223" w:rsidP="006128F6">
            <w:pPr>
              <w:keepNext/>
              <w:tabs>
                <w:tab w:val="clear" w:pos="567"/>
              </w:tabs>
              <w:spacing w:line="240" w:lineRule="auto"/>
              <w:rPr>
                <w:color w:val="000000"/>
                <w:szCs w:val="22"/>
                <w:lang w:eastAsia="en-GB"/>
              </w:rPr>
            </w:pPr>
            <w:r w:rsidRPr="006128F6">
              <w:rPr>
                <w:color w:val="000000"/>
                <w:szCs w:val="22"/>
                <w:lang w:eastAsia="en-GB"/>
              </w:rPr>
              <w:t xml:space="preserve">1+ </w:t>
            </w:r>
          </w:p>
        </w:tc>
        <w:tc>
          <w:tcPr>
            <w:tcW w:w="1755" w:type="pct"/>
            <w:shd w:val="clear" w:color="auto" w:fill="auto"/>
            <w:noWrap/>
            <w:hideMark/>
          </w:tcPr>
          <w:p w14:paraId="0D078C6A" w14:textId="59412366" w:rsidR="00E44223" w:rsidRPr="006128F6" w:rsidRDefault="00E44223" w:rsidP="006128F6">
            <w:pPr>
              <w:keepNext/>
              <w:tabs>
                <w:tab w:val="clear" w:pos="567"/>
              </w:tabs>
              <w:spacing w:line="240" w:lineRule="auto"/>
              <w:rPr>
                <w:color w:val="000000"/>
                <w:szCs w:val="22"/>
                <w:lang w:eastAsia="en-GB"/>
              </w:rPr>
            </w:pPr>
            <w:r w:rsidRPr="006128F6">
              <w:rPr>
                <w:color w:val="000000"/>
                <w:szCs w:val="22"/>
                <w:lang w:eastAsia="en-GB"/>
              </w:rPr>
              <w:t>Faint</w:t>
            </w:r>
            <w:r w:rsidR="001E7CF2" w:rsidRPr="006128F6">
              <w:rPr>
                <w:color w:val="000000"/>
                <w:szCs w:val="22"/>
                <w:lang w:eastAsia="en-GB"/>
              </w:rPr>
              <w:t>/</w:t>
            </w:r>
            <w:r w:rsidRPr="006128F6">
              <w:rPr>
                <w:color w:val="000000"/>
                <w:szCs w:val="22"/>
                <w:lang w:eastAsia="en-GB"/>
              </w:rPr>
              <w:t>barely perceptible membranous reactivity in ≥ </w:t>
            </w:r>
            <w:r w:rsidR="004442B5" w:rsidRPr="006128F6">
              <w:rPr>
                <w:color w:val="000000"/>
                <w:szCs w:val="22"/>
                <w:lang w:eastAsia="en-GB"/>
              </w:rPr>
              <w:t>10</w:t>
            </w:r>
            <w:r w:rsidR="000840CF" w:rsidRPr="006128F6">
              <w:rPr>
                <w:color w:val="000000"/>
                <w:szCs w:val="22"/>
                <w:lang w:eastAsia="en-GB"/>
              </w:rPr>
              <w:t>%</w:t>
            </w:r>
            <w:r w:rsidRPr="006128F6">
              <w:rPr>
                <w:color w:val="000000"/>
                <w:szCs w:val="22"/>
                <w:lang w:eastAsia="en-GB"/>
              </w:rPr>
              <w:t xml:space="preserve"> of tumour cells; cells are reactive only in part of their membrane </w:t>
            </w:r>
          </w:p>
        </w:tc>
        <w:tc>
          <w:tcPr>
            <w:tcW w:w="1908" w:type="pct"/>
            <w:shd w:val="clear" w:color="auto" w:fill="auto"/>
            <w:noWrap/>
            <w:hideMark/>
          </w:tcPr>
          <w:p w14:paraId="75A2647E" w14:textId="77777777" w:rsidR="00E44223" w:rsidRPr="006128F6" w:rsidRDefault="00E44223" w:rsidP="006128F6">
            <w:pPr>
              <w:keepNext/>
              <w:tabs>
                <w:tab w:val="clear" w:pos="567"/>
              </w:tabs>
              <w:spacing w:line="240" w:lineRule="auto"/>
              <w:rPr>
                <w:color w:val="000000"/>
                <w:szCs w:val="22"/>
                <w:lang w:eastAsia="en-GB"/>
              </w:rPr>
            </w:pPr>
            <w:r w:rsidRPr="006128F6">
              <w:rPr>
                <w:color w:val="000000"/>
                <w:szCs w:val="22"/>
                <w:lang w:eastAsia="en-GB"/>
              </w:rPr>
              <w:t>Tum</w:t>
            </w:r>
            <w:r w:rsidR="00D30898" w:rsidRPr="006128F6">
              <w:rPr>
                <w:color w:val="000000"/>
                <w:szCs w:val="22"/>
                <w:lang w:eastAsia="en-GB"/>
              </w:rPr>
              <w:t>our cell cluster with a faint/</w:t>
            </w:r>
            <w:r w:rsidRPr="006128F6">
              <w:rPr>
                <w:color w:val="000000"/>
                <w:szCs w:val="22"/>
                <w:lang w:eastAsia="en-GB"/>
              </w:rPr>
              <w:t xml:space="preserve">barely perceptible membranous reactivity irrespective of percentage of tumour cells stained </w:t>
            </w:r>
          </w:p>
        </w:tc>
        <w:tc>
          <w:tcPr>
            <w:tcW w:w="897" w:type="pct"/>
            <w:shd w:val="clear" w:color="auto" w:fill="auto"/>
            <w:noWrap/>
            <w:vAlign w:val="center"/>
            <w:hideMark/>
          </w:tcPr>
          <w:p w14:paraId="71F6397F" w14:textId="77777777" w:rsidR="00E44223" w:rsidRPr="006128F6" w:rsidRDefault="00E44223" w:rsidP="006128F6">
            <w:pPr>
              <w:keepNext/>
              <w:tabs>
                <w:tab w:val="clear" w:pos="567"/>
              </w:tabs>
              <w:spacing w:line="240" w:lineRule="auto"/>
              <w:rPr>
                <w:color w:val="000000"/>
                <w:szCs w:val="22"/>
                <w:lang w:eastAsia="en-GB"/>
              </w:rPr>
            </w:pPr>
            <w:r w:rsidRPr="006128F6">
              <w:rPr>
                <w:color w:val="000000"/>
                <w:szCs w:val="22"/>
                <w:lang w:eastAsia="en-GB"/>
              </w:rPr>
              <w:t xml:space="preserve">Negative </w:t>
            </w:r>
          </w:p>
        </w:tc>
      </w:tr>
      <w:tr w:rsidR="00E44223" w:rsidRPr="006128F6" w14:paraId="2864E5E2" w14:textId="77777777" w:rsidTr="007519ED">
        <w:trPr>
          <w:trHeight w:val="300"/>
        </w:trPr>
        <w:tc>
          <w:tcPr>
            <w:tcW w:w="440" w:type="pct"/>
            <w:shd w:val="clear" w:color="auto" w:fill="auto"/>
            <w:noWrap/>
            <w:vAlign w:val="center"/>
            <w:hideMark/>
          </w:tcPr>
          <w:p w14:paraId="7C77B0D6" w14:textId="77777777" w:rsidR="00E44223" w:rsidRPr="006128F6" w:rsidRDefault="00E44223" w:rsidP="006128F6">
            <w:pPr>
              <w:keepNext/>
              <w:tabs>
                <w:tab w:val="clear" w:pos="567"/>
              </w:tabs>
              <w:spacing w:line="240" w:lineRule="auto"/>
              <w:rPr>
                <w:color w:val="000000"/>
                <w:szCs w:val="22"/>
                <w:lang w:eastAsia="en-GB"/>
              </w:rPr>
            </w:pPr>
            <w:r w:rsidRPr="006128F6">
              <w:rPr>
                <w:color w:val="000000"/>
                <w:szCs w:val="22"/>
                <w:lang w:eastAsia="en-GB"/>
              </w:rPr>
              <w:t xml:space="preserve">2+ </w:t>
            </w:r>
          </w:p>
        </w:tc>
        <w:tc>
          <w:tcPr>
            <w:tcW w:w="1755" w:type="pct"/>
            <w:shd w:val="clear" w:color="auto" w:fill="auto"/>
            <w:noWrap/>
            <w:hideMark/>
          </w:tcPr>
          <w:p w14:paraId="16C806AB" w14:textId="6B40A2E9" w:rsidR="00E44223" w:rsidRPr="006128F6" w:rsidRDefault="00E44223" w:rsidP="006128F6">
            <w:pPr>
              <w:keepNext/>
              <w:tabs>
                <w:tab w:val="clear" w:pos="567"/>
              </w:tabs>
              <w:spacing w:line="240" w:lineRule="auto"/>
              <w:rPr>
                <w:color w:val="000000"/>
                <w:szCs w:val="22"/>
                <w:lang w:eastAsia="en-GB"/>
              </w:rPr>
            </w:pPr>
            <w:r w:rsidRPr="006128F6">
              <w:rPr>
                <w:color w:val="000000"/>
                <w:szCs w:val="22"/>
                <w:lang w:eastAsia="en-GB"/>
              </w:rPr>
              <w:t>Weak to moderate complete, basolateral or lateral membranous reactivity in ≥ </w:t>
            </w:r>
            <w:r w:rsidR="004442B5" w:rsidRPr="006128F6">
              <w:rPr>
                <w:color w:val="000000"/>
                <w:szCs w:val="22"/>
                <w:lang w:eastAsia="en-GB"/>
              </w:rPr>
              <w:t>10</w:t>
            </w:r>
            <w:r w:rsidR="000840CF" w:rsidRPr="006128F6">
              <w:rPr>
                <w:color w:val="000000"/>
                <w:szCs w:val="22"/>
                <w:lang w:eastAsia="en-GB"/>
              </w:rPr>
              <w:t>%</w:t>
            </w:r>
            <w:r w:rsidRPr="006128F6">
              <w:rPr>
                <w:color w:val="000000"/>
                <w:szCs w:val="22"/>
                <w:lang w:eastAsia="en-GB"/>
              </w:rPr>
              <w:t xml:space="preserve"> of tumour cells </w:t>
            </w:r>
          </w:p>
        </w:tc>
        <w:tc>
          <w:tcPr>
            <w:tcW w:w="1908" w:type="pct"/>
            <w:shd w:val="clear" w:color="auto" w:fill="auto"/>
            <w:noWrap/>
            <w:hideMark/>
          </w:tcPr>
          <w:p w14:paraId="12B48A97" w14:textId="77777777" w:rsidR="00E44223" w:rsidRPr="006128F6" w:rsidRDefault="00E44223" w:rsidP="006128F6">
            <w:pPr>
              <w:keepNext/>
              <w:tabs>
                <w:tab w:val="clear" w:pos="567"/>
              </w:tabs>
              <w:spacing w:line="240" w:lineRule="auto"/>
              <w:rPr>
                <w:color w:val="000000"/>
                <w:szCs w:val="22"/>
                <w:lang w:eastAsia="en-GB"/>
              </w:rPr>
            </w:pPr>
            <w:r w:rsidRPr="006128F6">
              <w:rPr>
                <w:color w:val="000000"/>
                <w:szCs w:val="22"/>
                <w:lang w:eastAsia="en-GB"/>
              </w:rPr>
              <w:t xml:space="preserve">Tumour cell cluster with a weak to moderate complete, basolateral or lateral membranous reactivity irrespective of percentage of tumour cells stained </w:t>
            </w:r>
          </w:p>
        </w:tc>
        <w:tc>
          <w:tcPr>
            <w:tcW w:w="897" w:type="pct"/>
            <w:shd w:val="clear" w:color="auto" w:fill="auto"/>
            <w:noWrap/>
            <w:vAlign w:val="center"/>
            <w:hideMark/>
          </w:tcPr>
          <w:p w14:paraId="33358CBC" w14:textId="77777777" w:rsidR="00E44223" w:rsidRPr="006128F6" w:rsidRDefault="00E44223" w:rsidP="006128F6">
            <w:pPr>
              <w:keepNext/>
              <w:tabs>
                <w:tab w:val="clear" w:pos="567"/>
              </w:tabs>
              <w:spacing w:line="240" w:lineRule="auto"/>
              <w:rPr>
                <w:color w:val="000000"/>
                <w:szCs w:val="22"/>
                <w:lang w:eastAsia="en-GB"/>
              </w:rPr>
            </w:pPr>
            <w:r w:rsidRPr="006128F6">
              <w:rPr>
                <w:color w:val="000000"/>
                <w:szCs w:val="22"/>
                <w:lang w:eastAsia="en-GB"/>
              </w:rPr>
              <w:t xml:space="preserve">Equivocal </w:t>
            </w:r>
          </w:p>
        </w:tc>
      </w:tr>
      <w:tr w:rsidR="00E44223" w:rsidRPr="006128F6" w14:paraId="139BD479" w14:textId="77777777" w:rsidTr="007519ED">
        <w:trPr>
          <w:trHeight w:val="300"/>
        </w:trPr>
        <w:tc>
          <w:tcPr>
            <w:tcW w:w="440" w:type="pct"/>
            <w:shd w:val="clear" w:color="auto" w:fill="auto"/>
            <w:noWrap/>
            <w:vAlign w:val="center"/>
            <w:hideMark/>
          </w:tcPr>
          <w:p w14:paraId="41D3E3EC" w14:textId="77777777" w:rsidR="00E44223" w:rsidRPr="006128F6" w:rsidRDefault="00E44223" w:rsidP="006128F6">
            <w:pPr>
              <w:keepNext/>
              <w:tabs>
                <w:tab w:val="clear" w:pos="567"/>
              </w:tabs>
              <w:spacing w:line="240" w:lineRule="auto"/>
              <w:rPr>
                <w:color w:val="000000"/>
                <w:szCs w:val="22"/>
                <w:lang w:eastAsia="en-GB"/>
              </w:rPr>
            </w:pPr>
            <w:r w:rsidRPr="006128F6">
              <w:rPr>
                <w:color w:val="000000"/>
                <w:szCs w:val="22"/>
                <w:lang w:eastAsia="en-GB"/>
              </w:rPr>
              <w:t xml:space="preserve">3+ </w:t>
            </w:r>
          </w:p>
        </w:tc>
        <w:tc>
          <w:tcPr>
            <w:tcW w:w="1755" w:type="pct"/>
            <w:shd w:val="clear" w:color="auto" w:fill="auto"/>
            <w:noWrap/>
            <w:hideMark/>
          </w:tcPr>
          <w:p w14:paraId="78DB9FE2" w14:textId="614925FF" w:rsidR="00E44223" w:rsidRPr="006128F6" w:rsidRDefault="00E44223" w:rsidP="006128F6">
            <w:pPr>
              <w:keepNext/>
              <w:tabs>
                <w:tab w:val="clear" w:pos="567"/>
              </w:tabs>
              <w:spacing w:line="240" w:lineRule="auto"/>
              <w:rPr>
                <w:color w:val="000000"/>
                <w:szCs w:val="22"/>
                <w:lang w:eastAsia="en-GB"/>
              </w:rPr>
            </w:pPr>
            <w:r w:rsidRPr="006128F6">
              <w:rPr>
                <w:color w:val="000000"/>
                <w:szCs w:val="22"/>
                <w:lang w:eastAsia="en-GB"/>
              </w:rPr>
              <w:t>Strong complete, basolateral or lateral membranous reactivity in ≥ </w:t>
            </w:r>
            <w:r w:rsidR="004442B5" w:rsidRPr="006128F6">
              <w:rPr>
                <w:color w:val="000000"/>
                <w:szCs w:val="22"/>
                <w:lang w:eastAsia="en-GB"/>
              </w:rPr>
              <w:t>10</w:t>
            </w:r>
            <w:r w:rsidR="000840CF" w:rsidRPr="006128F6">
              <w:rPr>
                <w:color w:val="000000"/>
                <w:szCs w:val="22"/>
                <w:lang w:eastAsia="en-GB"/>
              </w:rPr>
              <w:t>%</w:t>
            </w:r>
            <w:r w:rsidRPr="006128F6">
              <w:rPr>
                <w:color w:val="000000"/>
                <w:szCs w:val="22"/>
                <w:lang w:eastAsia="en-GB"/>
              </w:rPr>
              <w:t xml:space="preserve"> of tumour cells </w:t>
            </w:r>
          </w:p>
        </w:tc>
        <w:tc>
          <w:tcPr>
            <w:tcW w:w="1908" w:type="pct"/>
            <w:shd w:val="clear" w:color="auto" w:fill="auto"/>
            <w:noWrap/>
            <w:hideMark/>
          </w:tcPr>
          <w:p w14:paraId="1C91A86D" w14:textId="77777777" w:rsidR="00E44223" w:rsidRPr="006128F6" w:rsidRDefault="00E44223" w:rsidP="006128F6">
            <w:pPr>
              <w:keepNext/>
              <w:tabs>
                <w:tab w:val="clear" w:pos="567"/>
              </w:tabs>
              <w:spacing w:line="240" w:lineRule="auto"/>
              <w:rPr>
                <w:color w:val="000000"/>
                <w:szCs w:val="22"/>
                <w:lang w:eastAsia="en-GB"/>
              </w:rPr>
            </w:pPr>
            <w:r w:rsidRPr="006128F6">
              <w:rPr>
                <w:color w:val="000000"/>
                <w:szCs w:val="22"/>
                <w:lang w:eastAsia="en-GB"/>
              </w:rPr>
              <w:t xml:space="preserve">Tumour cell cluster with a strong complete, basolateral or lateral membranous reactivity irrespective of percentage of tumour cells stained </w:t>
            </w:r>
          </w:p>
        </w:tc>
        <w:tc>
          <w:tcPr>
            <w:tcW w:w="897" w:type="pct"/>
            <w:shd w:val="clear" w:color="auto" w:fill="auto"/>
            <w:noWrap/>
            <w:vAlign w:val="center"/>
            <w:hideMark/>
          </w:tcPr>
          <w:p w14:paraId="1AF712E0" w14:textId="77777777" w:rsidR="00E44223" w:rsidRPr="006128F6" w:rsidRDefault="00E44223" w:rsidP="006128F6">
            <w:pPr>
              <w:keepNext/>
              <w:tabs>
                <w:tab w:val="clear" w:pos="567"/>
              </w:tabs>
              <w:spacing w:line="240" w:lineRule="auto"/>
              <w:rPr>
                <w:color w:val="000000"/>
                <w:szCs w:val="22"/>
                <w:lang w:eastAsia="en-GB"/>
              </w:rPr>
            </w:pPr>
            <w:r w:rsidRPr="006128F6">
              <w:rPr>
                <w:color w:val="000000"/>
                <w:szCs w:val="22"/>
                <w:lang w:eastAsia="en-GB"/>
              </w:rPr>
              <w:t xml:space="preserve">Positive </w:t>
            </w:r>
          </w:p>
        </w:tc>
      </w:tr>
    </w:tbl>
    <w:p w14:paraId="5C32E92B" w14:textId="77777777" w:rsidR="00E44223" w:rsidRPr="006128F6" w:rsidRDefault="00E44223" w:rsidP="006128F6">
      <w:pPr>
        <w:spacing w:line="240" w:lineRule="auto"/>
        <w:ind w:left="561" w:hanging="561"/>
        <w:outlineLvl w:val="0"/>
        <w:rPr>
          <w:b/>
          <w:szCs w:val="22"/>
        </w:rPr>
      </w:pPr>
    </w:p>
    <w:p w14:paraId="2827EDD7" w14:textId="77777777" w:rsidR="00E44223" w:rsidRPr="00CE427E" w:rsidRDefault="00E44223" w:rsidP="006128F6">
      <w:pPr>
        <w:tabs>
          <w:tab w:val="clear" w:pos="567"/>
        </w:tabs>
        <w:autoSpaceDE w:val="0"/>
        <w:autoSpaceDN w:val="0"/>
        <w:adjustRightInd w:val="0"/>
        <w:spacing w:line="240" w:lineRule="auto"/>
        <w:rPr>
          <w:rFonts w:eastAsia="Calibri"/>
          <w:szCs w:val="22"/>
        </w:rPr>
      </w:pPr>
      <w:r w:rsidRPr="00CE427E">
        <w:rPr>
          <w:rFonts w:eastAsia="Calibri"/>
          <w:szCs w:val="22"/>
        </w:rPr>
        <w:t>In general, SISH or FISH is considered positive if the ratio of the HER2 gene copy number per tumour cell to the chromosome 17 copy number is greater than or equal to 2.</w:t>
      </w:r>
    </w:p>
    <w:p w14:paraId="1EDC1511" w14:textId="77777777" w:rsidR="00E44223" w:rsidRPr="00CE427E" w:rsidRDefault="00E44223" w:rsidP="006128F6">
      <w:pPr>
        <w:tabs>
          <w:tab w:val="clear" w:pos="567"/>
        </w:tabs>
        <w:autoSpaceDE w:val="0"/>
        <w:autoSpaceDN w:val="0"/>
        <w:adjustRightInd w:val="0"/>
        <w:spacing w:line="240" w:lineRule="auto"/>
        <w:rPr>
          <w:rFonts w:eastAsia="Calibri"/>
          <w:szCs w:val="22"/>
        </w:rPr>
      </w:pPr>
    </w:p>
    <w:p w14:paraId="7C20FD59" w14:textId="77777777" w:rsidR="00E44223" w:rsidRPr="00CE427E" w:rsidRDefault="00E44223" w:rsidP="006128F6">
      <w:pPr>
        <w:tabs>
          <w:tab w:val="clear" w:pos="567"/>
        </w:tabs>
        <w:autoSpaceDE w:val="0"/>
        <w:autoSpaceDN w:val="0"/>
        <w:adjustRightInd w:val="0"/>
        <w:spacing w:line="240" w:lineRule="auto"/>
        <w:rPr>
          <w:rFonts w:eastAsia="Calibri"/>
          <w:szCs w:val="22"/>
          <w:u w:val="single"/>
        </w:rPr>
      </w:pPr>
      <w:r w:rsidRPr="00CE427E">
        <w:rPr>
          <w:rFonts w:eastAsia="Calibri"/>
          <w:szCs w:val="22"/>
          <w:u w:val="single"/>
        </w:rPr>
        <w:t>Clinical efficacy and safety</w:t>
      </w:r>
    </w:p>
    <w:p w14:paraId="18A426D0" w14:textId="77777777" w:rsidR="00E44223" w:rsidRPr="00CE427E" w:rsidRDefault="00E44223" w:rsidP="006128F6">
      <w:pPr>
        <w:tabs>
          <w:tab w:val="clear" w:pos="567"/>
        </w:tabs>
        <w:autoSpaceDE w:val="0"/>
        <w:autoSpaceDN w:val="0"/>
        <w:adjustRightInd w:val="0"/>
        <w:spacing w:line="240" w:lineRule="auto"/>
        <w:rPr>
          <w:rFonts w:eastAsia="Calibri"/>
          <w:szCs w:val="22"/>
          <w:u w:val="single"/>
        </w:rPr>
      </w:pPr>
    </w:p>
    <w:p w14:paraId="6C71A731" w14:textId="77777777" w:rsidR="00E44223" w:rsidRPr="00CE427E" w:rsidRDefault="00E44223" w:rsidP="006128F6">
      <w:pPr>
        <w:tabs>
          <w:tab w:val="clear" w:pos="567"/>
        </w:tabs>
        <w:autoSpaceDE w:val="0"/>
        <w:autoSpaceDN w:val="0"/>
        <w:adjustRightInd w:val="0"/>
        <w:spacing w:line="240" w:lineRule="auto"/>
        <w:rPr>
          <w:rFonts w:eastAsia="Calibri"/>
          <w:i/>
          <w:iCs/>
          <w:szCs w:val="22"/>
          <w:u w:val="single"/>
        </w:rPr>
      </w:pPr>
      <w:r w:rsidRPr="00CE427E">
        <w:rPr>
          <w:rFonts w:eastAsia="Calibri"/>
          <w:i/>
          <w:iCs/>
          <w:szCs w:val="22"/>
          <w:u w:val="single"/>
        </w:rPr>
        <w:t>Metastatic breast cancer</w:t>
      </w:r>
    </w:p>
    <w:p w14:paraId="5F27F464" w14:textId="77777777" w:rsidR="00E44223" w:rsidRPr="00CE427E" w:rsidRDefault="00E44223" w:rsidP="006128F6">
      <w:pPr>
        <w:tabs>
          <w:tab w:val="clear" w:pos="567"/>
        </w:tabs>
        <w:autoSpaceDE w:val="0"/>
        <w:autoSpaceDN w:val="0"/>
        <w:adjustRightInd w:val="0"/>
        <w:spacing w:line="240" w:lineRule="auto"/>
        <w:rPr>
          <w:rFonts w:eastAsia="Calibri"/>
          <w:i/>
          <w:iCs/>
          <w:szCs w:val="22"/>
        </w:rPr>
      </w:pPr>
    </w:p>
    <w:p w14:paraId="1AD78842" w14:textId="07965091" w:rsidR="00E44223" w:rsidRPr="00CE427E" w:rsidRDefault="005613F7" w:rsidP="006128F6">
      <w:pPr>
        <w:tabs>
          <w:tab w:val="clear" w:pos="567"/>
        </w:tabs>
        <w:autoSpaceDE w:val="0"/>
        <w:autoSpaceDN w:val="0"/>
        <w:adjustRightInd w:val="0"/>
        <w:spacing w:line="240" w:lineRule="auto"/>
        <w:rPr>
          <w:rFonts w:eastAsia="Calibri"/>
          <w:szCs w:val="22"/>
        </w:rPr>
      </w:pPr>
      <w:r w:rsidRPr="00CE427E">
        <w:rPr>
          <w:rFonts w:eastAsia="Calibri"/>
          <w:szCs w:val="22"/>
        </w:rPr>
        <w:t>T</w:t>
      </w:r>
      <w:r w:rsidR="00702268" w:rsidRPr="00CE427E">
        <w:rPr>
          <w:rFonts w:eastAsia="Calibri"/>
          <w:szCs w:val="22"/>
        </w:rPr>
        <w:t>rastuzumab</w:t>
      </w:r>
      <w:r w:rsidR="00E44223" w:rsidRPr="00CE427E">
        <w:rPr>
          <w:rFonts w:eastAsia="Calibri"/>
          <w:szCs w:val="22"/>
        </w:rPr>
        <w:t xml:space="preserve"> has been used in clinical </w:t>
      </w:r>
      <w:r w:rsidR="004A5EE5">
        <w:rPr>
          <w:rFonts w:eastAsia="Calibri"/>
          <w:szCs w:val="22"/>
        </w:rPr>
        <w:t>studie</w:t>
      </w:r>
      <w:r w:rsidR="00E44223" w:rsidRPr="00CE427E">
        <w:rPr>
          <w:rFonts w:eastAsia="Calibri"/>
          <w:szCs w:val="22"/>
        </w:rPr>
        <w:t>s as monotherapy for patients with MBC who have tumours that overexpress HER2 and who have failed one or more chemotherapy regimens for their metastatic disease (</w:t>
      </w:r>
      <w:r w:rsidR="00702268" w:rsidRPr="00CE427E">
        <w:rPr>
          <w:rFonts w:eastAsia="Calibri"/>
          <w:szCs w:val="22"/>
        </w:rPr>
        <w:t>trastuzumab</w:t>
      </w:r>
      <w:r w:rsidR="00E44223" w:rsidRPr="00CE427E">
        <w:rPr>
          <w:rFonts w:eastAsia="Calibri"/>
          <w:szCs w:val="22"/>
        </w:rPr>
        <w:t xml:space="preserve"> alone).</w:t>
      </w:r>
    </w:p>
    <w:p w14:paraId="5992FCFA" w14:textId="77777777" w:rsidR="00E44223" w:rsidRPr="00CE427E" w:rsidRDefault="00E44223" w:rsidP="006128F6">
      <w:pPr>
        <w:tabs>
          <w:tab w:val="clear" w:pos="567"/>
        </w:tabs>
        <w:autoSpaceDE w:val="0"/>
        <w:autoSpaceDN w:val="0"/>
        <w:adjustRightInd w:val="0"/>
        <w:spacing w:line="240" w:lineRule="auto"/>
        <w:rPr>
          <w:rFonts w:eastAsia="Calibri"/>
          <w:szCs w:val="22"/>
        </w:rPr>
      </w:pPr>
    </w:p>
    <w:p w14:paraId="76FFFB14" w14:textId="2C9D7516" w:rsidR="00E44223" w:rsidRPr="00CE427E" w:rsidRDefault="005613F7" w:rsidP="006128F6">
      <w:pPr>
        <w:tabs>
          <w:tab w:val="clear" w:pos="567"/>
        </w:tabs>
        <w:autoSpaceDE w:val="0"/>
        <w:autoSpaceDN w:val="0"/>
        <w:adjustRightInd w:val="0"/>
        <w:spacing w:line="240" w:lineRule="auto"/>
        <w:rPr>
          <w:rFonts w:eastAsia="Calibri"/>
          <w:szCs w:val="22"/>
        </w:rPr>
      </w:pPr>
      <w:r w:rsidRPr="00CE427E">
        <w:rPr>
          <w:rFonts w:eastAsia="Calibri"/>
          <w:szCs w:val="22"/>
        </w:rPr>
        <w:t>T</w:t>
      </w:r>
      <w:r w:rsidR="00702268" w:rsidRPr="00CE427E">
        <w:rPr>
          <w:rFonts w:eastAsia="Calibri"/>
          <w:szCs w:val="22"/>
        </w:rPr>
        <w:t xml:space="preserve">rastuzumab </w:t>
      </w:r>
      <w:r w:rsidR="00E44223" w:rsidRPr="00CE427E">
        <w:rPr>
          <w:rFonts w:eastAsia="Calibri"/>
          <w:szCs w:val="22"/>
        </w:rPr>
        <w:t>has also been used in combination with paclitaxel or docetaxel for the treatment of patients who have not received chemotherapy for their metastatic disease. Patients who had previously received anthracycline</w:t>
      </w:r>
      <w:r w:rsidR="00E44223" w:rsidRPr="00CE427E">
        <w:rPr>
          <w:rFonts w:eastAsia="Calibri"/>
          <w:szCs w:val="22"/>
        </w:rPr>
        <w:noBreakHyphen/>
        <w:t>based adjuvant chemotherapy were treated with paclitaxel (175 mg/m</w:t>
      </w:r>
      <w:r w:rsidR="00E44223" w:rsidRPr="00CE427E">
        <w:rPr>
          <w:rFonts w:eastAsia="Calibri"/>
          <w:szCs w:val="22"/>
          <w:vertAlign w:val="superscript"/>
        </w:rPr>
        <w:t>2</w:t>
      </w:r>
      <w:r w:rsidR="00E44223" w:rsidRPr="00CE427E">
        <w:rPr>
          <w:rFonts w:eastAsia="Calibri"/>
          <w:szCs w:val="22"/>
        </w:rPr>
        <w:t xml:space="preserve"> infused over 3 hours) with or without </w:t>
      </w:r>
      <w:r w:rsidR="00702268" w:rsidRPr="00CE427E">
        <w:rPr>
          <w:rFonts w:eastAsia="Calibri"/>
          <w:szCs w:val="22"/>
        </w:rPr>
        <w:t>trastuzumab</w:t>
      </w:r>
      <w:r w:rsidR="00E44223" w:rsidRPr="00CE427E">
        <w:rPr>
          <w:rFonts w:eastAsia="Calibri"/>
          <w:szCs w:val="22"/>
        </w:rPr>
        <w:t xml:space="preserve">. In the pivotal </w:t>
      </w:r>
      <w:r w:rsidR="004A5EE5">
        <w:rPr>
          <w:rFonts w:eastAsia="Calibri"/>
          <w:szCs w:val="22"/>
        </w:rPr>
        <w:t>study</w:t>
      </w:r>
      <w:r w:rsidR="00E44223" w:rsidRPr="00CE427E">
        <w:rPr>
          <w:rFonts w:eastAsia="Calibri"/>
          <w:szCs w:val="22"/>
        </w:rPr>
        <w:t xml:space="preserve"> of docetaxel (100 mg/m</w:t>
      </w:r>
      <w:r w:rsidR="00E44223" w:rsidRPr="00CE427E">
        <w:rPr>
          <w:rFonts w:eastAsia="Calibri"/>
          <w:szCs w:val="22"/>
          <w:vertAlign w:val="superscript"/>
        </w:rPr>
        <w:t>2</w:t>
      </w:r>
      <w:r w:rsidR="00E44223" w:rsidRPr="00CE427E">
        <w:rPr>
          <w:rFonts w:eastAsia="Calibri"/>
          <w:szCs w:val="22"/>
        </w:rPr>
        <w:t xml:space="preserve"> infused over</w:t>
      </w:r>
      <w:r w:rsidR="003761D4" w:rsidRPr="00CE427E">
        <w:rPr>
          <w:rFonts w:eastAsia="Calibri"/>
          <w:szCs w:val="22"/>
        </w:rPr>
        <w:t xml:space="preserve"> </w:t>
      </w:r>
      <w:r w:rsidR="00E44223" w:rsidRPr="00CE427E">
        <w:rPr>
          <w:rFonts w:eastAsia="Calibri"/>
          <w:szCs w:val="22"/>
        </w:rPr>
        <w:t xml:space="preserve">1 hour) with or without </w:t>
      </w:r>
      <w:r w:rsidR="00702268" w:rsidRPr="00CE427E">
        <w:rPr>
          <w:rFonts w:eastAsia="Calibri"/>
          <w:szCs w:val="22"/>
        </w:rPr>
        <w:t>trastuzumab</w:t>
      </w:r>
      <w:r w:rsidR="00E44223" w:rsidRPr="00CE427E">
        <w:rPr>
          <w:rFonts w:eastAsia="Calibri"/>
          <w:szCs w:val="22"/>
        </w:rPr>
        <w:t>, 60</w:t>
      </w:r>
      <w:r w:rsidR="000840CF" w:rsidRPr="00CE427E">
        <w:rPr>
          <w:rFonts w:eastAsia="Calibri"/>
          <w:szCs w:val="22"/>
        </w:rPr>
        <w:t>%</w:t>
      </w:r>
      <w:r w:rsidR="00E44223" w:rsidRPr="00CE427E">
        <w:rPr>
          <w:rFonts w:eastAsia="Calibri"/>
          <w:szCs w:val="22"/>
        </w:rPr>
        <w:t xml:space="preserve"> of the patients had received prior anthracycline-based adjuvant chemotherapy. Patients were treated with </w:t>
      </w:r>
      <w:r w:rsidR="004F3E6A" w:rsidRPr="00CE427E">
        <w:rPr>
          <w:rFonts w:eastAsia="Calibri"/>
          <w:szCs w:val="22"/>
        </w:rPr>
        <w:t>trastuzumab</w:t>
      </w:r>
      <w:r w:rsidR="00E44223" w:rsidRPr="00CE427E">
        <w:rPr>
          <w:rFonts w:eastAsia="Calibri"/>
          <w:szCs w:val="22"/>
        </w:rPr>
        <w:t xml:space="preserve"> until progression of disease.</w:t>
      </w:r>
    </w:p>
    <w:p w14:paraId="55501C8F" w14:textId="77777777" w:rsidR="00E44223" w:rsidRPr="00CE427E" w:rsidRDefault="00E44223" w:rsidP="006128F6">
      <w:pPr>
        <w:tabs>
          <w:tab w:val="clear" w:pos="567"/>
        </w:tabs>
        <w:autoSpaceDE w:val="0"/>
        <w:autoSpaceDN w:val="0"/>
        <w:adjustRightInd w:val="0"/>
        <w:spacing w:line="240" w:lineRule="auto"/>
        <w:rPr>
          <w:rFonts w:eastAsia="Calibri"/>
          <w:szCs w:val="22"/>
        </w:rPr>
      </w:pPr>
    </w:p>
    <w:p w14:paraId="7D64822C" w14:textId="77777777" w:rsidR="00E44223" w:rsidRPr="00CE427E" w:rsidRDefault="00E44223" w:rsidP="006128F6">
      <w:pPr>
        <w:tabs>
          <w:tab w:val="clear" w:pos="567"/>
        </w:tabs>
        <w:autoSpaceDE w:val="0"/>
        <w:autoSpaceDN w:val="0"/>
        <w:adjustRightInd w:val="0"/>
        <w:spacing w:line="240" w:lineRule="auto"/>
        <w:rPr>
          <w:rFonts w:eastAsia="Calibri"/>
          <w:szCs w:val="22"/>
        </w:rPr>
      </w:pPr>
      <w:r w:rsidRPr="00CE427E">
        <w:rPr>
          <w:rFonts w:eastAsia="Calibri"/>
          <w:szCs w:val="22"/>
        </w:rPr>
        <w:t xml:space="preserve">The efficacy of </w:t>
      </w:r>
      <w:r w:rsidR="004F3E6A" w:rsidRPr="00CE427E">
        <w:rPr>
          <w:rFonts w:eastAsia="Calibri"/>
          <w:szCs w:val="22"/>
        </w:rPr>
        <w:t>trastuzumab</w:t>
      </w:r>
      <w:r w:rsidRPr="00CE427E">
        <w:rPr>
          <w:rFonts w:eastAsia="Calibri"/>
          <w:szCs w:val="22"/>
        </w:rPr>
        <w:t xml:space="preserve"> in combination with paclitaxel in patients who did not receive prior adjuvant anthracyclines has not been studied. However, </w:t>
      </w:r>
      <w:r w:rsidR="004F3E6A" w:rsidRPr="00CE427E">
        <w:rPr>
          <w:rFonts w:eastAsia="Calibri"/>
          <w:szCs w:val="22"/>
        </w:rPr>
        <w:t>trastuzumab</w:t>
      </w:r>
      <w:r w:rsidRPr="00CE427E">
        <w:rPr>
          <w:rFonts w:eastAsia="Calibri"/>
          <w:szCs w:val="22"/>
        </w:rPr>
        <w:t xml:space="preserve"> plus docetaxel was efficacious in patients whether or not they had received prior adjuvant anthracyclines.</w:t>
      </w:r>
    </w:p>
    <w:p w14:paraId="13E2C53A" w14:textId="77777777" w:rsidR="00E44223" w:rsidRPr="00CE427E" w:rsidRDefault="00E44223" w:rsidP="006128F6">
      <w:pPr>
        <w:tabs>
          <w:tab w:val="clear" w:pos="567"/>
        </w:tabs>
        <w:autoSpaceDE w:val="0"/>
        <w:autoSpaceDN w:val="0"/>
        <w:adjustRightInd w:val="0"/>
        <w:spacing w:line="240" w:lineRule="auto"/>
        <w:rPr>
          <w:rFonts w:eastAsia="Calibri"/>
          <w:szCs w:val="22"/>
        </w:rPr>
      </w:pPr>
    </w:p>
    <w:p w14:paraId="7DB503A1" w14:textId="667057B9" w:rsidR="00E44223" w:rsidRPr="00CE427E" w:rsidRDefault="00E44223" w:rsidP="006128F6">
      <w:pPr>
        <w:tabs>
          <w:tab w:val="clear" w:pos="567"/>
        </w:tabs>
        <w:autoSpaceDE w:val="0"/>
        <w:autoSpaceDN w:val="0"/>
        <w:adjustRightInd w:val="0"/>
        <w:spacing w:line="240" w:lineRule="auto"/>
        <w:rPr>
          <w:rFonts w:eastAsia="Calibri"/>
          <w:szCs w:val="22"/>
        </w:rPr>
      </w:pPr>
      <w:r w:rsidRPr="00CE427E">
        <w:rPr>
          <w:rFonts w:eastAsia="Calibri"/>
          <w:szCs w:val="22"/>
        </w:rPr>
        <w:t xml:space="preserve">The test method for HER2 overexpression used to determine eligibility of patients in the pivotal </w:t>
      </w:r>
      <w:r w:rsidR="004F3E6A" w:rsidRPr="00CE427E">
        <w:rPr>
          <w:rFonts w:eastAsia="Calibri"/>
          <w:szCs w:val="22"/>
        </w:rPr>
        <w:t>trastuzumab</w:t>
      </w:r>
      <w:r w:rsidRPr="00CE427E">
        <w:rPr>
          <w:rFonts w:eastAsia="Calibri"/>
          <w:szCs w:val="22"/>
        </w:rPr>
        <w:t xml:space="preserve"> monotherapy and </w:t>
      </w:r>
      <w:r w:rsidR="004F3E6A" w:rsidRPr="00CE427E">
        <w:rPr>
          <w:rFonts w:eastAsia="Calibri"/>
          <w:szCs w:val="22"/>
        </w:rPr>
        <w:t>trast</w:t>
      </w:r>
      <w:r w:rsidR="00016A42" w:rsidRPr="00CE427E">
        <w:rPr>
          <w:rFonts w:eastAsia="Calibri"/>
          <w:szCs w:val="22"/>
        </w:rPr>
        <w:t>u</w:t>
      </w:r>
      <w:r w:rsidR="004F3E6A" w:rsidRPr="00CE427E">
        <w:rPr>
          <w:rFonts w:eastAsia="Calibri"/>
          <w:szCs w:val="22"/>
        </w:rPr>
        <w:t>zumab</w:t>
      </w:r>
      <w:r w:rsidRPr="00CE427E">
        <w:rPr>
          <w:rFonts w:eastAsia="Calibri"/>
          <w:szCs w:val="22"/>
        </w:rPr>
        <w:t xml:space="preserve"> plus paclitaxel clinical </w:t>
      </w:r>
      <w:r w:rsidR="004A5EE5">
        <w:rPr>
          <w:rFonts w:eastAsia="Calibri"/>
          <w:szCs w:val="22"/>
        </w:rPr>
        <w:t>studie</w:t>
      </w:r>
      <w:r w:rsidRPr="00CE427E">
        <w:rPr>
          <w:rFonts w:eastAsia="Calibri"/>
          <w:szCs w:val="22"/>
        </w:rPr>
        <w:t xml:space="preserve">s employed immunohistochemical staining for HER2 of fixed material from breast tumours using the murine monoclonal antibodies CB11 and 4D5. These tissues were fixed in formalin or Bouin’s fixative. This investigative clinical </w:t>
      </w:r>
      <w:r w:rsidR="004A5EE5">
        <w:rPr>
          <w:rFonts w:eastAsia="Calibri"/>
          <w:szCs w:val="22"/>
        </w:rPr>
        <w:t>study</w:t>
      </w:r>
      <w:r w:rsidR="004A5EE5" w:rsidRPr="00CE427E">
        <w:rPr>
          <w:rFonts w:eastAsia="Calibri"/>
          <w:szCs w:val="22"/>
        </w:rPr>
        <w:t xml:space="preserve"> </w:t>
      </w:r>
      <w:r w:rsidRPr="00CE427E">
        <w:rPr>
          <w:rFonts w:eastAsia="Calibri"/>
          <w:szCs w:val="22"/>
        </w:rPr>
        <w:t>assay performed in a central laboratory utilised a 0 to 3+ scale. Patients classified as staining 2+ or 3+ were included, while those staining 0 or 1+ were excluded. Greater than 70</w:t>
      </w:r>
      <w:r w:rsidR="000840CF" w:rsidRPr="00CE427E">
        <w:rPr>
          <w:rFonts w:eastAsia="Calibri"/>
          <w:szCs w:val="22"/>
        </w:rPr>
        <w:t>%</w:t>
      </w:r>
      <w:r w:rsidRPr="00CE427E">
        <w:rPr>
          <w:rFonts w:eastAsia="Calibri"/>
          <w:szCs w:val="22"/>
        </w:rPr>
        <w:t xml:space="preserve"> of patients enrolled exhibited 3+ overexpression. The data suggest that beneficial effects were greater among those patients with higher levels of overexpression of HER2 (3+).</w:t>
      </w:r>
    </w:p>
    <w:p w14:paraId="24593538" w14:textId="77777777" w:rsidR="00E44223" w:rsidRPr="00CE427E" w:rsidRDefault="00E44223" w:rsidP="006128F6">
      <w:pPr>
        <w:tabs>
          <w:tab w:val="clear" w:pos="567"/>
        </w:tabs>
        <w:autoSpaceDE w:val="0"/>
        <w:autoSpaceDN w:val="0"/>
        <w:adjustRightInd w:val="0"/>
        <w:spacing w:line="240" w:lineRule="auto"/>
        <w:rPr>
          <w:rFonts w:eastAsia="Calibri"/>
          <w:szCs w:val="22"/>
        </w:rPr>
      </w:pPr>
    </w:p>
    <w:p w14:paraId="0D5B7765" w14:textId="40FAC395" w:rsidR="00E44223" w:rsidRPr="00CE427E" w:rsidRDefault="00E44223" w:rsidP="00B75168">
      <w:pPr>
        <w:keepNext/>
        <w:keepLines/>
        <w:tabs>
          <w:tab w:val="clear" w:pos="567"/>
        </w:tabs>
        <w:autoSpaceDE w:val="0"/>
        <w:autoSpaceDN w:val="0"/>
        <w:adjustRightInd w:val="0"/>
        <w:spacing w:line="240" w:lineRule="auto"/>
        <w:rPr>
          <w:rFonts w:eastAsia="Calibri"/>
          <w:szCs w:val="22"/>
        </w:rPr>
      </w:pPr>
      <w:r w:rsidRPr="00CE427E">
        <w:rPr>
          <w:rFonts w:eastAsia="Calibri"/>
          <w:szCs w:val="22"/>
        </w:rPr>
        <w:lastRenderedPageBreak/>
        <w:t xml:space="preserve">The main test method used to determine HER2 positivity in the pivotal </w:t>
      </w:r>
      <w:r w:rsidR="004A5EE5">
        <w:rPr>
          <w:rFonts w:eastAsia="Calibri"/>
          <w:szCs w:val="22"/>
        </w:rPr>
        <w:t>study</w:t>
      </w:r>
      <w:r w:rsidR="004A5EE5" w:rsidRPr="00CE427E">
        <w:rPr>
          <w:rFonts w:eastAsia="Calibri"/>
          <w:szCs w:val="22"/>
        </w:rPr>
        <w:t xml:space="preserve"> </w:t>
      </w:r>
      <w:r w:rsidRPr="00CE427E">
        <w:rPr>
          <w:rFonts w:eastAsia="Calibri"/>
          <w:szCs w:val="22"/>
        </w:rPr>
        <w:t xml:space="preserve">of docetaxel, with or without </w:t>
      </w:r>
      <w:r w:rsidR="004F3E6A" w:rsidRPr="00CE427E">
        <w:rPr>
          <w:rFonts w:eastAsia="Calibri"/>
          <w:szCs w:val="22"/>
        </w:rPr>
        <w:t>trastuzumab</w:t>
      </w:r>
      <w:r w:rsidRPr="00CE427E">
        <w:rPr>
          <w:rFonts w:eastAsia="Calibri"/>
          <w:szCs w:val="22"/>
        </w:rPr>
        <w:t xml:space="preserve">, was immunohistochemistry. A minority of patients was tested using fluorescence </w:t>
      </w:r>
      <w:r w:rsidRPr="00CE427E">
        <w:rPr>
          <w:rFonts w:eastAsia="Calibri"/>
          <w:i/>
          <w:iCs/>
          <w:szCs w:val="22"/>
        </w:rPr>
        <w:t>in</w:t>
      </w:r>
      <w:r w:rsidR="005123DB">
        <w:rPr>
          <w:rFonts w:eastAsia="Calibri"/>
          <w:i/>
          <w:iCs/>
          <w:szCs w:val="22"/>
        </w:rPr>
        <w:t xml:space="preserve"> </w:t>
      </w:r>
      <w:r w:rsidRPr="00CE427E">
        <w:rPr>
          <w:rFonts w:eastAsia="Calibri"/>
          <w:i/>
          <w:iCs/>
          <w:szCs w:val="22"/>
        </w:rPr>
        <w:t xml:space="preserve">situ </w:t>
      </w:r>
      <w:r w:rsidRPr="00CE427E">
        <w:rPr>
          <w:rFonts w:eastAsia="Calibri"/>
          <w:szCs w:val="22"/>
        </w:rPr>
        <w:t xml:space="preserve">hybridisation (FISH). In this </w:t>
      </w:r>
      <w:r w:rsidR="004A5EE5">
        <w:rPr>
          <w:rFonts w:eastAsia="Calibri"/>
          <w:szCs w:val="22"/>
        </w:rPr>
        <w:t>study</w:t>
      </w:r>
      <w:r w:rsidRPr="00CE427E">
        <w:rPr>
          <w:rFonts w:eastAsia="Calibri"/>
          <w:szCs w:val="22"/>
        </w:rPr>
        <w:t>, 87</w:t>
      </w:r>
      <w:r w:rsidR="000840CF" w:rsidRPr="00CE427E">
        <w:rPr>
          <w:rFonts w:eastAsia="Calibri"/>
          <w:szCs w:val="22"/>
        </w:rPr>
        <w:t>%</w:t>
      </w:r>
      <w:r w:rsidRPr="00CE427E">
        <w:rPr>
          <w:rFonts w:eastAsia="Calibri"/>
          <w:szCs w:val="22"/>
        </w:rPr>
        <w:t xml:space="preserve"> of patients entered </w:t>
      </w:r>
      <w:r w:rsidR="00BC0F71" w:rsidRPr="00CE427E">
        <w:rPr>
          <w:rFonts w:eastAsia="Calibri"/>
          <w:szCs w:val="22"/>
        </w:rPr>
        <w:t xml:space="preserve">had disease that was IHC3+, and </w:t>
      </w:r>
      <w:r w:rsidRPr="00CE427E">
        <w:rPr>
          <w:rFonts w:eastAsia="Calibri"/>
          <w:szCs w:val="22"/>
        </w:rPr>
        <w:t>95</w:t>
      </w:r>
      <w:r w:rsidR="000840CF" w:rsidRPr="00CE427E">
        <w:rPr>
          <w:rFonts w:eastAsia="Calibri"/>
          <w:szCs w:val="22"/>
        </w:rPr>
        <w:t>%</w:t>
      </w:r>
      <w:r w:rsidRPr="00CE427E">
        <w:rPr>
          <w:rFonts w:eastAsia="Calibri"/>
          <w:szCs w:val="22"/>
        </w:rPr>
        <w:t xml:space="preserve"> of patients entered had disease that was IHC3+ and/or FISH</w:t>
      </w:r>
      <w:r w:rsidR="00BC0F71" w:rsidRPr="00CE427E">
        <w:rPr>
          <w:rFonts w:eastAsia="Calibri"/>
          <w:szCs w:val="22"/>
        </w:rPr>
        <w:noBreakHyphen/>
      </w:r>
      <w:r w:rsidRPr="00CE427E">
        <w:rPr>
          <w:rFonts w:eastAsia="Calibri"/>
          <w:szCs w:val="22"/>
        </w:rPr>
        <w:t>positive.</w:t>
      </w:r>
    </w:p>
    <w:p w14:paraId="09000D33" w14:textId="77777777" w:rsidR="00BC0F71" w:rsidRPr="00CE427E" w:rsidRDefault="00BC0F71" w:rsidP="006128F6">
      <w:pPr>
        <w:tabs>
          <w:tab w:val="clear" w:pos="567"/>
        </w:tabs>
        <w:autoSpaceDE w:val="0"/>
        <w:autoSpaceDN w:val="0"/>
        <w:adjustRightInd w:val="0"/>
        <w:spacing w:line="240" w:lineRule="auto"/>
        <w:rPr>
          <w:rFonts w:eastAsia="Calibri"/>
          <w:szCs w:val="22"/>
        </w:rPr>
      </w:pPr>
    </w:p>
    <w:p w14:paraId="62071725" w14:textId="77777777" w:rsidR="00E44223" w:rsidRPr="00CE427E" w:rsidRDefault="00E44223" w:rsidP="006128F6">
      <w:pPr>
        <w:tabs>
          <w:tab w:val="clear" w:pos="567"/>
        </w:tabs>
        <w:autoSpaceDE w:val="0"/>
        <w:autoSpaceDN w:val="0"/>
        <w:adjustRightInd w:val="0"/>
        <w:spacing w:line="240" w:lineRule="auto"/>
        <w:rPr>
          <w:rFonts w:eastAsia="Calibri"/>
          <w:i/>
          <w:iCs/>
          <w:szCs w:val="22"/>
        </w:rPr>
      </w:pPr>
      <w:r w:rsidRPr="00CE427E">
        <w:rPr>
          <w:rFonts w:eastAsia="Calibri"/>
          <w:i/>
          <w:iCs/>
          <w:szCs w:val="22"/>
        </w:rPr>
        <w:t>Weekly dosing in metastatic breast cancer</w:t>
      </w:r>
    </w:p>
    <w:p w14:paraId="450FDA6E" w14:textId="350D771C" w:rsidR="00E44223" w:rsidRPr="00CE427E" w:rsidRDefault="00E44223" w:rsidP="006128F6">
      <w:pPr>
        <w:tabs>
          <w:tab w:val="clear" w:pos="567"/>
        </w:tabs>
        <w:autoSpaceDE w:val="0"/>
        <w:autoSpaceDN w:val="0"/>
        <w:adjustRightInd w:val="0"/>
        <w:spacing w:line="240" w:lineRule="auto"/>
        <w:rPr>
          <w:rFonts w:eastAsia="Calibri"/>
          <w:szCs w:val="22"/>
        </w:rPr>
      </w:pPr>
      <w:r w:rsidRPr="00CE427E">
        <w:rPr>
          <w:rFonts w:eastAsia="Calibri"/>
          <w:szCs w:val="22"/>
        </w:rPr>
        <w:t xml:space="preserve">The efficacy results from the monotherapy and combination therapy </w:t>
      </w:r>
      <w:r w:rsidR="00BC0F71" w:rsidRPr="00CE427E">
        <w:rPr>
          <w:rFonts w:eastAsia="Calibri"/>
          <w:szCs w:val="22"/>
        </w:rPr>
        <w:t xml:space="preserve">studies are summarised in </w:t>
      </w:r>
      <w:r w:rsidR="007519ED" w:rsidRPr="00CE427E">
        <w:rPr>
          <w:rFonts w:eastAsia="Calibri"/>
          <w:szCs w:val="22"/>
        </w:rPr>
        <w:t>t</w:t>
      </w:r>
      <w:r w:rsidR="00BC0F71" w:rsidRPr="00CE427E">
        <w:rPr>
          <w:rFonts w:eastAsia="Calibri"/>
          <w:szCs w:val="22"/>
        </w:rPr>
        <w:t>able </w:t>
      </w:r>
      <w:r w:rsidRPr="00CE427E">
        <w:rPr>
          <w:rFonts w:eastAsia="Calibri"/>
          <w:szCs w:val="22"/>
        </w:rPr>
        <w:t>4</w:t>
      </w:r>
      <w:r w:rsidR="00EE0352" w:rsidRPr="00CE427E">
        <w:rPr>
          <w:rFonts w:eastAsia="Calibri"/>
          <w:szCs w:val="22"/>
        </w:rPr>
        <w:t>.</w:t>
      </w:r>
    </w:p>
    <w:p w14:paraId="0C3B8EB2" w14:textId="77777777" w:rsidR="00BC0F71" w:rsidRPr="00CE427E" w:rsidRDefault="00BC0F71" w:rsidP="006128F6">
      <w:pPr>
        <w:tabs>
          <w:tab w:val="clear" w:pos="567"/>
        </w:tabs>
        <w:autoSpaceDE w:val="0"/>
        <w:autoSpaceDN w:val="0"/>
        <w:adjustRightInd w:val="0"/>
        <w:spacing w:line="240" w:lineRule="auto"/>
        <w:rPr>
          <w:rFonts w:eastAsia="Calibri"/>
          <w:szCs w:val="22"/>
        </w:rPr>
      </w:pPr>
    </w:p>
    <w:p w14:paraId="63DE093F" w14:textId="77777777" w:rsidR="00E44223" w:rsidRPr="006128F6" w:rsidRDefault="00E44223" w:rsidP="006128F6">
      <w:pPr>
        <w:spacing w:line="240" w:lineRule="auto"/>
        <w:ind w:left="561" w:hanging="561"/>
        <w:outlineLvl w:val="0"/>
        <w:rPr>
          <w:b/>
          <w:szCs w:val="22"/>
        </w:rPr>
      </w:pPr>
      <w:r w:rsidRPr="00CE427E">
        <w:rPr>
          <w:rFonts w:eastAsia="Calibri"/>
          <w:b/>
          <w:szCs w:val="22"/>
        </w:rPr>
        <w:t xml:space="preserve">Table 4 Efficacy </w:t>
      </w:r>
      <w:r w:rsidR="00BC0F71" w:rsidRPr="00CE427E">
        <w:rPr>
          <w:rFonts w:eastAsia="Calibri"/>
          <w:b/>
          <w:szCs w:val="22"/>
        </w:rPr>
        <w:t>r</w:t>
      </w:r>
      <w:r w:rsidRPr="00CE427E">
        <w:rPr>
          <w:rFonts w:eastAsia="Calibri"/>
          <w:b/>
          <w:szCs w:val="22"/>
        </w:rPr>
        <w:t xml:space="preserve">esults from the </w:t>
      </w:r>
      <w:r w:rsidR="00BC0F71" w:rsidRPr="00CE427E">
        <w:rPr>
          <w:rFonts w:eastAsia="Calibri"/>
          <w:b/>
          <w:szCs w:val="22"/>
        </w:rPr>
        <w:t>m</w:t>
      </w:r>
      <w:r w:rsidRPr="00CE427E">
        <w:rPr>
          <w:rFonts w:eastAsia="Calibri"/>
          <w:b/>
          <w:szCs w:val="22"/>
        </w:rPr>
        <w:t xml:space="preserve">onotherapy and </w:t>
      </w:r>
      <w:r w:rsidR="00BC0F71" w:rsidRPr="00CE427E">
        <w:rPr>
          <w:rFonts w:eastAsia="Calibri"/>
          <w:b/>
          <w:szCs w:val="22"/>
        </w:rPr>
        <w:t>c</w:t>
      </w:r>
      <w:r w:rsidRPr="00CE427E">
        <w:rPr>
          <w:rFonts w:eastAsia="Calibri"/>
          <w:b/>
          <w:szCs w:val="22"/>
        </w:rPr>
        <w:t xml:space="preserve">ombination </w:t>
      </w:r>
      <w:r w:rsidR="00BC0F71" w:rsidRPr="00CE427E">
        <w:rPr>
          <w:rFonts w:eastAsia="Calibri"/>
          <w:b/>
          <w:szCs w:val="22"/>
        </w:rPr>
        <w:t>t</w:t>
      </w:r>
      <w:r w:rsidRPr="00CE427E">
        <w:rPr>
          <w:rFonts w:eastAsia="Calibri"/>
          <w:b/>
          <w:szCs w:val="22"/>
        </w:rPr>
        <w:t xml:space="preserve">herapy </w:t>
      </w:r>
      <w:r w:rsidR="00BC0F71" w:rsidRPr="00CE427E">
        <w:rPr>
          <w:rFonts w:eastAsia="Calibri"/>
          <w:b/>
          <w:szCs w:val="22"/>
        </w:rPr>
        <w:t>s</w:t>
      </w:r>
      <w:r w:rsidRPr="00CE427E">
        <w:rPr>
          <w:rFonts w:eastAsia="Calibri"/>
          <w:b/>
          <w:szCs w:val="22"/>
        </w:rPr>
        <w:t>tudies</w:t>
      </w:r>
    </w:p>
    <w:p w14:paraId="581593C5" w14:textId="77777777" w:rsidR="00E44223" w:rsidRPr="006128F6" w:rsidRDefault="00E44223" w:rsidP="006128F6">
      <w:pPr>
        <w:spacing w:line="240" w:lineRule="auto"/>
        <w:ind w:left="561" w:hanging="561"/>
        <w:outlineLvl w:val="0"/>
        <w:rPr>
          <w:b/>
          <w:szCs w:val="22"/>
        </w:rPr>
      </w:pPr>
    </w:p>
    <w:tbl>
      <w:tblPr>
        <w:tblW w:w="91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1546"/>
        <w:gridCol w:w="1503"/>
        <w:gridCol w:w="1315"/>
        <w:gridCol w:w="1476"/>
        <w:gridCol w:w="1226"/>
      </w:tblGrid>
      <w:tr w:rsidR="004F3E6A" w:rsidRPr="006128F6" w14:paraId="6EDCB925" w14:textId="77777777" w:rsidTr="007519ED">
        <w:trPr>
          <w:trHeight w:val="276"/>
        </w:trPr>
        <w:tc>
          <w:tcPr>
            <w:tcW w:w="2147" w:type="dxa"/>
            <w:shd w:val="clear" w:color="auto" w:fill="auto"/>
            <w:noWrap/>
            <w:hideMark/>
          </w:tcPr>
          <w:p w14:paraId="4ED2DD42" w14:textId="77777777" w:rsidR="00BC0F71" w:rsidRPr="006128F6" w:rsidRDefault="00BC0F71" w:rsidP="006128F6">
            <w:pPr>
              <w:tabs>
                <w:tab w:val="clear" w:pos="567"/>
              </w:tabs>
              <w:spacing w:line="240" w:lineRule="auto"/>
              <w:rPr>
                <w:b/>
                <w:color w:val="000000"/>
                <w:szCs w:val="22"/>
                <w:lang w:eastAsia="en-GB"/>
              </w:rPr>
            </w:pPr>
            <w:r w:rsidRPr="006128F6">
              <w:rPr>
                <w:b/>
                <w:color w:val="000000"/>
                <w:szCs w:val="22"/>
                <w:lang w:eastAsia="en-GB"/>
              </w:rPr>
              <w:t xml:space="preserve">Parameter </w:t>
            </w:r>
          </w:p>
        </w:tc>
        <w:tc>
          <w:tcPr>
            <w:tcW w:w="1549" w:type="dxa"/>
            <w:shd w:val="clear" w:color="auto" w:fill="auto"/>
            <w:noWrap/>
            <w:hideMark/>
          </w:tcPr>
          <w:p w14:paraId="0A7F0E03" w14:textId="77777777" w:rsidR="00BC0F71" w:rsidRPr="006128F6" w:rsidRDefault="00BC0F71" w:rsidP="006128F6">
            <w:pPr>
              <w:tabs>
                <w:tab w:val="clear" w:pos="567"/>
              </w:tabs>
              <w:spacing w:line="240" w:lineRule="auto"/>
              <w:rPr>
                <w:b/>
                <w:color w:val="000000"/>
                <w:szCs w:val="22"/>
                <w:lang w:eastAsia="en-GB"/>
              </w:rPr>
            </w:pPr>
            <w:r w:rsidRPr="006128F6">
              <w:rPr>
                <w:b/>
                <w:color w:val="000000"/>
                <w:szCs w:val="22"/>
                <w:lang w:eastAsia="en-GB"/>
              </w:rPr>
              <w:t xml:space="preserve">Monotherapy </w:t>
            </w:r>
          </w:p>
        </w:tc>
        <w:tc>
          <w:tcPr>
            <w:tcW w:w="5498" w:type="dxa"/>
            <w:gridSpan w:val="4"/>
            <w:shd w:val="clear" w:color="auto" w:fill="auto"/>
            <w:noWrap/>
            <w:hideMark/>
          </w:tcPr>
          <w:p w14:paraId="60EFE979" w14:textId="17FC32A5" w:rsidR="00BC0F71" w:rsidRPr="006128F6" w:rsidRDefault="00BC0F71" w:rsidP="006128F6">
            <w:pPr>
              <w:tabs>
                <w:tab w:val="clear" w:pos="567"/>
              </w:tabs>
              <w:spacing w:line="240" w:lineRule="auto"/>
              <w:jc w:val="center"/>
              <w:rPr>
                <w:b/>
                <w:color w:val="000000"/>
                <w:szCs w:val="22"/>
                <w:lang w:eastAsia="en-GB"/>
              </w:rPr>
            </w:pPr>
            <w:r w:rsidRPr="006128F6">
              <w:rPr>
                <w:b/>
                <w:color w:val="000000"/>
                <w:szCs w:val="22"/>
                <w:lang w:eastAsia="en-GB"/>
              </w:rPr>
              <w:t>Combination therapy</w:t>
            </w:r>
          </w:p>
        </w:tc>
      </w:tr>
      <w:tr w:rsidR="004F3E6A" w:rsidRPr="006128F6" w14:paraId="46541F79" w14:textId="77777777" w:rsidTr="00700FCB">
        <w:trPr>
          <w:trHeight w:val="300"/>
        </w:trPr>
        <w:tc>
          <w:tcPr>
            <w:tcW w:w="2147" w:type="dxa"/>
            <w:shd w:val="clear" w:color="auto" w:fill="auto"/>
            <w:noWrap/>
            <w:vAlign w:val="bottom"/>
            <w:hideMark/>
          </w:tcPr>
          <w:p w14:paraId="24B7B9C1" w14:textId="77777777" w:rsidR="00BC0F71" w:rsidRPr="006128F6" w:rsidRDefault="00BC0F71" w:rsidP="006128F6">
            <w:pPr>
              <w:tabs>
                <w:tab w:val="clear" w:pos="567"/>
              </w:tabs>
              <w:spacing w:line="240" w:lineRule="auto"/>
              <w:rPr>
                <w:b/>
                <w:color w:val="000000"/>
                <w:szCs w:val="22"/>
                <w:lang w:eastAsia="en-GB"/>
              </w:rPr>
            </w:pPr>
          </w:p>
        </w:tc>
        <w:tc>
          <w:tcPr>
            <w:tcW w:w="1549" w:type="dxa"/>
            <w:shd w:val="clear" w:color="auto" w:fill="auto"/>
            <w:noWrap/>
            <w:hideMark/>
          </w:tcPr>
          <w:p w14:paraId="375DD796" w14:textId="77777777" w:rsidR="00D30898" w:rsidRPr="006128F6" w:rsidRDefault="004F3E6A" w:rsidP="006128F6">
            <w:pPr>
              <w:tabs>
                <w:tab w:val="clear" w:pos="567"/>
              </w:tabs>
              <w:spacing w:line="240" w:lineRule="auto"/>
              <w:jc w:val="center"/>
              <w:rPr>
                <w:b/>
                <w:color w:val="000000"/>
                <w:szCs w:val="22"/>
                <w:lang w:eastAsia="en-GB"/>
              </w:rPr>
            </w:pPr>
            <w:r w:rsidRPr="006128F6">
              <w:rPr>
                <w:b/>
                <w:color w:val="000000"/>
                <w:szCs w:val="22"/>
                <w:lang w:eastAsia="en-GB"/>
              </w:rPr>
              <w:t>Trastuzumab</w:t>
            </w:r>
            <w:r w:rsidR="00BC0F71" w:rsidRPr="006128F6">
              <w:rPr>
                <w:b/>
                <w:color w:val="000000"/>
                <w:szCs w:val="22"/>
                <w:vertAlign w:val="superscript"/>
                <w:lang w:eastAsia="en-GB"/>
              </w:rPr>
              <w:t>1</w:t>
            </w:r>
            <w:r w:rsidR="00BC0F71" w:rsidRPr="006128F6">
              <w:rPr>
                <w:b/>
                <w:color w:val="000000"/>
                <w:szCs w:val="22"/>
                <w:lang w:eastAsia="en-GB"/>
              </w:rPr>
              <w:t xml:space="preserve"> </w:t>
            </w:r>
          </w:p>
          <w:p w14:paraId="0979E2AA" w14:textId="77777777" w:rsidR="00BC0F71" w:rsidRPr="006128F6" w:rsidRDefault="00BC0F71" w:rsidP="006128F6">
            <w:pPr>
              <w:tabs>
                <w:tab w:val="clear" w:pos="567"/>
              </w:tabs>
              <w:spacing w:line="240" w:lineRule="auto"/>
              <w:jc w:val="center"/>
              <w:rPr>
                <w:b/>
                <w:color w:val="000000"/>
                <w:szCs w:val="22"/>
                <w:lang w:eastAsia="en-GB"/>
              </w:rPr>
            </w:pPr>
            <w:r w:rsidRPr="006128F6">
              <w:rPr>
                <w:b/>
                <w:color w:val="000000"/>
                <w:szCs w:val="22"/>
                <w:lang w:eastAsia="en-GB"/>
              </w:rPr>
              <w:t>N</w:t>
            </w:r>
            <w:r w:rsidR="002B7BA5" w:rsidRPr="006128F6">
              <w:rPr>
                <w:b/>
                <w:color w:val="000000"/>
                <w:szCs w:val="22"/>
                <w:lang w:eastAsia="en-GB"/>
              </w:rPr>
              <w:t> </w:t>
            </w:r>
            <w:r w:rsidRPr="006128F6">
              <w:rPr>
                <w:b/>
                <w:color w:val="000000"/>
                <w:szCs w:val="22"/>
                <w:lang w:eastAsia="en-GB"/>
              </w:rPr>
              <w:t>=</w:t>
            </w:r>
            <w:r w:rsidR="002B7BA5" w:rsidRPr="006128F6">
              <w:rPr>
                <w:b/>
                <w:color w:val="000000"/>
                <w:szCs w:val="22"/>
                <w:lang w:eastAsia="en-GB"/>
              </w:rPr>
              <w:t> </w:t>
            </w:r>
            <w:r w:rsidRPr="006128F6">
              <w:rPr>
                <w:b/>
                <w:color w:val="000000"/>
                <w:szCs w:val="22"/>
                <w:lang w:eastAsia="en-GB"/>
              </w:rPr>
              <w:t>172</w:t>
            </w:r>
          </w:p>
        </w:tc>
        <w:tc>
          <w:tcPr>
            <w:tcW w:w="1515" w:type="dxa"/>
            <w:shd w:val="clear" w:color="auto" w:fill="auto"/>
            <w:noWrap/>
            <w:hideMark/>
          </w:tcPr>
          <w:p w14:paraId="23F945BD" w14:textId="77777777" w:rsidR="00BC0F71" w:rsidRPr="006128F6" w:rsidRDefault="004F3E6A" w:rsidP="006128F6">
            <w:pPr>
              <w:tabs>
                <w:tab w:val="clear" w:pos="567"/>
              </w:tabs>
              <w:spacing w:line="240" w:lineRule="auto"/>
              <w:jc w:val="center"/>
              <w:rPr>
                <w:b/>
                <w:color w:val="000000"/>
                <w:szCs w:val="22"/>
                <w:lang w:eastAsia="en-GB"/>
              </w:rPr>
            </w:pPr>
            <w:r w:rsidRPr="006128F6">
              <w:rPr>
                <w:b/>
                <w:color w:val="000000"/>
                <w:szCs w:val="22"/>
                <w:lang w:eastAsia="en-GB"/>
              </w:rPr>
              <w:t>Trastuzumab</w:t>
            </w:r>
          </w:p>
          <w:p w14:paraId="2CF51D0F" w14:textId="77777777" w:rsidR="00BC0F71" w:rsidRPr="006128F6" w:rsidRDefault="00BC0F71" w:rsidP="006128F6">
            <w:pPr>
              <w:tabs>
                <w:tab w:val="clear" w:pos="567"/>
              </w:tabs>
              <w:spacing w:line="240" w:lineRule="auto"/>
              <w:jc w:val="center"/>
              <w:rPr>
                <w:b/>
                <w:color w:val="000000"/>
                <w:szCs w:val="22"/>
                <w:lang w:eastAsia="en-GB"/>
              </w:rPr>
            </w:pPr>
            <w:r w:rsidRPr="006128F6">
              <w:rPr>
                <w:b/>
                <w:color w:val="000000"/>
                <w:szCs w:val="22"/>
                <w:lang w:eastAsia="en-GB"/>
              </w:rPr>
              <w:t>plus</w:t>
            </w:r>
          </w:p>
          <w:p w14:paraId="5268812B" w14:textId="77777777" w:rsidR="00BC0F71" w:rsidRPr="006128F6" w:rsidRDefault="00BC0F71" w:rsidP="006128F6">
            <w:pPr>
              <w:tabs>
                <w:tab w:val="clear" w:pos="567"/>
              </w:tabs>
              <w:spacing w:line="240" w:lineRule="auto"/>
              <w:jc w:val="center"/>
              <w:rPr>
                <w:b/>
                <w:color w:val="000000"/>
                <w:szCs w:val="22"/>
                <w:lang w:eastAsia="en-GB"/>
              </w:rPr>
            </w:pPr>
            <w:r w:rsidRPr="006128F6">
              <w:rPr>
                <w:b/>
                <w:color w:val="000000"/>
                <w:szCs w:val="22"/>
                <w:lang w:eastAsia="en-GB"/>
              </w:rPr>
              <w:t>paclitaxel</w:t>
            </w:r>
            <w:r w:rsidRPr="006128F6">
              <w:rPr>
                <w:b/>
                <w:color w:val="000000"/>
                <w:szCs w:val="22"/>
                <w:vertAlign w:val="superscript"/>
                <w:lang w:eastAsia="en-GB"/>
              </w:rPr>
              <w:t>2</w:t>
            </w:r>
          </w:p>
          <w:p w14:paraId="0E303BB8" w14:textId="77777777" w:rsidR="00BC0F71" w:rsidRPr="006128F6" w:rsidRDefault="00BC0F71" w:rsidP="006128F6">
            <w:pPr>
              <w:tabs>
                <w:tab w:val="clear" w:pos="567"/>
              </w:tabs>
              <w:spacing w:line="240" w:lineRule="auto"/>
              <w:jc w:val="center"/>
              <w:rPr>
                <w:b/>
                <w:color w:val="000000"/>
                <w:szCs w:val="22"/>
                <w:lang w:eastAsia="en-GB"/>
              </w:rPr>
            </w:pPr>
            <w:r w:rsidRPr="006128F6">
              <w:rPr>
                <w:b/>
                <w:color w:val="000000"/>
                <w:szCs w:val="22"/>
                <w:lang w:eastAsia="en-GB"/>
              </w:rPr>
              <w:t>N</w:t>
            </w:r>
            <w:r w:rsidR="002B7BA5" w:rsidRPr="006128F6">
              <w:rPr>
                <w:b/>
                <w:color w:val="000000"/>
                <w:szCs w:val="22"/>
                <w:lang w:eastAsia="en-GB"/>
              </w:rPr>
              <w:t> </w:t>
            </w:r>
            <w:r w:rsidRPr="006128F6">
              <w:rPr>
                <w:b/>
                <w:color w:val="000000"/>
                <w:szCs w:val="22"/>
                <w:lang w:eastAsia="en-GB"/>
              </w:rPr>
              <w:t>=</w:t>
            </w:r>
            <w:r w:rsidR="002B7BA5" w:rsidRPr="006128F6">
              <w:rPr>
                <w:b/>
                <w:color w:val="000000"/>
                <w:szCs w:val="22"/>
                <w:lang w:eastAsia="en-GB"/>
              </w:rPr>
              <w:t> </w:t>
            </w:r>
            <w:r w:rsidRPr="006128F6">
              <w:rPr>
                <w:b/>
                <w:color w:val="000000"/>
                <w:szCs w:val="22"/>
                <w:lang w:eastAsia="en-GB"/>
              </w:rPr>
              <w:t>68</w:t>
            </w:r>
          </w:p>
        </w:tc>
        <w:tc>
          <w:tcPr>
            <w:tcW w:w="1325" w:type="dxa"/>
            <w:shd w:val="clear" w:color="auto" w:fill="auto"/>
            <w:noWrap/>
            <w:hideMark/>
          </w:tcPr>
          <w:p w14:paraId="6B6FC74D" w14:textId="77777777" w:rsidR="00D30898" w:rsidRPr="006128F6" w:rsidRDefault="00BC0F71" w:rsidP="006128F6">
            <w:pPr>
              <w:tabs>
                <w:tab w:val="clear" w:pos="567"/>
              </w:tabs>
              <w:spacing w:line="240" w:lineRule="auto"/>
              <w:jc w:val="center"/>
              <w:rPr>
                <w:b/>
                <w:color w:val="000000"/>
                <w:szCs w:val="22"/>
                <w:lang w:eastAsia="en-GB"/>
              </w:rPr>
            </w:pPr>
            <w:r w:rsidRPr="006128F6">
              <w:rPr>
                <w:b/>
                <w:color w:val="000000"/>
                <w:szCs w:val="22"/>
                <w:lang w:eastAsia="en-GB"/>
              </w:rPr>
              <w:t>Paclitaxel</w:t>
            </w:r>
            <w:r w:rsidRPr="006128F6">
              <w:rPr>
                <w:b/>
                <w:color w:val="000000"/>
                <w:szCs w:val="22"/>
                <w:vertAlign w:val="superscript"/>
                <w:lang w:eastAsia="en-GB"/>
              </w:rPr>
              <w:t>2</w:t>
            </w:r>
            <w:r w:rsidRPr="006128F6">
              <w:rPr>
                <w:b/>
                <w:color w:val="000000"/>
                <w:szCs w:val="22"/>
                <w:lang w:eastAsia="en-GB"/>
              </w:rPr>
              <w:t xml:space="preserve"> </w:t>
            </w:r>
          </w:p>
          <w:p w14:paraId="172AC69C" w14:textId="77777777" w:rsidR="00BC0F71" w:rsidRPr="006128F6" w:rsidRDefault="00BC0F71" w:rsidP="006128F6">
            <w:pPr>
              <w:tabs>
                <w:tab w:val="clear" w:pos="567"/>
              </w:tabs>
              <w:spacing w:line="240" w:lineRule="auto"/>
              <w:jc w:val="center"/>
              <w:rPr>
                <w:b/>
                <w:color w:val="000000"/>
                <w:szCs w:val="22"/>
                <w:lang w:eastAsia="en-GB"/>
              </w:rPr>
            </w:pPr>
            <w:r w:rsidRPr="006128F6">
              <w:rPr>
                <w:b/>
                <w:color w:val="000000"/>
                <w:szCs w:val="22"/>
                <w:lang w:eastAsia="en-GB"/>
              </w:rPr>
              <w:t>N</w:t>
            </w:r>
            <w:r w:rsidR="002B7BA5" w:rsidRPr="006128F6">
              <w:rPr>
                <w:b/>
                <w:color w:val="000000"/>
                <w:szCs w:val="22"/>
                <w:lang w:eastAsia="en-GB"/>
              </w:rPr>
              <w:t> </w:t>
            </w:r>
            <w:r w:rsidRPr="006128F6">
              <w:rPr>
                <w:b/>
                <w:color w:val="000000"/>
                <w:szCs w:val="22"/>
                <w:lang w:eastAsia="en-GB"/>
              </w:rPr>
              <w:t>=</w:t>
            </w:r>
            <w:r w:rsidR="002B7BA5" w:rsidRPr="006128F6">
              <w:rPr>
                <w:b/>
                <w:color w:val="000000"/>
                <w:szCs w:val="22"/>
                <w:lang w:eastAsia="en-GB"/>
              </w:rPr>
              <w:t> </w:t>
            </w:r>
            <w:r w:rsidRPr="006128F6">
              <w:rPr>
                <w:b/>
                <w:color w:val="000000"/>
                <w:szCs w:val="22"/>
                <w:lang w:eastAsia="en-GB"/>
              </w:rPr>
              <w:t>77</w:t>
            </w:r>
          </w:p>
        </w:tc>
        <w:tc>
          <w:tcPr>
            <w:tcW w:w="1423" w:type="dxa"/>
            <w:shd w:val="clear" w:color="auto" w:fill="auto"/>
            <w:noWrap/>
            <w:hideMark/>
          </w:tcPr>
          <w:p w14:paraId="5F121122" w14:textId="77777777" w:rsidR="00BC0F71" w:rsidRPr="006128F6" w:rsidRDefault="004F3E6A" w:rsidP="006128F6">
            <w:pPr>
              <w:tabs>
                <w:tab w:val="clear" w:pos="567"/>
              </w:tabs>
              <w:spacing w:line="240" w:lineRule="auto"/>
              <w:jc w:val="center"/>
              <w:rPr>
                <w:b/>
                <w:color w:val="000000"/>
                <w:szCs w:val="22"/>
                <w:lang w:eastAsia="en-GB"/>
              </w:rPr>
            </w:pPr>
            <w:r w:rsidRPr="006128F6">
              <w:rPr>
                <w:b/>
                <w:color w:val="000000"/>
                <w:szCs w:val="22"/>
                <w:lang w:eastAsia="en-GB"/>
              </w:rPr>
              <w:t>Trastuzumab</w:t>
            </w:r>
            <w:r w:rsidR="00BC0F71" w:rsidRPr="006128F6">
              <w:rPr>
                <w:b/>
                <w:color w:val="000000"/>
                <w:szCs w:val="22"/>
                <w:lang w:eastAsia="en-GB"/>
              </w:rPr>
              <w:t xml:space="preserve"> plus docetaxel</w:t>
            </w:r>
            <w:r w:rsidR="00BC0F71" w:rsidRPr="006128F6">
              <w:rPr>
                <w:b/>
                <w:color w:val="000000"/>
                <w:szCs w:val="22"/>
                <w:vertAlign w:val="superscript"/>
                <w:lang w:eastAsia="en-GB"/>
              </w:rPr>
              <w:t>3</w:t>
            </w:r>
            <w:r w:rsidR="00BC0F71" w:rsidRPr="006128F6">
              <w:rPr>
                <w:b/>
                <w:color w:val="000000"/>
                <w:szCs w:val="22"/>
                <w:lang w:eastAsia="en-GB"/>
              </w:rPr>
              <w:t xml:space="preserve"> N</w:t>
            </w:r>
            <w:r w:rsidR="002B7BA5" w:rsidRPr="006128F6">
              <w:rPr>
                <w:b/>
                <w:color w:val="000000"/>
                <w:szCs w:val="22"/>
                <w:lang w:eastAsia="en-GB"/>
              </w:rPr>
              <w:t> </w:t>
            </w:r>
            <w:r w:rsidR="00BC0F71" w:rsidRPr="006128F6">
              <w:rPr>
                <w:b/>
                <w:color w:val="000000"/>
                <w:szCs w:val="22"/>
                <w:lang w:eastAsia="en-GB"/>
              </w:rPr>
              <w:t>=</w:t>
            </w:r>
            <w:r w:rsidR="002B7BA5" w:rsidRPr="006128F6">
              <w:rPr>
                <w:b/>
                <w:color w:val="000000"/>
                <w:szCs w:val="22"/>
                <w:lang w:eastAsia="en-GB"/>
              </w:rPr>
              <w:t> </w:t>
            </w:r>
            <w:r w:rsidR="00BC0F71" w:rsidRPr="006128F6">
              <w:rPr>
                <w:b/>
                <w:color w:val="000000"/>
                <w:szCs w:val="22"/>
                <w:lang w:eastAsia="en-GB"/>
              </w:rPr>
              <w:t>92</w:t>
            </w:r>
          </w:p>
        </w:tc>
        <w:tc>
          <w:tcPr>
            <w:tcW w:w="1235" w:type="dxa"/>
            <w:shd w:val="clear" w:color="auto" w:fill="auto"/>
            <w:noWrap/>
            <w:hideMark/>
          </w:tcPr>
          <w:p w14:paraId="5328239C" w14:textId="77777777" w:rsidR="00D30898" w:rsidRPr="006128F6" w:rsidRDefault="00BC0F71" w:rsidP="006128F6">
            <w:pPr>
              <w:tabs>
                <w:tab w:val="clear" w:pos="567"/>
              </w:tabs>
              <w:spacing w:line="240" w:lineRule="auto"/>
              <w:jc w:val="center"/>
              <w:rPr>
                <w:b/>
                <w:color w:val="000000"/>
                <w:szCs w:val="22"/>
                <w:lang w:eastAsia="en-GB"/>
              </w:rPr>
            </w:pPr>
            <w:r w:rsidRPr="006128F6">
              <w:rPr>
                <w:b/>
                <w:color w:val="000000"/>
                <w:szCs w:val="22"/>
                <w:lang w:eastAsia="en-GB"/>
              </w:rPr>
              <w:t>Docetaxel</w:t>
            </w:r>
            <w:r w:rsidRPr="006128F6">
              <w:rPr>
                <w:b/>
                <w:color w:val="000000"/>
                <w:szCs w:val="22"/>
                <w:vertAlign w:val="superscript"/>
                <w:lang w:eastAsia="en-GB"/>
              </w:rPr>
              <w:t>3</w:t>
            </w:r>
            <w:r w:rsidRPr="006128F6">
              <w:rPr>
                <w:b/>
                <w:color w:val="000000"/>
                <w:szCs w:val="22"/>
                <w:lang w:eastAsia="en-GB"/>
              </w:rPr>
              <w:t xml:space="preserve"> </w:t>
            </w:r>
          </w:p>
          <w:p w14:paraId="124D9B86" w14:textId="77777777" w:rsidR="00BC0F71" w:rsidRPr="006128F6" w:rsidRDefault="00BC0F71" w:rsidP="006128F6">
            <w:pPr>
              <w:tabs>
                <w:tab w:val="clear" w:pos="567"/>
              </w:tabs>
              <w:spacing w:line="240" w:lineRule="auto"/>
              <w:jc w:val="center"/>
              <w:rPr>
                <w:b/>
                <w:color w:val="000000"/>
                <w:szCs w:val="22"/>
                <w:lang w:eastAsia="en-GB"/>
              </w:rPr>
            </w:pPr>
            <w:r w:rsidRPr="006128F6">
              <w:rPr>
                <w:b/>
                <w:color w:val="000000"/>
                <w:szCs w:val="22"/>
                <w:lang w:eastAsia="en-GB"/>
              </w:rPr>
              <w:t>N</w:t>
            </w:r>
            <w:r w:rsidR="002B7BA5" w:rsidRPr="006128F6">
              <w:rPr>
                <w:b/>
                <w:color w:val="000000"/>
                <w:szCs w:val="22"/>
                <w:lang w:eastAsia="en-GB"/>
              </w:rPr>
              <w:t> </w:t>
            </w:r>
            <w:r w:rsidRPr="006128F6">
              <w:rPr>
                <w:b/>
                <w:color w:val="000000"/>
                <w:szCs w:val="22"/>
                <w:lang w:eastAsia="en-GB"/>
              </w:rPr>
              <w:t>=</w:t>
            </w:r>
            <w:r w:rsidR="002B7BA5" w:rsidRPr="006128F6">
              <w:rPr>
                <w:b/>
                <w:color w:val="000000"/>
                <w:szCs w:val="22"/>
                <w:lang w:eastAsia="en-GB"/>
              </w:rPr>
              <w:t> </w:t>
            </w:r>
            <w:r w:rsidRPr="006128F6">
              <w:rPr>
                <w:b/>
                <w:color w:val="000000"/>
                <w:szCs w:val="22"/>
                <w:lang w:eastAsia="en-GB"/>
              </w:rPr>
              <w:t>94</w:t>
            </w:r>
          </w:p>
        </w:tc>
      </w:tr>
      <w:tr w:rsidR="004F3E6A" w:rsidRPr="006128F6" w14:paraId="1DCBE7FB" w14:textId="77777777" w:rsidTr="00700FCB">
        <w:trPr>
          <w:trHeight w:val="300"/>
        </w:trPr>
        <w:tc>
          <w:tcPr>
            <w:tcW w:w="2147" w:type="dxa"/>
            <w:shd w:val="clear" w:color="auto" w:fill="auto"/>
            <w:noWrap/>
            <w:vAlign w:val="bottom"/>
            <w:hideMark/>
          </w:tcPr>
          <w:p w14:paraId="24483CDA" w14:textId="3FCCD376" w:rsidR="00BC0F71" w:rsidRPr="006128F6" w:rsidRDefault="00BC0F71" w:rsidP="006128F6">
            <w:pPr>
              <w:tabs>
                <w:tab w:val="clear" w:pos="567"/>
              </w:tabs>
              <w:spacing w:line="240" w:lineRule="auto"/>
              <w:rPr>
                <w:b/>
                <w:color w:val="000000"/>
                <w:szCs w:val="22"/>
                <w:lang w:eastAsia="en-GB"/>
              </w:rPr>
            </w:pPr>
            <w:r w:rsidRPr="006128F6">
              <w:rPr>
                <w:b/>
                <w:color w:val="000000"/>
                <w:szCs w:val="22"/>
                <w:lang w:eastAsia="en-GB"/>
              </w:rPr>
              <w:t>Response rate (95</w:t>
            </w:r>
            <w:r w:rsidR="000840CF" w:rsidRPr="006128F6">
              <w:rPr>
                <w:b/>
                <w:color w:val="000000"/>
                <w:szCs w:val="22"/>
                <w:lang w:eastAsia="en-GB"/>
              </w:rPr>
              <w:t>%</w:t>
            </w:r>
            <w:r w:rsidRPr="006128F6">
              <w:rPr>
                <w:b/>
                <w:color w:val="000000"/>
                <w:szCs w:val="22"/>
                <w:lang w:eastAsia="en-GB"/>
              </w:rPr>
              <w:t xml:space="preserve">CI) </w:t>
            </w:r>
          </w:p>
        </w:tc>
        <w:tc>
          <w:tcPr>
            <w:tcW w:w="1549" w:type="dxa"/>
            <w:shd w:val="clear" w:color="auto" w:fill="auto"/>
            <w:noWrap/>
            <w:hideMark/>
          </w:tcPr>
          <w:p w14:paraId="02532D26" w14:textId="377B81C9"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18</w:t>
            </w:r>
            <w:r w:rsidR="000840CF" w:rsidRPr="006128F6">
              <w:rPr>
                <w:color w:val="000000"/>
                <w:szCs w:val="22"/>
                <w:lang w:eastAsia="en-GB"/>
              </w:rPr>
              <w:t>%</w:t>
            </w:r>
          </w:p>
          <w:p w14:paraId="4BF7B5E3" w14:textId="7777777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(13</w:t>
            </w:r>
            <w:r w:rsidRPr="006128F6">
              <w:rPr>
                <w:color w:val="000000"/>
                <w:szCs w:val="22"/>
                <w:lang w:eastAsia="en-GB"/>
              </w:rPr>
              <w:noBreakHyphen/>
              <w:t>25)</w:t>
            </w:r>
          </w:p>
        </w:tc>
        <w:tc>
          <w:tcPr>
            <w:tcW w:w="1515" w:type="dxa"/>
            <w:shd w:val="clear" w:color="auto" w:fill="auto"/>
            <w:noWrap/>
            <w:hideMark/>
          </w:tcPr>
          <w:p w14:paraId="7909B050" w14:textId="5434741B"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49</w:t>
            </w:r>
            <w:r w:rsidR="000840CF" w:rsidRPr="006128F6">
              <w:rPr>
                <w:color w:val="000000"/>
                <w:szCs w:val="22"/>
                <w:lang w:eastAsia="en-GB"/>
              </w:rPr>
              <w:t>%</w:t>
            </w:r>
          </w:p>
          <w:p w14:paraId="03BDDEA8" w14:textId="7777777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(36</w:t>
            </w:r>
            <w:r w:rsidRPr="006128F6">
              <w:rPr>
                <w:color w:val="000000"/>
                <w:szCs w:val="22"/>
                <w:lang w:eastAsia="en-GB"/>
              </w:rPr>
              <w:noBreakHyphen/>
              <w:t>61)</w:t>
            </w:r>
          </w:p>
        </w:tc>
        <w:tc>
          <w:tcPr>
            <w:tcW w:w="1325" w:type="dxa"/>
            <w:shd w:val="clear" w:color="auto" w:fill="auto"/>
            <w:noWrap/>
            <w:hideMark/>
          </w:tcPr>
          <w:p w14:paraId="26139498" w14:textId="57CEB7CF"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17</w:t>
            </w:r>
            <w:r w:rsidR="000840CF" w:rsidRPr="006128F6">
              <w:rPr>
                <w:color w:val="000000"/>
                <w:szCs w:val="22"/>
                <w:lang w:eastAsia="en-GB"/>
              </w:rPr>
              <w:t>%</w:t>
            </w:r>
          </w:p>
          <w:p w14:paraId="58386296" w14:textId="7777777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(9</w:t>
            </w:r>
            <w:r w:rsidRPr="006128F6">
              <w:rPr>
                <w:color w:val="000000"/>
                <w:szCs w:val="22"/>
                <w:lang w:eastAsia="en-GB"/>
              </w:rPr>
              <w:noBreakHyphen/>
              <w:t>27)</w:t>
            </w:r>
          </w:p>
        </w:tc>
        <w:tc>
          <w:tcPr>
            <w:tcW w:w="1423" w:type="dxa"/>
            <w:shd w:val="clear" w:color="auto" w:fill="auto"/>
            <w:noWrap/>
            <w:hideMark/>
          </w:tcPr>
          <w:p w14:paraId="062AE665" w14:textId="15167C95"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61</w:t>
            </w:r>
            <w:r w:rsidR="000840CF" w:rsidRPr="006128F6">
              <w:rPr>
                <w:color w:val="000000"/>
                <w:szCs w:val="22"/>
                <w:lang w:eastAsia="en-GB"/>
              </w:rPr>
              <w:t>%</w:t>
            </w:r>
          </w:p>
          <w:p w14:paraId="36D55243" w14:textId="7777777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(50-71)</w:t>
            </w:r>
          </w:p>
        </w:tc>
        <w:tc>
          <w:tcPr>
            <w:tcW w:w="1235" w:type="dxa"/>
            <w:shd w:val="clear" w:color="auto" w:fill="auto"/>
            <w:noWrap/>
            <w:hideMark/>
          </w:tcPr>
          <w:p w14:paraId="30C19634" w14:textId="586B185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34</w:t>
            </w:r>
            <w:r w:rsidR="000840CF" w:rsidRPr="006128F6">
              <w:rPr>
                <w:color w:val="000000"/>
                <w:szCs w:val="22"/>
                <w:lang w:eastAsia="en-GB"/>
              </w:rPr>
              <w:t>%</w:t>
            </w:r>
          </w:p>
          <w:p w14:paraId="0DAC15C5" w14:textId="7777777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(25-45)</w:t>
            </w:r>
          </w:p>
        </w:tc>
      </w:tr>
      <w:tr w:rsidR="004F3E6A" w:rsidRPr="006128F6" w14:paraId="4BD18847" w14:textId="77777777" w:rsidTr="00700FCB">
        <w:trPr>
          <w:trHeight w:val="300"/>
        </w:trPr>
        <w:tc>
          <w:tcPr>
            <w:tcW w:w="2147" w:type="dxa"/>
            <w:shd w:val="clear" w:color="auto" w:fill="auto"/>
            <w:noWrap/>
            <w:vAlign w:val="bottom"/>
            <w:hideMark/>
          </w:tcPr>
          <w:p w14:paraId="328F519D" w14:textId="77777777" w:rsidR="00D30898" w:rsidRPr="006128F6" w:rsidRDefault="00BC0F71" w:rsidP="006128F6">
            <w:pPr>
              <w:tabs>
                <w:tab w:val="clear" w:pos="567"/>
              </w:tabs>
              <w:spacing w:line="240" w:lineRule="auto"/>
              <w:rPr>
                <w:b/>
                <w:color w:val="000000"/>
                <w:szCs w:val="22"/>
                <w:lang w:eastAsia="en-GB"/>
              </w:rPr>
            </w:pPr>
            <w:r w:rsidRPr="006128F6">
              <w:rPr>
                <w:b/>
                <w:color w:val="000000"/>
                <w:szCs w:val="22"/>
                <w:lang w:eastAsia="en-GB"/>
              </w:rPr>
              <w:t xml:space="preserve">Median duration of response (months) </w:t>
            </w:r>
          </w:p>
          <w:p w14:paraId="3F3ACE2D" w14:textId="2F363F66" w:rsidR="00BC0F71" w:rsidRPr="006128F6" w:rsidRDefault="004442B5" w:rsidP="006128F6">
            <w:pPr>
              <w:tabs>
                <w:tab w:val="clear" w:pos="567"/>
              </w:tabs>
              <w:spacing w:line="240" w:lineRule="auto"/>
              <w:rPr>
                <w:b/>
                <w:color w:val="000000"/>
                <w:szCs w:val="22"/>
                <w:lang w:eastAsia="en-GB"/>
              </w:rPr>
            </w:pPr>
            <w:r w:rsidRPr="006128F6">
              <w:rPr>
                <w:b/>
                <w:color w:val="000000"/>
                <w:szCs w:val="22"/>
                <w:lang w:eastAsia="en-GB"/>
              </w:rPr>
              <w:t>(95</w:t>
            </w:r>
            <w:r w:rsidR="000840CF" w:rsidRPr="006128F6">
              <w:rPr>
                <w:b/>
                <w:color w:val="000000"/>
                <w:szCs w:val="22"/>
                <w:lang w:eastAsia="en-GB"/>
              </w:rPr>
              <w:t>%</w:t>
            </w:r>
            <w:r w:rsidR="00BC0F71" w:rsidRPr="006128F6">
              <w:rPr>
                <w:b/>
                <w:color w:val="000000"/>
                <w:szCs w:val="22"/>
                <w:lang w:eastAsia="en-GB"/>
              </w:rPr>
              <w:t xml:space="preserve">CI) </w:t>
            </w:r>
          </w:p>
        </w:tc>
        <w:tc>
          <w:tcPr>
            <w:tcW w:w="1549" w:type="dxa"/>
            <w:shd w:val="clear" w:color="auto" w:fill="auto"/>
            <w:noWrap/>
            <w:hideMark/>
          </w:tcPr>
          <w:p w14:paraId="4E045B87" w14:textId="7777777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9.1</w:t>
            </w:r>
          </w:p>
          <w:p w14:paraId="18383950" w14:textId="7777777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(5.6-10.3)</w:t>
            </w:r>
          </w:p>
        </w:tc>
        <w:tc>
          <w:tcPr>
            <w:tcW w:w="1515" w:type="dxa"/>
            <w:shd w:val="clear" w:color="auto" w:fill="auto"/>
            <w:noWrap/>
            <w:hideMark/>
          </w:tcPr>
          <w:p w14:paraId="3FFB81C9" w14:textId="7777777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8.3</w:t>
            </w:r>
          </w:p>
          <w:p w14:paraId="2EAEE00D" w14:textId="7777777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(7.3-8.8)</w:t>
            </w:r>
          </w:p>
        </w:tc>
        <w:tc>
          <w:tcPr>
            <w:tcW w:w="1325" w:type="dxa"/>
            <w:shd w:val="clear" w:color="auto" w:fill="auto"/>
            <w:noWrap/>
            <w:hideMark/>
          </w:tcPr>
          <w:p w14:paraId="05D61902" w14:textId="7777777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4.6</w:t>
            </w:r>
          </w:p>
          <w:p w14:paraId="018A23BE" w14:textId="7777777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(3.7-7.4)</w:t>
            </w:r>
          </w:p>
        </w:tc>
        <w:tc>
          <w:tcPr>
            <w:tcW w:w="1423" w:type="dxa"/>
            <w:shd w:val="clear" w:color="auto" w:fill="auto"/>
            <w:noWrap/>
            <w:hideMark/>
          </w:tcPr>
          <w:p w14:paraId="2B89E47A" w14:textId="7777777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11.7</w:t>
            </w:r>
          </w:p>
          <w:p w14:paraId="640ED57D" w14:textId="7777777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(9.3–15.0)</w:t>
            </w:r>
          </w:p>
        </w:tc>
        <w:tc>
          <w:tcPr>
            <w:tcW w:w="1235" w:type="dxa"/>
            <w:shd w:val="clear" w:color="auto" w:fill="auto"/>
            <w:noWrap/>
            <w:hideMark/>
          </w:tcPr>
          <w:p w14:paraId="28211875" w14:textId="7777777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5.7</w:t>
            </w:r>
          </w:p>
          <w:p w14:paraId="18B3FBDA" w14:textId="7777777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(4.6-7.6)</w:t>
            </w:r>
          </w:p>
        </w:tc>
      </w:tr>
      <w:tr w:rsidR="004F3E6A" w:rsidRPr="006128F6" w14:paraId="74A40269" w14:textId="77777777" w:rsidTr="00700FCB">
        <w:trPr>
          <w:trHeight w:val="300"/>
        </w:trPr>
        <w:tc>
          <w:tcPr>
            <w:tcW w:w="2147" w:type="dxa"/>
            <w:shd w:val="clear" w:color="auto" w:fill="auto"/>
            <w:noWrap/>
            <w:vAlign w:val="bottom"/>
            <w:hideMark/>
          </w:tcPr>
          <w:p w14:paraId="4065DA78" w14:textId="3EF5C63A" w:rsidR="00BC0F71" w:rsidRPr="006128F6" w:rsidRDefault="004442B5" w:rsidP="006128F6">
            <w:pPr>
              <w:tabs>
                <w:tab w:val="clear" w:pos="567"/>
              </w:tabs>
              <w:spacing w:line="240" w:lineRule="auto"/>
              <w:rPr>
                <w:b/>
                <w:color w:val="000000"/>
                <w:szCs w:val="22"/>
                <w:lang w:eastAsia="en-GB"/>
              </w:rPr>
            </w:pPr>
            <w:r w:rsidRPr="006128F6">
              <w:rPr>
                <w:b/>
                <w:color w:val="000000"/>
                <w:szCs w:val="22"/>
                <w:lang w:eastAsia="en-GB"/>
              </w:rPr>
              <w:t>Median TTP (months) (95</w:t>
            </w:r>
            <w:r w:rsidR="000840CF" w:rsidRPr="006128F6">
              <w:rPr>
                <w:b/>
                <w:color w:val="000000"/>
                <w:szCs w:val="22"/>
                <w:lang w:eastAsia="en-GB"/>
              </w:rPr>
              <w:t>%</w:t>
            </w:r>
            <w:r w:rsidR="00BC0F71" w:rsidRPr="006128F6">
              <w:rPr>
                <w:b/>
                <w:color w:val="000000"/>
                <w:szCs w:val="22"/>
                <w:lang w:eastAsia="en-GB"/>
              </w:rPr>
              <w:t xml:space="preserve">CI) </w:t>
            </w:r>
          </w:p>
        </w:tc>
        <w:tc>
          <w:tcPr>
            <w:tcW w:w="1549" w:type="dxa"/>
            <w:shd w:val="clear" w:color="auto" w:fill="auto"/>
            <w:noWrap/>
            <w:hideMark/>
          </w:tcPr>
          <w:p w14:paraId="1E7AFCCC" w14:textId="7777777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3.2</w:t>
            </w:r>
          </w:p>
          <w:p w14:paraId="6F40D15C" w14:textId="7777777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(2.6-3.5)</w:t>
            </w:r>
          </w:p>
        </w:tc>
        <w:tc>
          <w:tcPr>
            <w:tcW w:w="1515" w:type="dxa"/>
            <w:shd w:val="clear" w:color="auto" w:fill="auto"/>
            <w:noWrap/>
            <w:hideMark/>
          </w:tcPr>
          <w:p w14:paraId="24AC998E" w14:textId="7777777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7.1</w:t>
            </w:r>
          </w:p>
          <w:p w14:paraId="0C8B9C0E" w14:textId="7777777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(6.2-12.0)</w:t>
            </w:r>
          </w:p>
        </w:tc>
        <w:tc>
          <w:tcPr>
            <w:tcW w:w="1325" w:type="dxa"/>
            <w:shd w:val="clear" w:color="auto" w:fill="auto"/>
            <w:noWrap/>
            <w:hideMark/>
          </w:tcPr>
          <w:p w14:paraId="62EE72CA" w14:textId="7777777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3.0</w:t>
            </w:r>
          </w:p>
          <w:p w14:paraId="70B6A7F1" w14:textId="7777777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(2.0-4.4)</w:t>
            </w:r>
          </w:p>
        </w:tc>
        <w:tc>
          <w:tcPr>
            <w:tcW w:w="1423" w:type="dxa"/>
            <w:shd w:val="clear" w:color="auto" w:fill="auto"/>
            <w:noWrap/>
            <w:hideMark/>
          </w:tcPr>
          <w:p w14:paraId="2A55AC5B" w14:textId="7777777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11.7</w:t>
            </w:r>
          </w:p>
          <w:p w14:paraId="33C1F6CD" w14:textId="7777777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(9.2-13.5)</w:t>
            </w:r>
          </w:p>
        </w:tc>
        <w:tc>
          <w:tcPr>
            <w:tcW w:w="1235" w:type="dxa"/>
            <w:shd w:val="clear" w:color="auto" w:fill="auto"/>
            <w:noWrap/>
            <w:hideMark/>
          </w:tcPr>
          <w:p w14:paraId="3325E4D9" w14:textId="7777777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6.1</w:t>
            </w:r>
          </w:p>
          <w:p w14:paraId="4FC93285" w14:textId="7777777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(5.4-7.2)</w:t>
            </w:r>
          </w:p>
        </w:tc>
      </w:tr>
      <w:tr w:rsidR="004F3E6A" w:rsidRPr="006128F6" w14:paraId="5DBCC84B" w14:textId="77777777" w:rsidTr="00700FCB">
        <w:trPr>
          <w:trHeight w:val="300"/>
        </w:trPr>
        <w:tc>
          <w:tcPr>
            <w:tcW w:w="2147" w:type="dxa"/>
            <w:shd w:val="clear" w:color="auto" w:fill="auto"/>
            <w:noWrap/>
            <w:hideMark/>
          </w:tcPr>
          <w:p w14:paraId="52FD7E23" w14:textId="4209C448" w:rsidR="00BC0F71" w:rsidRPr="006128F6" w:rsidRDefault="004442B5" w:rsidP="006128F6">
            <w:pPr>
              <w:tabs>
                <w:tab w:val="clear" w:pos="567"/>
              </w:tabs>
              <w:spacing w:line="240" w:lineRule="auto"/>
              <w:rPr>
                <w:b/>
                <w:color w:val="000000"/>
                <w:szCs w:val="22"/>
                <w:lang w:eastAsia="en-GB"/>
              </w:rPr>
            </w:pPr>
            <w:r w:rsidRPr="006128F6">
              <w:rPr>
                <w:b/>
                <w:color w:val="000000"/>
                <w:szCs w:val="22"/>
                <w:lang w:eastAsia="en-GB"/>
              </w:rPr>
              <w:t>Median Survival (months) (95</w:t>
            </w:r>
            <w:r w:rsidR="000840CF" w:rsidRPr="006128F6">
              <w:rPr>
                <w:b/>
                <w:color w:val="000000"/>
                <w:szCs w:val="22"/>
                <w:lang w:eastAsia="en-GB"/>
              </w:rPr>
              <w:t>%</w:t>
            </w:r>
            <w:r w:rsidR="00BC0F71" w:rsidRPr="006128F6">
              <w:rPr>
                <w:b/>
                <w:color w:val="000000"/>
                <w:szCs w:val="22"/>
                <w:lang w:eastAsia="en-GB"/>
              </w:rPr>
              <w:t xml:space="preserve">CI) </w:t>
            </w:r>
          </w:p>
        </w:tc>
        <w:tc>
          <w:tcPr>
            <w:tcW w:w="1549" w:type="dxa"/>
            <w:shd w:val="clear" w:color="auto" w:fill="auto"/>
            <w:noWrap/>
            <w:hideMark/>
          </w:tcPr>
          <w:p w14:paraId="61DCF8A1" w14:textId="7777777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16.4</w:t>
            </w:r>
          </w:p>
          <w:p w14:paraId="753B1240" w14:textId="7777777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(12.3-ne)</w:t>
            </w:r>
          </w:p>
        </w:tc>
        <w:tc>
          <w:tcPr>
            <w:tcW w:w="1515" w:type="dxa"/>
            <w:shd w:val="clear" w:color="auto" w:fill="auto"/>
            <w:noWrap/>
            <w:hideMark/>
          </w:tcPr>
          <w:p w14:paraId="76381250" w14:textId="7777777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24.8</w:t>
            </w:r>
          </w:p>
          <w:p w14:paraId="60238B02" w14:textId="7777777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(18.6-33.7)</w:t>
            </w:r>
          </w:p>
        </w:tc>
        <w:tc>
          <w:tcPr>
            <w:tcW w:w="1325" w:type="dxa"/>
            <w:shd w:val="clear" w:color="auto" w:fill="auto"/>
            <w:noWrap/>
            <w:hideMark/>
          </w:tcPr>
          <w:p w14:paraId="4E98C6FC" w14:textId="7777777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17.9</w:t>
            </w:r>
          </w:p>
          <w:p w14:paraId="561683AB" w14:textId="7777777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(11.2-23.8)</w:t>
            </w:r>
          </w:p>
        </w:tc>
        <w:tc>
          <w:tcPr>
            <w:tcW w:w="1423" w:type="dxa"/>
            <w:shd w:val="clear" w:color="auto" w:fill="auto"/>
            <w:noWrap/>
            <w:hideMark/>
          </w:tcPr>
          <w:p w14:paraId="38C613F5" w14:textId="7777777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31.2</w:t>
            </w:r>
          </w:p>
          <w:p w14:paraId="21F879DE" w14:textId="7777777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(27.3-40.8)</w:t>
            </w:r>
          </w:p>
        </w:tc>
        <w:tc>
          <w:tcPr>
            <w:tcW w:w="1235" w:type="dxa"/>
            <w:shd w:val="clear" w:color="auto" w:fill="auto"/>
            <w:noWrap/>
            <w:hideMark/>
          </w:tcPr>
          <w:p w14:paraId="546807A6" w14:textId="7777777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22.74</w:t>
            </w:r>
          </w:p>
          <w:p w14:paraId="35FA4884" w14:textId="77777777" w:rsidR="00BC0F71" w:rsidRPr="006128F6" w:rsidRDefault="00BC0F71" w:rsidP="006128F6">
            <w:pPr>
              <w:tabs>
                <w:tab w:val="clear" w:pos="567"/>
              </w:tabs>
              <w:spacing w:line="240" w:lineRule="auto"/>
              <w:jc w:val="center"/>
              <w:rPr>
                <w:color w:val="000000"/>
                <w:szCs w:val="22"/>
                <w:lang w:eastAsia="en-GB"/>
              </w:rPr>
            </w:pPr>
            <w:r w:rsidRPr="006128F6">
              <w:rPr>
                <w:color w:val="000000"/>
                <w:szCs w:val="22"/>
                <w:lang w:eastAsia="en-GB"/>
              </w:rPr>
              <w:t>(19.1-30.8)</w:t>
            </w:r>
          </w:p>
        </w:tc>
      </w:tr>
    </w:tbl>
    <w:p w14:paraId="2E5CC501" w14:textId="77777777" w:rsidR="00BC0F71" w:rsidRPr="00CE427E" w:rsidRDefault="00BC0F71" w:rsidP="006128F6">
      <w:pPr>
        <w:tabs>
          <w:tab w:val="clear" w:pos="567"/>
        </w:tabs>
        <w:autoSpaceDE w:val="0"/>
        <w:autoSpaceDN w:val="0"/>
        <w:adjustRightInd w:val="0"/>
        <w:spacing w:line="240" w:lineRule="auto"/>
        <w:rPr>
          <w:rFonts w:eastAsia="Calibri"/>
          <w:sz w:val="20"/>
        </w:rPr>
      </w:pPr>
      <w:r w:rsidRPr="00CE427E">
        <w:rPr>
          <w:rFonts w:eastAsia="Calibri"/>
          <w:sz w:val="20"/>
        </w:rPr>
        <w:t>TTP = time to progression; "ne" indicates that it could not be estimated or it was not yet reached.</w:t>
      </w:r>
    </w:p>
    <w:p w14:paraId="37FE9673" w14:textId="07B98583" w:rsidR="00BC0F71" w:rsidRPr="00CE427E" w:rsidRDefault="00BC0F71" w:rsidP="006128F6">
      <w:pPr>
        <w:tabs>
          <w:tab w:val="clear" w:pos="567"/>
        </w:tabs>
        <w:autoSpaceDE w:val="0"/>
        <w:autoSpaceDN w:val="0"/>
        <w:adjustRightInd w:val="0"/>
        <w:spacing w:line="240" w:lineRule="auto"/>
        <w:rPr>
          <w:rFonts w:eastAsia="Calibri"/>
          <w:sz w:val="20"/>
        </w:rPr>
      </w:pPr>
      <w:r w:rsidRPr="00CE427E">
        <w:rPr>
          <w:rFonts w:eastAsia="Calibri"/>
          <w:sz w:val="20"/>
        </w:rPr>
        <w:t>1. Study H0649g: IHC3+ patient subset</w:t>
      </w:r>
    </w:p>
    <w:p w14:paraId="3CDE8083" w14:textId="22BC39AD" w:rsidR="00BC0F71" w:rsidRPr="00CE427E" w:rsidRDefault="00BC0F71" w:rsidP="006128F6">
      <w:pPr>
        <w:tabs>
          <w:tab w:val="clear" w:pos="567"/>
        </w:tabs>
        <w:autoSpaceDE w:val="0"/>
        <w:autoSpaceDN w:val="0"/>
        <w:adjustRightInd w:val="0"/>
        <w:spacing w:line="240" w:lineRule="auto"/>
        <w:rPr>
          <w:rFonts w:eastAsia="Calibri"/>
          <w:sz w:val="20"/>
        </w:rPr>
      </w:pPr>
      <w:r w:rsidRPr="00CE427E">
        <w:rPr>
          <w:rFonts w:eastAsia="Calibri"/>
          <w:sz w:val="20"/>
        </w:rPr>
        <w:t>2. Study H0648g: IHC3+ patient subset</w:t>
      </w:r>
    </w:p>
    <w:p w14:paraId="3EF4E70C" w14:textId="7BD2685E" w:rsidR="00E44223" w:rsidRPr="006128F6" w:rsidRDefault="00BC0F71" w:rsidP="006128F6">
      <w:pPr>
        <w:spacing w:line="240" w:lineRule="auto"/>
        <w:ind w:left="561" w:hanging="561"/>
        <w:outlineLvl w:val="0"/>
        <w:rPr>
          <w:b/>
          <w:sz w:val="20"/>
        </w:rPr>
      </w:pPr>
      <w:r w:rsidRPr="00CE427E">
        <w:rPr>
          <w:rFonts w:eastAsia="Calibri"/>
          <w:sz w:val="20"/>
        </w:rPr>
        <w:t>3. Study M77001: Full analysis set (intent-to-treat), 24 months results</w:t>
      </w:r>
    </w:p>
    <w:p w14:paraId="54509FCF" w14:textId="77777777" w:rsidR="00E44223" w:rsidRPr="006128F6" w:rsidRDefault="00E44223" w:rsidP="006128F6">
      <w:pPr>
        <w:spacing w:line="240" w:lineRule="auto"/>
        <w:ind w:left="561" w:hanging="561"/>
        <w:outlineLvl w:val="0"/>
        <w:rPr>
          <w:b/>
          <w:szCs w:val="22"/>
        </w:rPr>
      </w:pPr>
    </w:p>
    <w:p w14:paraId="340FA9FB" w14:textId="77777777" w:rsidR="00BC0F71" w:rsidRPr="00CE427E" w:rsidRDefault="00BC0F71" w:rsidP="006128F6">
      <w:pPr>
        <w:tabs>
          <w:tab w:val="clear" w:pos="567"/>
        </w:tabs>
        <w:autoSpaceDE w:val="0"/>
        <w:autoSpaceDN w:val="0"/>
        <w:adjustRightInd w:val="0"/>
        <w:spacing w:line="240" w:lineRule="auto"/>
        <w:rPr>
          <w:rFonts w:eastAsia="Calibri"/>
          <w:i/>
          <w:iCs/>
          <w:szCs w:val="22"/>
        </w:rPr>
      </w:pPr>
      <w:r w:rsidRPr="00CE427E">
        <w:rPr>
          <w:rFonts w:eastAsia="Calibri"/>
          <w:i/>
          <w:iCs/>
          <w:szCs w:val="22"/>
        </w:rPr>
        <w:t xml:space="preserve">Combination treatment with </w:t>
      </w:r>
      <w:r w:rsidR="004F3E6A" w:rsidRPr="00CE427E">
        <w:rPr>
          <w:rFonts w:eastAsia="Calibri"/>
          <w:i/>
          <w:iCs/>
          <w:szCs w:val="22"/>
        </w:rPr>
        <w:t>trastuzumab</w:t>
      </w:r>
      <w:r w:rsidRPr="00CE427E">
        <w:rPr>
          <w:rFonts w:eastAsia="Calibri"/>
          <w:i/>
          <w:iCs/>
          <w:szCs w:val="22"/>
        </w:rPr>
        <w:t xml:space="preserve"> and anastrozole</w:t>
      </w:r>
    </w:p>
    <w:p w14:paraId="57F8DD98" w14:textId="612FBA56" w:rsidR="00BC0F71" w:rsidRPr="00CE427E" w:rsidRDefault="005613F7" w:rsidP="006128F6">
      <w:pPr>
        <w:tabs>
          <w:tab w:val="clear" w:pos="567"/>
        </w:tabs>
        <w:autoSpaceDE w:val="0"/>
        <w:autoSpaceDN w:val="0"/>
        <w:adjustRightInd w:val="0"/>
        <w:spacing w:line="240" w:lineRule="auto"/>
        <w:rPr>
          <w:rFonts w:eastAsia="Calibri"/>
          <w:szCs w:val="22"/>
        </w:rPr>
      </w:pPr>
      <w:r w:rsidRPr="00CE427E">
        <w:rPr>
          <w:rFonts w:eastAsia="Calibri"/>
          <w:szCs w:val="22"/>
        </w:rPr>
        <w:t>T</w:t>
      </w:r>
      <w:r w:rsidR="004F3E6A" w:rsidRPr="00CE427E">
        <w:rPr>
          <w:rFonts w:eastAsia="Calibri"/>
          <w:szCs w:val="22"/>
        </w:rPr>
        <w:t>rastuzumab</w:t>
      </w:r>
      <w:r w:rsidR="00BC0F71" w:rsidRPr="00CE427E">
        <w:rPr>
          <w:rFonts w:eastAsia="Calibri"/>
          <w:szCs w:val="22"/>
        </w:rPr>
        <w:t xml:space="preserve"> has been studied in combination with anastrozole for firs</w:t>
      </w:r>
      <w:r w:rsidR="00A94A44" w:rsidRPr="00CE427E">
        <w:rPr>
          <w:rFonts w:eastAsia="Calibri"/>
          <w:szCs w:val="22"/>
        </w:rPr>
        <w:t>t line treatment of MBC in HER2 overexpressing, hormone</w:t>
      </w:r>
      <w:r w:rsidR="00A94A44" w:rsidRPr="00CE427E">
        <w:rPr>
          <w:rFonts w:eastAsia="Calibri"/>
          <w:szCs w:val="22"/>
        </w:rPr>
        <w:noBreakHyphen/>
      </w:r>
      <w:r w:rsidR="00BC0F71" w:rsidRPr="00CE427E">
        <w:rPr>
          <w:rFonts w:eastAsia="Calibri"/>
          <w:szCs w:val="22"/>
        </w:rPr>
        <w:t xml:space="preserve">receptor (i.e. </w:t>
      </w:r>
      <w:r w:rsidR="00B607F6">
        <w:rPr>
          <w:rFonts w:eastAsia="Calibri"/>
          <w:szCs w:val="22"/>
        </w:rPr>
        <w:t>o</w:t>
      </w:r>
      <w:r w:rsidR="00A94A44" w:rsidRPr="00CE427E">
        <w:rPr>
          <w:rFonts w:eastAsia="Calibri"/>
          <w:szCs w:val="22"/>
        </w:rPr>
        <w:t>estrogen</w:t>
      </w:r>
      <w:r w:rsidR="00A94A44" w:rsidRPr="00CE427E">
        <w:rPr>
          <w:rFonts w:eastAsia="Calibri"/>
          <w:szCs w:val="22"/>
        </w:rPr>
        <w:noBreakHyphen/>
      </w:r>
      <w:r w:rsidR="00BC0F71" w:rsidRPr="00CE427E">
        <w:rPr>
          <w:rFonts w:eastAsia="Calibri"/>
          <w:szCs w:val="22"/>
        </w:rPr>
        <w:t>receptor (ER) and</w:t>
      </w:r>
      <w:r w:rsidR="00A94A44" w:rsidRPr="00CE427E">
        <w:rPr>
          <w:rFonts w:eastAsia="Calibri"/>
          <w:szCs w:val="22"/>
        </w:rPr>
        <w:t xml:space="preserve">/or progesterone-receptor (PR)) </w:t>
      </w:r>
      <w:r w:rsidR="00BC0F71" w:rsidRPr="00CE427E">
        <w:rPr>
          <w:rFonts w:eastAsia="Calibri"/>
          <w:szCs w:val="22"/>
        </w:rPr>
        <w:t>positive postmenopausal patients. Progression free survival wa</w:t>
      </w:r>
      <w:r w:rsidR="00A94A44" w:rsidRPr="00CE427E">
        <w:rPr>
          <w:rFonts w:eastAsia="Calibri"/>
          <w:szCs w:val="22"/>
        </w:rPr>
        <w:t xml:space="preserve">s doubled in the </w:t>
      </w:r>
      <w:r w:rsidR="004F3E6A" w:rsidRPr="00CE427E">
        <w:rPr>
          <w:rFonts w:eastAsia="Calibri"/>
          <w:szCs w:val="22"/>
        </w:rPr>
        <w:t>trastuzumab</w:t>
      </w:r>
      <w:r w:rsidR="00A94A44" w:rsidRPr="00CE427E">
        <w:rPr>
          <w:rFonts w:eastAsia="Calibri"/>
          <w:szCs w:val="22"/>
        </w:rPr>
        <w:t xml:space="preserve"> plus </w:t>
      </w:r>
      <w:r w:rsidR="00BC0F71" w:rsidRPr="00CE427E">
        <w:rPr>
          <w:rFonts w:eastAsia="Calibri"/>
          <w:szCs w:val="22"/>
        </w:rPr>
        <w:t>anastrozole a</w:t>
      </w:r>
      <w:r w:rsidR="00A94A44" w:rsidRPr="00CE427E">
        <w:rPr>
          <w:rFonts w:eastAsia="Calibri"/>
          <w:szCs w:val="22"/>
        </w:rPr>
        <w:t>rm compared to anastrozole (4.8 months versus 2.4 </w:t>
      </w:r>
      <w:r w:rsidR="00BC0F71" w:rsidRPr="00CE427E">
        <w:rPr>
          <w:rFonts w:eastAsia="Calibri"/>
          <w:szCs w:val="22"/>
        </w:rPr>
        <w:t>months</w:t>
      </w:r>
      <w:r w:rsidR="00A94A44" w:rsidRPr="00CE427E">
        <w:rPr>
          <w:rFonts w:eastAsia="Calibri"/>
          <w:szCs w:val="22"/>
        </w:rPr>
        <w:t xml:space="preserve">). For the other parameters the </w:t>
      </w:r>
      <w:r w:rsidR="00BC0F71" w:rsidRPr="00CE427E">
        <w:rPr>
          <w:rFonts w:eastAsia="Calibri"/>
          <w:szCs w:val="22"/>
        </w:rPr>
        <w:t xml:space="preserve">improvements seen for the combination </w:t>
      </w:r>
      <w:r w:rsidR="00A94A44" w:rsidRPr="00CE427E">
        <w:rPr>
          <w:rFonts w:eastAsia="Calibri"/>
          <w:szCs w:val="22"/>
        </w:rPr>
        <w:t>were for overall response (16.5</w:t>
      </w:r>
      <w:r w:rsidR="000840CF" w:rsidRPr="00CE427E">
        <w:rPr>
          <w:rFonts w:eastAsia="Calibri"/>
          <w:szCs w:val="22"/>
        </w:rPr>
        <w:t>%</w:t>
      </w:r>
      <w:r w:rsidR="00BC0F71" w:rsidRPr="00CE427E">
        <w:rPr>
          <w:rFonts w:eastAsia="Calibri"/>
          <w:szCs w:val="22"/>
        </w:rPr>
        <w:t xml:space="preserve"> versu</w:t>
      </w:r>
      <w:r w:rsidR="00A94A44" w:rsidRPr="00CE427E">
        <w:rPr>
          <w:rFonts w:eastAsia="Calibri"/>
          <w:szCs w:val="22"/>
        </w:rPr>
        <w:t>s 6.7</w:t>
      </w:r>
      <w:r w:rsidR="000840CF" w:rsidRPr="00CE427E">
        <w:rPr>
          <w:rFonts w:eastAsia="Calibri"/>
          <w:szCs w:val="22"/>
        </w:rPr>
        <w:t>%</w:t>
      </w:r>
      <w:r w:rsidR="00A94A44" w:rsidRPr="00CE427E">
        <w:rPr>
          <w:rFonts w:eastAsia="Calibri"/>
          <w:szCs w:val="22"/>
        </w:rPr>
        <w:t>); clinical benefit rate (42.7</w:t>
      </w:r>
      <w:r w:rsidR="000840CF" w:rsidRPr="00CE427E">
        <w:rPr>
          <w:rFonts w:eastAsia="Calibri"/>
          <w:szCs w:val="22"/>
        </w:rPr>
        <w:t>%</w:t>
      </w:r>
      <w:r w:rsidR="00A94A44" w:rsidRPr="00CE427E">
        <w:rPr>
          <w:rFonts w:eastAsia="Calibri"/>
          <w:szCs w:val="22"/>
        </w:rPr>
        <w:t xml:space="preserve"> versus 27.9</w:t>
      </w:r>
      <w:r w:rsidR="000840CF" w:rsidRPr="00CE427E">
        <w:rPr>
          <w:rFonts w:eastAsia="Calibri"/>
          <w:szCs w:val="22"/>
        </w:rPr>
        <w:t>%</w:t>
      </w:r>
      <w:r w:rsidR="00A94A44" w:rsidRPr="00CE427E">
        <w:rPr>
          <w:rFonts w:eastAsia="Calibri"/>
          <w:szCs w:val="22"/>
        </w:rPr>
        <w:t xml:space="preserve">); time to progression (4.8 months versus 2.4 months). For time to </w:t>
      </w:r>
      <w:r w:rsidR="00BC0F71" w:rsidRPr="00CE427E">
        <w:rPr>
          <w:rFonts w:eastAsia="Calibri"/>
          <w:szCs w:val="22"/>
        </w:rPr>
        <w:t>response and duration of response no difference could be recorded between the arms. The median</w:t>
      </w:r>
      <w:r w:rsidR="00A94A44" w:rsidRPr="00CE427E">
        <w:rPr>
          <w:rFonts w:eastAsia="Calibri"/>
          <w:szCs w:val="22"/>
        </w:rPr>
        <w:t xml:space="preserve"> </w:t>
      </w:r>
      <w:r w:rsidR="00BC0F71" w:rsidRPr="00CE427E">
        <w:rPr>
          <w:rFonts w:eastAsia="Calibri"/>
          <w:szCs w:val="22"/>
        </w:rPr>
        <w:t>overa</w:t>
      </w:r>
      <w:r w:rsidR="00A94A44" w:rsidRPr="00CE427E">
        <w:rPr>
          <w:rFonts w:eastAsia="Calibri"/>
          <w:szCs w:val="22"/>
        </w:rPr>
        <w:t>ll survival was extended by 4.6 </w:t>
      </w:r>
      <w:r w:rsidR="00BC0F71" w:rsidRPr="00CE427E">
        <w:rPr>
          <w:rFonts w:eastAsia="Calibri"/>
          <w:szCs w:val="22"/>
        </w:rPr>
        <w:t>months for patients in the comb</w:t>
      </w:r>
      <w:r w:rsidR="00A94A44" w:rsidRPr="00CE427E">
        <w:rPr>
          <w:rFonts w:eastAsia="Calibri"/>
          <w:szCs w:val="22"/>
        </w:rPr>
        <w:t xml:space="preserve">ination arm. The difference was </w:t>
      </w:r>
      <w:r w:rsidR="00BC0F71" w:rsidRPr="00CE427E">
        <w:rPr>
          <w:rFonts w:eastAsia="Calibri"/>
          <w:szCs w:val="22"/>
        </w:rPr>
        <w:t>not statistically significant, however more than half of the patien</w:t>
      </w:r>
      <w:r w:rsidR="00A94A44" w:rsidRPr="00CE427E">
        <w:rPr>
          <w:rFonts w:eastAsia="Calibri"/>
          <w:szCs w:val="22"/>
        </w:rPr>
        <w:t xml:space="preserve">ts in the anastrozole alone arm </w:t>
      </w:r>
      <w:r w:rsidR="00BC0F71" w:rsidRPr="00CE427E">
        <w:rPr>
          <w:rFonts w:eastAsia="Calibri"/>
          <w:szCs w:val="22"/>
        </w:rPr>
        <w:t xml:space="preserve">crossed over to a </w:t>
      </w:r>
      <w:r w:rsidR="004F3E6A" w:rsidRPr="00CE427E">
        <w:rPr>
          <w:rFonts w:eastAsia="Calibri"/>
          <w:szCs w:val="22"/>
        </w:rPr>
        <w:t>trastuzumab</w:t>
      </w:r>
      <w:r w:rsidR="00BC0F71" w:rsidRPr="00CE427E">
        <w:rPr>
          <w:rFonts w:eastAsia="Calibri"/>
          <w:szCs w:val="22"/>
        </w:rPr>
        <w:t xml:space="preserve"> containing regimen after progression of disease.</w:t>
      </w:r>
    </w:p>
    <w:p w14:paraId="015A0124" w14:textId="77777777" w:rsidR="00A94A44" w:rsidRPr="00CE427E" w:rsidRDefault="00A94A44" w:rsidP="006128F6">
      <w:pPr>
        <w:tabs>
          <w:tab w:val="clear" w:pos="567"/>
        </w:tabs>
        <w:autoSpaceDE w:val="0"/>
        <w:autoSpaceDN w:val="0"/>
        <w:adjustRightInd w:val="0"/>
        <w:spacing w:line="240" w:lineRule="auto"/>
        <w:rPr>
          <w:rFonts w:eastAsia="Calibri"/>
          <w:i/>
          <w:iCs/>
          <w:szCs w:val="22"/>
        </w:rPr>
      </w:pPr>
    </w:p>
    <w:p w14:paraId="74EA6B49" w14:textId="77777777" w:rsidR="00BC0F71" w:rsidRPr="00CE427E" w:rsidRDefault="00BC0F71" w:rsidP="005477BB">
      <w:pPr>
        <w:tabs>
          <w:tab w:val="clear" w:pos="567"/>
        </w:tabs>
        <w:autoSpaceDE w:val="0"/>
        <w:autoSpaceDN w:val="0"/>
        <w:adjustRightInd w:val="0"/>
        <w:spacing w:line="240" w:lineRule="auto"/>
        <w:rPr>
          <w:rFonts w:eastAsia="Calibri"/>
          <w:i/>
          <w:iCs/>
          <w:szCs w:val="22"/>
        </w:rPr>
      </w:pPr>
      <w:r w:rsidRPr="00CE427E">
        <w:rPr>
          <w:rFonts w:eastAsia="Calibri"/>
          <w:i/>
          <w:iCs/>
          <w:szCs w:val="22"/>
        </w:rPr>
        <w:t>Thr</w:t>
      </w:r>
      <w:r w:rsidR="00A94A44" w:rsidRPr="00CE427E">
        <w:rPr>
          <w:rFonts w:eastAsia="Calibri"/>
          <w:i/>
          <w:iCs/>
          <w:szCs w:val="22"/>
        </w:rPr>
        <w:t>ee</w:t>
      </w:r>
      <w:r w:rsidR="00A94A44" w:rsidRPr="00CE427E">
        <w:rPr>
          <w:rFonts w:eastAsia="Calibri"/>
          <w:i/>
          <w:iCs/>
          <w:szCs w:val="22"/>
        </w:rPr>
        <w:noBreakHyphen/>
      </w:r>
      <w:r w:rsidRPr="00CE427E">
        <w:rPr>
          <w:rFonts w:eastAsia="Calibri"/>
          <w:i/>
          <w:iCs/>
          <w:szCs w:val="22"/>
        </w:rPr>
        <w:t>weekly dosing in metastatic breast cancer</w:t>
      </w:r>
    </w:p>
    <w:p w14:paraId="6022CBFA" w14:textId="2DC7B667" w:rsidR="00BC0F71" w:rsidRPr="00CE427E" w:rsidRDefault="00BC0F71" w:rsidP="005477BB">
      <w:pPr>
        <w:tabs>
          <w:tab w:val="clear" w:pos="567"/>
        </w:tabs>
        <w:autoSpaceDE w:val="0"/>
        <w:autoSpaceDN w:val="0"/>
        <w:adjustRightInd w:val="0"/>
        <w:spacing w:line="240" w:lineRule="auto"/>
        <w:rPr>
          <w:rFonts w:eastAsia="Calibri"/>
          <w:szCs w:val="22"/>
        </w:rPr>
      </w:pPr>
      <w:r w:rsidRPr="00CE427E">
        <w:rPr>
          <w:rFonts w:eastAsia="Calibri"/>
          <w:szCs w:val="22"/>
        </w:rPr>
        <w:t>Th</w:t>
      </w:r>
      <w:r w:rsidR="00A94A44" w:rsidRPr="00CE427E">
        <w:rPr>
          <w:rFonts w:eastAsia="Calibri"/>
          <w:szCs w:val="22"/>
        </w:rPr>
        <w:t>e efficacy results from the non</w:t>
      </w:r>
      <w:r w:rsidR="00A94A44" w:rsidRPr="00CE427E">
        <w:rPr>
          <w:rFonts w:eastAsia="Calibri"/>
          <w:szCs w:val="22"/>
        </w:rPr>
        <w:noBreakHyphen/>
      </w:r>
      <w:r w:rsidRPr="00CE427E">
        <w:rPr>
          <w:rFonts w:eastAsia="Calibri"/>
          <w:szCs w:val="22"/>
        </w:rPr>
        <w:t xml:space="preserve">comparative monotherapy and </w:t>
      </w:r>
      <w:r w:rsidR="00A94A44" w:rsidRPr="00CE427E">
        <w:rPr>
          <w:rFonts w:eastAsia="Calibri"/>
          <w:szCs w:val="22"/>
        </w:rPr>
        <w:t xml:space="preserve">combination therapy studies are </w:t>
      </w:r>
      <w:r w:rsidRPr="00CE427E">
        <w:rPr>
          <w:rFonts w:eastAsia="Calibri"/>
          <w:szCs w:val="22"/>
        </w:rPr>
        <w:t xml:space="preserve">summarised in </w:t>
      </w:r>
      <w:r w:rsidR="007519ED" w:rsidRPr="00CE427E">
        <w:rPr>
          <w:rFonts w:eastAsia="Calibri"/>
          <w:szCs w:val="22"/>
        </w:rPr>
        <w:t>t</w:t>
      </w:r>
      <w:r w:rsidRPr="00CE427E">
        <w:rPr>
          <w:rFonts w:eastAsia="Calibri"/>
          <w:szCs w:val="22"/>
        </w:rPr>
        <w:t>able</w:t>
      </w:r>
      <w:r w:rsidR="00124A46" w:rsidRPr="00CE427E">
        <w:rPr>
          <w:rFonts w:eastAsia="Calibri"/>
          <w:szCs w:val="22"/>
        </w:rPr>
        <w:t> </w:t>
      </w:r>
      <w:r w:rsidRPr="00CE427E">
        <w:rPr>
          <w:rFonts w:eastAsia="Calibri"/>
          <w:szCs w:val="22"/>
        </w:rPr>
        <w:t>5:</w:t>
      </w:r>
    </w:p>
    <w:p w14:paraId="31F80FF6" w14:textId="77777777" w:rsidR="00A94A44" w:rsidRPr="00CE427E" w:rsidRDefault="00A94A44" w:rsidP="005477BB">
      <w:pPr>
        <w:spacing w:line="240" w:lineRule="auto"/>
        <w:ind w:left="561" w:hanging="561"/>
        <w:outlineLvl w:val="0"/>
        <w:rPr>
          <w:rFonts w:eastAsia="Calibri"/>
          <w:szCs w:val="22"/>
        </w:rPr>
      </w:pPr>
    </w:p>
    <w:p w14:paraId="1489178D" w14:textId="77777777" w:rsidR="00E44223" w:rsidRPr="006128F6" w:rsidRDefault="00BC0F71" w:rsidP="006128F6">
      <w:pPr>
        <w:keepNext/>
        <w:keepLines/>
        <w:tabs>
          <w:tab w:val="clear" w:pos="567"/>
          <w:tab w:val="left" w:pos="0"/>
        </w:tabs>
        <w:spacing w:line="240" w:lineRule="auto"/>
        <w:outlineLvl w:val="0"/>
        <w:rPr>
          <w:b/>
          <w:szCs w:val="22"/>
        </w:rPr>
      </w:pPr>
      <w:r w:rsidRPr="00CE427E">
        <w:rPr>
          <w:rFonts w:eastAsia="Calibri"/>
          <w:b/>
          <w:szCs w:val="22"/>
        </w:rPr>
        <w:lastRenderedPageBreak/>
        <w:t xml:space="preserve">Table 5 Efficacy </w:t>
      </w:r>
      <w:r w:rsidR="00A94A44" w:rsidRPr="00CE427E">
        <w:rPr>
          <w:rFonts w:eastAsia="Calibri"/>
          <w:b/>
          <w:szCs w:val="22"/>
        </w:rPr>
        <w:t>r</w:t>
      </w:r>
      <w:r w:rsidRPr="00CE427E">
        <w:rPr>
          <w:rFonts w:eastAsia="Calibri"/>
          <w:b/>
          <w:szCs w:val="22"/>
        </w:rPr>
        <w:t xml:space="preserve">esults from the </w:t>
      </w:r>
      <w:r w:rsidR="003566B3" w:rsidRPr="00CE427E">
        <w:rPr>
          <w:rFonts w:eastAsia="Calibri"/>
          <w:b/>
          <w:szCs w:val="22"/>
        </w:rPr>
        <w:t>n</w:t>
      </w:r>
      <w:r w:rsidRPr="00CE427E">
        <w:rPr>
          <w:rFonts w:eastAsia="Calibri"/>
          <w:b/>
          <w:szCs w:val="22"/>
        </w:rPr>
        <w:t>on-</w:t>
      </w:r>
      <w:r w:rsidR="003566B3" w:rsidRPr="00CE427E">
        <w:rPr>
          <w:rFonts w:eastAsia="Calibri"/>
          <w:b/>
          <w:szCs w:val="22"/>
        </w:rPr>
        <w:t>c</w:t>
      </w:r>
      <w:r w:rsidRPr="00CE427E">
        <w:rPr>
          <w:rFonts w:eastAsia="Calibri"/>
          <w:b/>
          <w:szCs w:val="22"/>
        </w:rPr>
        <w:t xml:space="preserve">omparative </w:t>
      </w:r>
      <w:r w:rsidR="003566B3" w:rsidRPr="00CE427E">
        <w:rPr>
          <w:rFonts w:eastAsia="Calibri"/>
          <w:b/>
          <w:szCs w:val="22"/>
        </w:rPr>
        <w:t>m</w:t>
      </w:r>
      <w:r w:rsidRPr="00CE427E">
        <w:rPr>
          <w:rFonts w:eastAsia="Calibri"/>
          <w:b/>
          <w:szCs w:val="22"/>
        </w:rPr>
        <w:t xml:space="preserve">onotherapy and </w:t>
      </w:r>
      <w:r w:rsidR="003566B3" w:rsidRPr="00CE427E">
        <w:rPr>
          <w:rFonts w:eastAsia="Calibri"/>
          <w:b/>
          <w:szCs w:val="22"/>
        </w:rPr>
        <w:t>c</w:t>
      </w:r>
      <w:r w:rsidRPr="00CE427E">
        <w:rPr>
          <w:rFonts w:eastAsia="Calibri"/>
          <w:b/>
          <w:szCs w:val="22"/>
        </w:rPr>
        <w:t xml:space="preserve">ombination </w:t>
      </w:r>
      <w:r w:rsidR="003566B3" w:rsidRPr="00CE427E">
        <w:rPr>
          <w:rFonts w:eastAsia="Calibri"/>
          <w:b/>
          <w:szCs w:val="22"/>
        </w:rPr>
        <w:t>t</w:t>
      </w:r>
      <w:r w:rsidRPr="00CE427E">
        <w:rPr>
          <w:rFonts w:eastAsia="Calibri"/>
          <w:b/>
          <w:szCs w:val="22"/>
        </w:rPr>
        <w:t xml:space="preserve">herapy </w:t>
      </w:r>
      <w:r w:rsidR="003566B3" w:rsidRPr="00CE427E">
        <w:rPr>
          <w:rFonts w:eastAsia="Calibri"/>
          <w:b/>
          <w:szCs w:val="22"/>
        </w:rPr>
        <w:t>s</w:t>
      </w:r>
      <w:r w:rsidRPr="00CE427E">
        <w:rPr>
          <w:rFonts w:eastAsia="Calibri"/>
          <w:b/>
          <w:szCs w:val="22"/>
        </w:rPr>
        <w:t>tudies</w:t>
      </w:r>
    </w:p>
    <w:p w14:paraId="6A594520" w14:textId="77777777" w:rsidR="004641E9" w:rsidRPr="006128F6" w:rsidRDefault="004641E9" w:rsidP="006128F6">
      <w:pPr>
        <w:keepNext/>
        <w:keepLines/>
        <w:spacing w:line="240" w:lineRule="auto"/>
        <w:ind w:left="562" w:hanging="562"/>
        <w:outlineLvl w:val="0"/>
        <w:rPr>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582"/>
        <w:gridCol w:w="1697"/>
        <w:gridCol w:w="1669"/>
        <w:gridCol w:w="1516"/>
        <w:gridCol w:w="1667"/>
      </w:tblGrid>
      <w:tr w:rsidR="004641E9" w:rsidRPr="006128F6" w14:paraId="00269ACD" w14:textId="77777777" w:rsidTr="008B2AA4">
        <w:trPr>
          <w:trHeight w:val="290"/>
        </w:trPr>
        <w:tc>
          <w:tcPr>
            <w:tcW w:w="1414" w:type="pct"/>
          </w:tcPr>
          <w:p w14:paraId="7DBDD2B5" w14:textId="77777777" w:rsidR="004641E9" w:rsidRPr="00CE427E" w:rsidRDefault="004641E9" w:rsidP="006128F6">
            <w:pPr>
              <w:keepNext/>
              <w:keepLines/>
              <w:tabs>
                <w:tab w:val="clear" w:pos="567"/>
              </w:tabs>
              <w:autoSpaceDE w:val="0"/>
              <w:autoSpaceDN w:val="0"/>
              <w:adjustRightInd w:val="0"/>
              <w:spacing w:line="240" w:lineRule="auto"/>
              <w:rPr>
                <w:rFonts w:eastAsia="Calibri"/>
                <w:b/>
                <w:color w:val="000000"/>
                <w:szCs w:val="22"/>
              </w:rPr>
            </w:pPr>
            <w:r w:rsidRPr="00CE427E">
              <w:rPr>
                <w:rFonts w:eastAsia="Calibri"/>
                <w:b/>
                <w:color w:val="000000"/>
                <w:szCs w:val="22"/>
              </w:rPr>
              <w:t>Parameter</w:t>
            </w:r>
          </w:p>
        </w:tc>
        <w:tc>
          <w:tcPr>
            <w:tcW w:w="1843" w:type="pct"/>
            <w:gridSpan w:val="2"/>
          </w:tcPr>
          <w:p w14:paraId="76497425" w14:textId="77777777" w:rsidR="004641E9" w:rsidRPr="00CE427E" w:rsidRDefault="004641E9" w:rsidP="006128F6">
            <w:pPr>
              <w:keepNext/>
              <w:keepLines/>
              <w:tabs>
                <w:tab w:val="clear" w:pos="567"/>
              </w:tabs>
              <w:autoSpaceDE w:val="0"/>
              <w:autoSpaceDN w:val="0"/>
              <w:adjustRightInd w:val="0"/>
              <w:spacing w:line="240" w:lineRule="auto"/>
              <w:jc w:val="center"/>
              <w:rPr>
                <w:rFonts w:eastAsia="Calibri"/>
                <w:b/>
                <w:color w:val="000000"/>
                <w:szCs w:val="22"/>
              </w:rPr>
            </w:pPr>
            <w:r w:rsidRPr="00CE427E">
              <w:rPr>
                <w:rFonts w:eastAsia="Calibri"/>
                <w:b/>
                <w:color w:val="000000"/>
                <w:szCs w:val="22"/>
              </w:rPr>
              <w:t>Monotherapy</w:t>
            </w:r>
          </w:p>
        </w:tc>
        <w:tc>
          <w:tcPr>
            <w:tcW w:w="1743" w:type="pct"/>
            <w:gridSpan w:val="2"/>
          </w:tcPr>
          <w:p w14:paraId="54E8C050" w14:textId="412F95D8" w:rsidR="004641E9" w:rsidRPr="00CE427E" w:rsidRDefault="004641E9" w:rsidP="006128F6">
            <w:pPr>
              <w:keepNext/>
              <w:keepLines/>
              <w:tabs>
                <w:tab w:val="clear" w:pos="567"/>
              </w:tabs>
              <w:autoSpaceDE w:val="0"/>
              <w:autoSpaceDN w:val="0"/>
              <w:adjustRightInd w:val="0"/>
              <w:spacing w:line="240" w:lineRule="auto"/>
              <w:jc w:val="center"/>
              <w:rPr>
                <w:rFonts w:eastAsia="Calibri"/>
                <w:b/>
                <w:color w:val="000000"/>
                <w:szCs w:val="22"/>
              </w:rPr>
            </w:pPr>
            <w:r w:rsidRPr="00CE427E">
              <w:rPr>
                <w:rFonts w:eastAsia="Calibri"/>
                <w:b/>
                <w:color w:val="000000"/>
                <w:szCs w:val="22"/>
              </w:rPr>
              <w:t xml:space="preserve">Combination </w:t>
            </w:r>
            <w:r w:rsidR="006D7926" w:rsidRPr="00CE427E">
              <w:rPr>
                <w:rFonts w:eastAsia="Calibri"/>
                <w:b/>
                <w:color w:val="000000"/>
                <w:szCs w:val="22"/>
              </w:rPr>
              <w:t>t</w:t>
            </w:r>
            <w:r w:rsidRPr="00CE427E">
              <w:rPr>
                <w:rFonts w:eastAsia="Calibri"/>
                <w:b/>
                <w:color w:val="000000"/>
                <w:szCs w:val="22"/>
              </w:rPr>
              <w:t>herapy</w:t>
            </w:r>
          </w:p>
        </w:tc>
      </w:tr>
      <w:tr w:rsidR="004641E9" w:rsidRPr="006128F6" w14:paraId="201C87A7" w14:textId="77777777" w:rsidTr="008B2AA4">
        <w:trPr>
          <w:trHeight w:val="290"/>
        </w:trPr>
        <w:tc>
          <w:tcPr>
            <w:tcW w:w="1414" w:type="pct"/>
          </w:tcPr>
          <w:p w14:paraId="640D66DD" w14:textId="77777777" w:rsidR="004641E9" w:rsidRPr="00CE427E" w:rsidRDefault="004641E9" w:rsidP="006128F6">
            <w:pPr>
              <w:keepNext/>
              <w:keepLines/>
              <w:tabs>
                <w:tab w:val="clear" w:pos="567"/>
              </w:tabs>
              <w:autoSpaceDE w:val="0"/>
              <w:autoSpaceDN w:val="0"/>
              <w:adjustRightInd w:val="0"/>
              <w:spacing w:line="240" w:lineRule="auto"/>
              <w:jc w:val="right"/>
              <w:rPr>
                <w:rFonts w:eastAsia="Calibri"/>
                <w:b/>
                <w:color w:val="000000"/>
                <w:szCs w:val="22"/>
              </w:rPr>
            </w:pPr>
          </w:p>
        </w:tc>
        <w:tc>
          <w:tcPr>
            <w:tcW w:w="929" w:type="pct"/>
          </w:tcPr>
          <w:p w14:paraId="7130158F" w14:textId="77777777" w:rsidR="006D7926" w:rsidRPr="00CE427E" w:rsidRDefault="004F3E6A" w:rsidP="006128F6">
            <w:pPr>
              <w:keepNext/>
              <w:keepLines/>
              <w:tabs>
                <w:tab w:val="clear" w:pos="567"/>
              </w:tabs>
              <w:autoSpaceDE w:val="0"/>
              <w:autoSpaceDN w:val="0"/>
              <w:adjustRightInd w:val="0"/>
              <w:spacing w:line="240" w:lineRule="auto"/>
              <w:jc w:val="center"/>
              <w:rPr>
                <w:rFonts w:eastAsia="Calibri"/>
                <w:b/>
                <w:color w:val="000000"/>
                <w:szCs w:val="22"/>
              </w:rPr>
            </w:pPr>
            <w:r w:rsidRPr="00CE427E">
              <w:rPr>
                <w:rFonts w:eastAsia="Calibri"/>
                <w:b/>
                <w:color w:val="000000"/>
                <w:szCs w:val="22"/>
              </w:rPr>
              <w:t>Trastuzumab</w:t>
            </w:r>
            <w:r w:rsidR="004641E9" w:rsidRPr="00CE427E">
              <w:rPr>
                <w:rFonts w:eastAsia="Calibri"/>
                <w:b/>
                <w:color w:val="000000"/>
                <w:szCs w:val="22"/>
                <w:vertAlign w:val="superscript"/>
              </w:rPr>
              <w:t>1</w:t>
            </w:r>
          </w:p>
          <w:p w14:paraId="797E4F00" w14:textId="77777777" w:rsidR="004641E9" w:rsidRPr="00CE427E" w:rsidRDefault="004641E9" w:rsidP="006128F6">
            <w:pPr>
              <w:keepNext/>
              <w:keepLines/>
              <w:tabs>
                <w:tab w:val="clear" w:pos="567"/>
              </w:tabs>
              <w:autoSpaceDE w:val="0"/>
              <w:autoSpaceDN w:val="0"/>
              <w:adjustRightInd w:val="0"/>
              <w:spacing w:line="240" w:lineRule="auto"/>
              <w:jc w:val="center"/>
              <w:rPr>
                <w:rFonts w:eastAsia="Calibri"/>
                <w:b/>
                <w:color w:val="000000"/>
                <w:szCs w:val="22"/>
              </w:rPr>
            </w:pPr>
            <w:r w:rsidRPr="00CE427E">
              <w:rPr>
                <w:rFonts w:eastAsia="Calibri"/>
                <w:b/>
                <w:color w:val="000000"/>
                <w:szCs w:val="22"/>
              </w:rPr>
              <w:t>N</w:t>
            </w:r>
            <w:r w:rsidR="002B7BA5" w:rsidRPr="00CE427E">
              <w:rPr>
                <w:rFonts w:eastAsia="Calibri"/>
                <w:b/>
                <w:color w:val="000000"/>
                <w:szCs w:val="22"/>
              </w:rPr>
              <w:t> </w:t>
            </w:r>
            <w:r w:rsidRPr="00CE427E">
              <w:rPr>
                <w:rFonts w:eastAsia="Calibri"/>
                <w:b/>
                <w:color w:val="000000"/>
                <w:szCs w:val="22"/>
              </w:rPr>
              <w:t>=</w:t>
            </w:r>
            <w:r w:rsidR="002B7BA5" w:rsidRPr="00CE427E">
              <w:rPr>
                <w:rFonts w:eastAsia="Calibri"/>
                <w:b/>
                <w:color w:val="000000"/>
                <w:szCs w:val="22"/>
              </w:rPr>
              <w:t> </w:t>
            </w:r>
            <w:r w:rsidRPr="00CE427E">
              <w:rPr>
                <w:rFonts w:eastAsia="Calibri"/>
                <w:b/>
                <w:color w:val="000000"/>
                <w:szCs w:val="22"/>
              </w:rPr>
              <w:t>105</w:t>
            </w:r>
          </w:p>
        </w:tc>
        <w:tc>
          <w:tcPr>
            <w:tcW w:w="914" w:type="pct"/>
          </w:tcPr>
          <w:p w14:paraId="7DA9A3C3" w14:textId="77777777" w:rsidR="004641E9" w:rsidRPr="00CE427E" w:rsidRDefault="004F3E6A" w:rsidP="006128F6">
            <w:pPr>
              <w:keepNext/>
              <w:keepLines/>
              <w:tabs>
                <w:tab w:val="clear" w:pos="567"/>
              </w:tabs>
              <w:autoSpaceDE w:val="0"/>
              <w:autoSpaceDN w:val="0"/>
              <w:adjustRightInd w:val="0"/>
              <w:spacing w:line="240" w:lineRule="auto"/>
              <w:jc w:val="center"/>
              <w:rPr>
                <w:rFonts w:eastAsia="Calibri"/>
                <w:b/>
                <w:color w:val="000000"/>
                <w:szCs w:val="22"/>
              </w:rPr>
            </w:pPr>
            <w:r w:rsidRPr="00CE427E">
              <w:rPr>
                <w:rFonts w:eastAsia="Calibri"/>
                <w:b/>
                <w:color w:val="000000"/>
                <w:szCs w:val="22"/>
              </w:rPr>
              <w:t>Trastuzumab</w:t>
            </w:r>
            <w:r w:rsidR="004641E9" w:rsidRPr="00CE427E">
              <w:rPr>
                <w:rFonts w:eastAsia="Calibri"/>
                <w:b/>
                <w:color w:val="000000"/>
                <w:szCs w:val="22"/>
                <w:vertAlign w:val="superscript"/>
              </w:rPr>
              <w:t>2</w:t>
            </w:r>
          </w:p>
          <w:p w14:paraId="493B1BAF" w14:textId="77777777" w:rsidR="004641E9" w:rsidRPr="00CE427E" w:rsidRDefault="004641E9" w:rsidP="006128F6">
            <w:pPr>
              <w:keepNext/>
              <w:keepLines/>
              <w:tabs>
                <w:tab w:val="clear" w:pos="567"/>
              </w:tabs>
              <w:autoSpaceDE w:val="0"/>
              <w:autoSpaceDN w:val="0"/>
              <w:adjustRightInd w:val="0"/>
              <w:spacing w:line="240" w:lineRule="auto"/>
              <w:jc w:val="center"/>
              <w:rPr>
                <w:rFonts w:eastAsia="Calibri"/>
                <w:b/>
                <w:color w:val="000000"/>
                <w:szCs w:val="22"/>
              </w:rPr>
            </w:pPr>
            <w:r w:rsidRPr="00CE427E">
              <w:rPr>
                <w:rFonts w:eastAsia="Calibri"/>
                <w:b/>
                <w:color w:val="000000"/>
                <w:szCs w:val="22"/>
              </w:rPr>
              <w:t>N</w:t>
            </w:r>
            <w:r w:rsidR="002B7BA5" w:rsidRPr="00CE427E">
              <w:rPr>
                <w:rFonts w:eastAsia="Calibri"/>
                <w:b/>
                <w:color w:val="000000"/>
                <w:szCs w:val="22"/>
              </w:rPr>
              <w:t> </w:t>
            </w:r>
            <w:r w:rsidRPr="00CE427E">
              <w:rPr>
                <w:rFonts w:eastAsia="Calibri"/>
                <w:b/>
                <w:color w:val="000000"/>
                <w:szCs w:val="22"/>
              </w:rPr>
              <w:t>=</w:t>
            </w:r>
            <w:r w:rsidR="002B7BA5" w:rsidRPr="00CE427E">
              <w:rPr>
                <w:rFonts w:eastAsia="Calibri"/>
                <w:b/>
                <w:color w:val="000000"/>
                <w:szCs w:val="22"/>
              </w:rPr>
              <w:t> </w:t>
            </w:r>
            <w:r w:rsidRPr="00CE427E">
              <w:rPr>
                <w:rFonts w:eastAsia="Calibri"/>
                <w:b/>
                <w:color w:val="000000"/>
                <w:szCs w:val="22"/>
              </w:rPr>
              <w:t>72</w:t>
            </w:r>
          </w:p>
        </w:tc>
        <w:tc>
          <w:tcPr>
            <w:tcW w:w="830" w:type="pct"/>
          </w:tcPr>
          <w:p w14:paraId="7BA1D419" w14:textId="77777777" w:rsidR="004641E9" w:rsidRPr="00CE427E" w:rsidRDefault="004F3E6A" w:rsidP="006128F6">
            <w:pPr>
              <w:keepNext/>
              <w:keepLines/>
              <w:tabs>
                <w:tab w:val="clear" w:pos="567"/>
              </w:tabs>
              <w:autoSpaceDE w:val="0"/>
              <w:autoSpaceDN w:val="0"/>
              <w:adjustRightInd w:val="0"/>
              <w:spacing w:line="240" w:lineRule="auto"/>
              <w:jc w:val="center"/>
              <w:rPr>
                <w:rFonts w:eastAsia="Calibri"/>
                <w:b/>
                <w:color w:val="000000"/>
                <w:szCs w:val="22"/>
              </w:rPr>
            </w:pPr>
            <w:r w:rsidRPr="00CE427E">
              <w:rPr>
                <w:rFonts w:eastAsia="Calibri"/>
                <w:b/>
                <w:color w:val="000000"/>
                <w:szCs w:val="22"/>
              </w:rPr>
              <w:t>Trastuzumab</w:t>
            </w:r>
            <w:r w:rsidR="004641E9" w:rsidRPr="00CE427E">
              <w:rPr>
                <w:rFonts w:eastAsia="Calibri"/>
                <w:b/>
                <w:color w:val="000000"/>
                <w:szCs w:val="22"/>
              </w:rPr>
              <w:t xml:space="preserve"> plus paclitaxel</w:t>
            </w:r>
            <w:r w:rsidR="004641E9" w:rsidRPr="00CE427E">
              <w:rPr>
                <w:rFonts w:eastAsia="Calibri"/>
                <w:b/>
                <w:color w:val="000000"/>
                <w:szCs w:val="22"/>
                <w:vertAlign w:val="superscript"/>
              </w:rPr>
              <w:t>3</w:t>
            </w:r>
            <w:r w:rsidR="004641E9" w:rsidRPr="00CE427E">
              <w:rPr>
                <w:rFonts w:eastAsia="Calibri"/>
                <w:b/>
                <w:color w:val="000000"/>
                <w:szCs w:val="22"/>
              </w:rPr>
              <w:t xml:space="preserve"> N</w:t>
            </w:r>
            <w:r w:rsidR="002B7BA5" w:rsidRPr="00CE427E">
              <w:rPr>
                <w:rFonts w:eastAsia="Calibri"/>
                <w:b/>
                <w:color w:val="000000"/>
                <w:szCs w:val="22"/>
              </w:rPr>
              <w:t> </w:t>
            </w:r>
            <w:r w:rsidR="004641E9" w:rsidRPr="00CE427E">
              <w:rPr>
                <w:rFonts w:eastAsia="Calibri"/>
                <w:b/>
                <w:color w:val="000000"/>
                <w:szCs w:val="22"/>
              </w:rPr>
              <w:t>=</w:t>
            </w:r>
            <w:r w:rsidR="002B7BA5" w:rsidRPr="00CE427E">
              <w:rPr>
                <w:rFonts w:eastAsia="Calibri"/>
                <w:b/>
                <w:color w:val="000000"/>
                <w:szCs w:val="22"/>
              </w:rPr>
              <w:t> </w:t>
            </w:r>
            <w:r w:rsidR="004641E9" w:rsidRPr="00CE427E">
              <w:rPr>
                <w:rFonts w:eastAsia="Calibri"/>
                <w:b/>
                <w:color w:val="000000"/>
                <w:szCs w:val="22"/>
              </w:rPr>
              <w:t>32</w:t>
            </w:r>
          </w:p>
        </w:tc>
        <w:tc>
          <w:tcPr>
            <w:tcW w:w="913" w:type="pct"/>
          </w:tcPr>
          <w:p w14:paraId="0A52C6E2" w14:textId="77777777" w:rsidR="006D7926" w:rsidRPr="00CE427E" w:rsidRDefault="004F3E6A" w:rsidP="006128F6">
            <w:pPr>
              <w:keepNext/>
              <w:keepLines/>
              <w:tabs>
                <w:tab w:val="clear" w:pos="567"/>
              </w:tabs>
              <w:autoSpaceDE w:val="0"/>
              <w:autoSpaceDN w:val="0"/>
              <w:adjustRightInd w:val="0"/>
              <w:spacing w:line="240" w:lineRule="auto"/>
              <w:jc w:val="center"/>
              <w:rPr>
                <w:rFonts w:eastAsia="Calibri"/>
                <w:b/>
                <w:color w:val="000000"/>
                <w:szCs w:val="22"/>
              </w:rPr>
            </w:pPr>
            <w:r w:rsidRPr="00CE427E">
              <w:rPr>
                <w:rFonts w:eastAsia="Calibri"/>
                <w:b/>
                <w:color w:val="000000"/>
                <w:szCs w:val="22"/>
              </w:rPr>
              <w:t>Trastuzumab</w:t>
            </w:r>
            <w:r w:rsidR="004641E9" w:rsidRPr="00CE427E">
              <w:rPr>
                <w:rFonts w:eastAsia="Calibri"/>
                <w:b/>
                <w:color w:val="000000"/>
                <w:szCs w:val="22"/>
              </w:rPr>
              <w:t xml:space="preserve"> plus docetaxel</w:t>
            </w:r>
            <w:r w:rsidR="004641E9" w:rsidRPr="00CE427E">
              <w:rPr>
                <w:rFonts w:eastAsia="Calibri"/>
                <w:b/>
                <w:color w:val="000000"/>
                <w:szCs w:val="22"/>
                <w:vertAlign w:val="superscript"/>
              </w:rPr>
              <w:t>4</w:t>
            </w:r>
          </w:p>
          <w:p w14:paraId="58AA80D0" w14:textId="77777777" w:rsidR="004641E9" w:rsidRPr="00CE427E" w:rsidRDefault="004641E9" w:rsidP="006128F6">
            <w:pPr>
              <w:keepNext/>
              <w:keepLines/>
              <w:tabs>
                <w:tab w:val="clear" w:pos="567"/>
              </w:tabs>
              <w:autoSpaceDE w:val="0"/>
              <w:autoSpaceDN w:val="0"/>
              <w:adjustRightInd w:val="0"/>
              <w:spacing w:line="240" w:lineRule="auto"/>
              <w:jc w:val="center"/>
              <w:rPr>
                <w:rFonts w:eastAsia="Calibri"/>
                <w:b/>
                <w:color w:val="000000"/>
                <w:szCs w:val="22"/>
              </w:rPr>
            </w:pPr>
            <w:r w:rsidRPr="00CE427E">
              <w:rPr>
                <w:rFonts w:eastAsia="Calibri"/>
                <w:b/>
                <w:color w:val="000000"/>
                <w:szCs w:val="22"/>
              </w:rPr>
              <w:t>N</w:t>
            </w:r>
            <w:r w:rsidR="002B7BA5" w:rsidRPr="00CE427E">
              <w:rPr>
                <w:rFonts w:eastAsia="Calibri"/>
                <w:b/>
                <w:color w:val="000000"/>
                <w:szCs w:val="22"/>
              </w:rPr>
              <w:t> </w:t>
            </w:r>
            <w:r w:rsidRPr="00CE427E">
              <w:rPr>
                <w:rFonts w:eastAsia="Calibri"/>
                <w:b/>
                <w:color w:val="000000"/>
                <w:szCs w:val="22"/>
              </w:rPr>
              <w:t>=</w:t>
            </w:r>
            <w:r w:rsidR="002B7BA5" w:rsidRPr="00CE427E">
              <w:rPr>
                <w:rFonts w:eastAsia="Calibri"/>
                <w:b/>
                <w:color w:val="000000"/>
                <w:szCs w:val="22"/>
              </w:rPr>
              <w:t> </w:t>
            </w:r>
            <w:r w:rsidRPr="00CE427E">
              <w:rPr>
                <w:rFonts w:eastAsia="Calibri"/>
                <w:b/>
                <w:color w:val="000000"/>
                <w:szCs w:val="22"/>
              </w:rPr>
              <w:t>110</w:t>
            </w:r>
          </w:p>
        </w:tc>
      </w:tr>
      <w:tr w:rsidR="004641E9" w:rsidRPr="006128F6" w14:paraId="262FE788" w14:textId="77777777" w:rsidTr="008B2AA4">
        <w:trPr>
          <w:trHeight w:val="290"/>
        </w:trPr>
        <w:tc>
          <w:tcPr>
            <w:tcW w:w="1414" w:type="pct"/>
          </w:tcPr>
          <w:p w14:paraId="018CCE37" w14:textId="77777777" w:rsidR="006D7926" w:rsidRPr="00CE427E" w:rsidRDefault="004641E9" w:rsidP="006128F6">
            <w:pPr>
              <w:keepNext/>
              <w:keepLines/>
              <w:tabs>
                <w:tab w:val="clear" w:pos="567"/>
              </w:tabs>
              <w:autoSpaceDE w:val="0"/>
              <w:autoSpaceDN w:val="0"/>
              <w:adjustRightInd w:val="0"/>
              <w:spacing w:line="240" w:lineRule="auto"/>
              <w:rPr>
                <w:rFonts w:eastAsia="Calibri"/>
                <w:b/>
                <w:color w:val="000000"/>
                <w:szCs w:val="22"/>
              </w:rPr>
            </w:pPr>
            <w:r w:rsidRPr="00CE427E">
              <w:rPr>
                <w:rFonts w:eastAsia="Calibri"/>
                <w:b/>
                <w:color w:val="000000"/>
                <w:szCs w:val="22"/>
              </w:rPr>
              <w:t xml:space="preserve">Response rate </w:t>
            </w:r>
          </w:p>
          <w:p w14:paraId="11CFBE78" w14:textId="770D0451" w:rsidR="004641E9" w:rsidRPr="00CE427E" w:rsidRDefault="006D7926" w:rsidP="006128F6">
            <w:pPr>
              <w:keepNext/>
              <w:keepLines/>
              <w:tabs>
                <w:tab w:val="clear" w:pos="567"/>
              </w:tabs>
              <w:autoSpaceDE w:val="0"/>
              <w:autoSpaceDN w:val="0"/>
              <w:adjustRightInd w:val="0"/>
              <w:spacing w:line="240" w:lineRule="auto"/>
              <w:rPr>
                <w:rFonts w:eastAsia="Calibri"/>
                <w:b/>
                <w:color w:val="000000"/>
                <w:szCs w:val="22"/>
              </w:rPr>
            </w:pPr>
            <w:r w:rsidRPr="00CE427E">
              <w:rPr>
                <w:rFonts w:eastAsia="Calibri"/>
                <w:b/>
                <w:color w:val="000000"/>
                <w:szCs w:val="22"/>
              </w:rPr>
              <w:t>(95</w:t>
            </w:r>
            <w:r w:rsidR="000840CF" w:rsidRPr="00CE427E">
              <w:rPr>
                <w:rFonts w:eastAsia="Calibri"/>
                <w:b/>
                <w:color w:val="000000"/>
                <w:szCs w:val="22"/>
              </w:rPr>
              <w:t>%</w:t>
            </w:r>
            <w:r w:rsidR="004641E9" w:rsidRPr="00CE427E">
              <w:rPr>
                <w:rFonts w:eastAsia="Calibri"/>
                <w:b/>
                <w:color w:val="000000"/>
                <w:szCs w:val="22"/>
              </w:rPr>
              <w:t xml:space="preserve">CI) </w:t>
            </w:r>
          </w:p>
        </w:tc>
        <w:tc>
          <w:tcPr>
            <w:tcW w:w="929" w:type="pct"/>
          </w:tcPr>
          <w:p w14:paraId="69CAB4B2" w14:textId="3D0FAAFB" w:rsidR="006D7926" w:rsidRPr="00CE427E" w:rsidRDefault="006D7926" w:rsidP="006128F6">
            <w:pPr>
              <w:keepNext/>
              <w:keepLines/>
              <w:tabs>
                <w:tab w:val="clear" w:pos="567"/>
              </w:tabs>
              <w:autoSpaceDE w:val="0"/>
              <w:autoSpaceDN w:val="0"/>
              <w:adjustRightInd w:val="0"/>
              <w:spacing w:line="240" w:lineRule="auto"/>
              <w:jc w:val="center"/>
              <w:rPr>
                <w:rFonts w:eastAsia="Calibri"/>
                <w:color w:val="000000"/>
                <w:szCs w:val="22"/>
              </w:rPr>
            </w:pPr>
            <w:r w:rsidRPr="00CE427E">
              <w:rPr>
                <w:rFonts w:eastAsia="Calibri"/>
                <w:color w:val="000000"/>
                <w:szCs w:val="22"/>
              </w:rPr>
              <w:t>24</w:t>
            </w:r>
            <w:r w:rsidR="000840CF" w:rsidRPr="00CE427E">
              <w:rPr>
                <w:rFonts w:eastAsia="Calibri"/>
                <w:color w:val="000000"/>
                <w:szCs w:val="22"/>
              </w:rPr>
              <w:t>%</w:t>
            </w:r>
          </w:p>
          <w:p w14:paraId="2082F15C" w14:textId="77777777" w:rsidR="004641E9" w:rsidRPr="00CE427E" w:rsidRDefault="006D7926" w:rsidP="006128F6">
            <w:pPr>
              <w:keepNext/>
              <w:keepLines/>
              <w:tabs>
                <w:tab w:val="clear" w:pos="567"/>
              </w:tabs>
              <w:autoSpaceDE w:val="0"/>
              <w:autoSpaceDN w:val="0"/>
              <w:adjustRightInd w:val="0"/>
              <w:spacing w:line="240" w:lineRule="auto"/>
              <w:jc w:val="center"/>
              <w:rPr>
                <w:rFonts w:eastAsia="Calibri"/>
                <w:color w:val="000000"/>
                <w:szCs w:val="22"/>
              </w:rPr>
            </w:pPr>
            <w:r w:rsidRPr="00CE427E">
              <w:rPr>
                <w:rFonts w:eastAsia="Calibri"/>
                <w:color w:val="000000"/>
                <w:szCs w:val="22"/>
              </w:rPr>
              <w:t>(15-</w:t>
            </w:r>
            <w:r w:rsidR="004641E9" w:rsidRPr="00CE427E">
              <w:rPr>
                <w:rFonts w:eastAsia="Calibri"/>
                <w:color w:val="000000"/>
                <w:szCs w:val="22"/>
              </w:rPr>
              <w:t>35)</w:t>
            </w:r>
          </w:p>
        </w:tc>
        <w:tc>
          <w:tcPr>
            <w:tcW w:w="914" w:type="pct"/>
          </w:tcPr>
          <w:p w14:paraId="5A722CBD" w14:textId="51265500" w:rsidR="006D7926" w:rsidRPr="00CE427E" w:rsidRDefault="006D7926" w:rsidP="006128F6">
            <w:pPr>
              <w:keepNext/>
              <w:keepLines/>
              <w:tabs>
                <w:tab w:val="clear" w:pos="567"/>
              </w:tabs>
              <w:autoSpaceDE w:val="0"/>
              <w:autoSpaceDN w:val="0"/>
              <w:adjustRightInd w:val="0"/>
              <w:spacing w:line="240" w:lineRule="auto"/>
              <w:jc w:val="center"/>
              <w:rPr>
                <w:rFonts w:eastAsia="Calibri"/>
                <w:color w:val="000000"/>
                <w:szCs w:val="22"/>
              </w:rPr>
            </w:pPr>
            <w:r w:rsidRPr="00CE427E">
              <w:rPr>
                <w:rFonts w:eastAsia="Calibri"/>
                <w:color w:val="000000"/>
                <w:szCs w:val="22"/>
              </w:rPr>
              <w:t>27</w:t>
            </w:r>
            <w:r w:rsidR="000840CF" w:rsidRPr="00CE427E">
              <w:rPr>
                <w:rFonts w:eastAsia="Calibri"/>
                <w:color w:val="000000"/>
                <w:szCs w:val="22"/>
              </w:rPr>
              <w:t>%</w:t>
            </w:r>
          </w:p>
          <w:p w14:paraId="692B3216" w14:textId="041F8AFA" w:rsidR="004641E9" w:rsidRPr="00CE427E" w:rsidRDefault="006D7926" w:rsidP="006128F6">
            <w:pPr>
              <w:keepNext/>
              <w:keepLines/>
              <w:tabs>
                <w:tab w:val="clear" w:pos="567"/>
              </w:tabs>
              <w:autoSpaceDE w:val="0"/>
              <w:autoSpaceDN w:val="0"/>
              <w:adjustRightInd w:val="0"/>
              <w:spacing w:line="240" w:lineRule="auto"/>
              <w:jc w:val="center"/>
              <w:rPr>
                <w:rFonts w:eastAsia="Calibri"/>
                <w:color w:val="000000"/>
                <w:szCs w:val="22"/>
              </w:rPr>
            </w:pPr>
            <w:r w:rsidRPr="00CE427E">
              <w:rPr>
                <w:rFonts w:eastAsia="Calibri"/>
                <w:color w:val="000000"/>
                <w:szCs w:val="22"/>
              </w:rPr>
              <w:t>(1</w:t>
            </w:r>
            <w:r w:rsidR="007869AD" w:rsidRPr="00CE427E">
              <w:rPr>
                <w:rFonts w:eastAsia="Calibri"/>
                <w:color w:val="000000"/>
                <w:szCs w:val="22"/>
              </w:rPr>
              <w:t>4</w:t>
            </w:r>
            <w:r w:rsidRPr="00CE427E">
              <w:rPr>
                <w:rFonts w:eastAsia="Calibri"/>
                <w:color w:val="000000"/>
                <w:szCs w:val="22"/>
              </w:rPr>
              <w:t>-</w:t>
            </w:r>
            <w:r w:rsidR="004641E9" w:rsidRPr="00CE427E">
              <w:rPr>
                <w:rFonts w:eastAsia="Calibri"/>
                <w:color w:val="000000"/>
                <w:szCs w:val="22"/>
              </w:rPr>
              <w:t>43)</w:t>
            </w:r>
          </w:p>
        </w:tc>
        <w:tc>
          <w:tcPr>
            <w:tcW w:w="830" w:type="pct"/>
          </w:tcPr>
          <w:p w14:paraId="392D779E" w14:textId="44804BF1" w:rsidR="006D7926" w:rsidRPr="00CE427E" w:rsidRDefault="004641E9" w:rsidP="006128F6">
            <w:pPr>
              <w:keepNext/>
              <w:keepLines/>
              <w:tabs>
                <w:tab w:val="clear" w:pos="567"/>
              </w:tabs>
              <w:autoSpaceDE w:val="0"/>
              <w:autoSpaceDN w:val="0"/>
              <w:adjustRightInd w:val="0"/>
              <w:spacing w:line="240" w:lineRule="auto"/>
              <w:jc w:val="center"/>
              <w:rPr>
                <w:rFonts w:eastAsia="Calibri"/>
                <w:color w:val="000000"/>
                <w:szCs w:val="22"/>
              </w:rPr>
            </w:pPr>
            <w:r w:rsidRPr="00CE427E">
              <w:rPr>
                <w:rFonts w:eastAsia="Calibri"/>
                <w:color w:val="000000"/>
                <w:szCs w:val="22"/>
              </w:rPr>
              <w:t>59</w:t>
            </w:r>
            <w:r w:rsidR="000840CF" w:rsidRPr="00CE427E">
              <w:rPr>
                <w:rFonts w:eastAsia="Calibri"/>
                <w:color w:val="000000"/>
                <w:szCs w:val="22"/>
              </w:rPr>
              <w:t>%</w:t>
            </w:r>
          </w:p>
          <w:p w14:paraId="2052CB62" w14:textId="77777777" w:rsidR="004641E9" w:rsidRPr="00CE427E" w:rsidRDefault="004641E9" w:rsidP="006128F6">
            <w:pPr>
              <w:keepNext/>
              <w:keepLines/>
              <w:tabs>
                <w:tab w:val="clear" w:pos="567"/>
              </w:tabs>
              <w:autoSpaceDE w:val="0"/>
              <w:autoSpaceDN w:val="0"/>
              <w:adjustRightInd w:val="0"/>
              <w:spacing w:line="240" w:lineRule="auto"/>
              <w:jc w:val="center"/>
              <w:rPr>
                <w:rFonts w:eastAsia="Calibri"/>
                <w:color w:val="000000"/>
                <w:szCs w:val="22"/>
              </w:rPr>
            </w:pPr>
            <w:r w:rsidRPr="00CE427E">
              <w:rPr>
                <w:rFonts w:eastAsia="Calibri"/>
                <w:color w:val="000000"/>
                <w:szCs w:val="22"/>
              </w:rPr>
              <w:t>(41-76)</w:t>
            </w:r>
          </w:p>
        </w:tc>
        <w:tc>
          <w:tcPr>
            <w:tcW w:w="913" w:type="pct"/>
          </w:tcPr>
          <w:p w14:paraId="2351200E" w14:textId="380DB074" w:rsidR="006D7926" w:rsidRPr="00CE427E" w:rsidRDefault="004641E9" w:rsidP="006128F6">
            <w:pPr>
              <w:keepNext/>
              <w:keepLines/>
              <w:tabs>
                <w:tab w:val="clear" w:pos="567"/>
              </w:tabs>
              <w:autoSpaceDE w:val="0"/>
              <w:autoSpaceDN w:val="0"/>
              <w:adjustRightInd w:val="0"/>
              <w:spacing w:line="240" w:lineRule="auto"/>
              <w:jc w:val="center"/>
              <w:rPr>
                <w:rFonts w:eastAsia="Calibri"/>
                <w:color w:val="000000"/>
                <w:szCs w:val="22"/>
              </w:rPr>
            </w:pPr>
            <w:r w:rsidRPr="00CE427E">
              <w:rPr>
                <w:rFonts w:eastAsia="Calibri"/>
                <w:color w:val="000000"/>
                <w:szCs w:val="22"/>
              </w:rPr>
              <w:t>73</w:t>
            </w:r>
            <w:r w:rsidR="000840CF" w:rsidRPr="00CE427E">
              <w:rPr>
                <w:rFonts w:eastAsia="Calibri"/>
                <w:color w:val="000000"/>
                <w:szCs w:val="22"/>
              </w:rPr>
              <w:t>%</w:t>
            </w:r>
          </w:p>
          <w:p w14:paraId="7A478E6D" w14:textId="77777777" w:rsidR="004641E9" w:rsidRPr="00CE427E" w:rsidRDefault="004641E9" w:rsidP="006128F6">
            <w:pPr>
              <w:keepNext/>
              <w:keepLines/>
              <w:tabs>
                <w:tab w:val="clear" w:pos="567"/>
              </w:tabs>
              <w:autoSpaceDE w:val="0"/>
              <w:autoSpaceDN w:val="0"/>
              <w:adjustRightInd w:val="0"/>
              <w:spacing w:line="240" w:lineRule="auto"/>
              <w:jc w:val="center"/>
              <w:rPr>
                <w:rFonts w:eastAsia="Calibri"/>
                <w:color w:val="000000"/>
                <w:szCs w:val="22"/>
              </w:rPr>
            </w:pPr>
            <w:r w:rsidRPr="00CE427E">
              <w:rPr>
                <w:rFonts w:eastAsia="Calibri"/>
                <w:color w:val="000000"/>
                <w:szCs w:val="22"/>
              </w:rPr>
              <w:t>(63-81)</w:t>
            </w:r>
          </w:p>
        </w:tc>
      </w:tr>
      <w:tr w:rsidR="004641E9" w:rsidRPr="006128F6" w14:paraId="1D1F6086" w14:textId="77777777" w:rsidTr="008B2AA4">
        <w:trPr>
          <w:trHeight w:val="290"/>
        </w:trPr>
        <w:tc>
          <w:tcPr>
            <w:tcW w:w="1414" w:type="pct"/>
          </w:tcPr>
          <w:p w14:paraId="16D210AB" w14:textId="77777777" w:rsidR="004641E9" w:rsidRPr="00CE427E" w:rsidRDefault="004641E9" w:rsidP="006128F6">
            <w:pPr>
              <w:keepNext/>
              <w:keepLines/>
              <w:tabs>
                <w:tab w:val="clear" w:pos="567"/>
              </w:tabs>
              <w:autoSpaceDE w:val="0"/>
              <w:autoSpaceDN w:val="0"/>
              <w:adjustRightInd w:val="0"/>
              <w:spacing w:line="240" w:lineRule="auto"/>
              <w:rPr>
                <w:rFonts w:eastAsia="Calibri"/>
                <w:b/>
                <w:color w:val="000000"/>
                <w:szCs w:val="22"/>
              </w:rPr>
            </w:pPr>
            <w:r w:rsidRPr="00CE427E">
              <w:rPr>
                <w:rFonts w:eastAsia="Calibri"/>
                <w:b/>
                <w:color w:val="000000"/>
                <w:szCs w:val="22"/>
              </w:rPr>
              <w:t xml:space="preserve">Median duration of response (months) (range) </w:t>
            </w:r>
          </w:p>
        </w:tc>
        <w:tc>
          <w:tcPr>
            <w:tcW w:w="929" w:type="pct"/>
          </w:tcPr>
          <w:p w14:paraId="13D635CF" w14:textId="77777777" w:rsidR="006D7926" w:rsidRPr="00CE427E" w:rsidRDefault="004641E9" w:rsidP="006128F6">
            <w:pPr>
              <w:keepNext/>
              <w:keepLines/>
              <w:tabs>
                <w:tab w:val="clear" w:pos="567"/>
              </w:tabs>
              <w:autoSpaceDE w:val="0"/>
              <w:autoSpaceDN w:val="0"/>
              <w:adjustRightInd w:val="0"/>
              <w:spacing w:line="240" w:lineRule="auto"/>
              <w:jc w:val="center"/>
              <w:rPr>
                <w:rFonts w:eastAsia="Calibri"/>
                <w:color w:val="000000"/>
                <w:szCs w:val="22"/>
              </w:rPr>
            </w:pPr>
            <w:r w:rsidRPr="00CE427E">
              <w:rPr>
                <w:rFonts w:eastAsia="Calibri"/>
                <w:color w:val="000000"/>
                <w:szCs w:val="22"/>
              </w:rPr>
              <w:t>10.1</w:t>
            </w:r>
          </w:p>
          <w:p w14:paraId="1BDAF6D5" w14:textId="77777777" w:rsidR="004641E9" w:rsidRPr="00CE427E" w:rsidRDefault="004641E9" w:rsidP="006128F6">
            <w:pPr>
              <w:keepNext/>
              <w:keepLines/>
              <w:tabs>
                <w:tab w:val="clear" w:pos="567"/>
              </w:tabs>
              <w:autoSpaceDE w:val="0"/>
              <w:autoSpaceDN w:val="0"/>
              <w:adjustRightInd w:val="0"/>
              <w:spacing w:line="240" w:lineRule="auto"/>
              <w:jc w:val="center"/>
              <w:rPr>
                <w:rFonts w:eastAsia="Calibri"/>
                <w:color w:val="000000"/>
                <w:szCs w:val="22"/>
              </w:rPr>
            </w:pPr>
            <w:r w:rsidRPr="00CE427E">
              <w:rPr>
                <w:rFonts w:eastAsia="Calibri"/>
                <w:color w:val="000000"/>
                <w:szCs w:val="22"/>
              </w:rPr>
              <w:t>(2.8-35.6)</w:t>
            </w:r>
          </w:p>
        </w:tc>
        <w:tc>
          <w:tcPr>
            <w:tcW w:w="914" w:type="pct"/>
          </w:tcPr>
          <w:p w14:paraId="3A3BF86F" w14:textId="77777777" w:rsidR="006D7926" w:rsidRPr="00CE427E" w:rsidRDefault="004641E9" w:rsidP="006128F6">
            <w:pPr>
              <w:keepNext/>
              <w:keepLines/>
              <w:tabs>
                <w:tab w:val="clear" w:pos="567"/>
              </w:tabs>
              <w:autoSpaceDE w:val="0"/>
              <w:autoSpaceDN w:val="0"/>
              <w:adjustRightInd w:val="0"/>
              <w:spacing w:line="240" w:lineRule="auto"/>
              <w:jc w:val="center"/>
              <w:rPr>
                <w:rFonts w:eastAsia="Calibri"/>
                <w:color w:val="000000"/>
                <w:szCs w:val="22"/>
              </w:rPr>
            </w:pPr>
            <w:r w:rsidRPr="00CE427E">
              <w:rPr>
                <w:rFonts w:eastAsia="Calibri"/>
                <w:color w:val="000000"/>
                <w:szCs w:val="22"/>
              </w:rPr>
              <w:t>7.9</w:t>
            </w:r>
          </w:p>
          <w:p w14:paraId="29B696DD" w14:textId="77777777" w:rsidR="004641E9" w:rsidRPr="00CE427E" w:rsidRDefault="004641E9" w:rsidP="006128F6">
            <w:pPr>
              <w:keepNext/>
              <w:keepLines/>
              <w:tabs>
                <w:tab w:val="clear" w:pos="567"/>
              </w:tabs>
              <w:autoSpaceDE w:val="0"/>
              <w:autoSpaceDN w:val="0"/>
              <w:adjustRightInd w:val="0"/>
              <w:spacing w:line="240" w:lineRule="auto"/>
              <w:jc w:val="center"/>
              <w:rPr>
                <w:rFonts w:eastAsia="Calibri"/>
                <w:color w:val="000000"/>
                <w:szCs w:val="22"/>
              </w:rPr>
            </w:pPr>
            <w:r w:rsidRPr="00CE427E">
              <w:rPr>
                <w:rFonts w:eastAsia="Calibri"/>
                <w:color w:val="000000"/>
                <w:szCs w:val="22"/>
              </w:rPr>
              <w:t>(2.1-18.8)</w:t>
            </w:r>
          </w:p>
        </w:tc>
        <w:tc>
          <w:tcPr>
            <w:tcW w:w="830" w:type="pct"/>
          </w:tcPr>
          <w:p w14:paraId="5CC65C46" w14:textId="77777777" w:rsidR="006D7926" w:rsidRPr="00CE427E" w:rsidRDefault="004641E9" w:rsidP="006128F6">
            <w:pPr>
              <w:keepNext/>
              <w:keepLines/>
              <w:tabs>
                <w:tab w:val="clear" w:pos="567"/>
              </w:tabs>
              <w:autoSpaceDE w:val="0"/>
              <w:autoSpaceDN w:val="0"/>
              <w:adjustRightInd w:val="0"/>
              <w:spacing w:line="240" w:lineRule="auto"/>
              <w:jc w:val="center"/>
              <w:rPr>
                <w:rFonts w:eastAsia="Calibri"/>
                <w:color w:val="000000"/>
                <w:szCs w:val="22"/>
              </w:rPr>
            </w:pPr>
            <w:r w:rsidRPr="00CE427E">
              <w:rPr>
                <w:rFonts w:eastAsia="Calibri"/>
                <w:color w:val="000000"/>
                <w:szCs w:val="22"/>
              </w:rPr>
              <w:t>10.5</w:t>
            </w:r>
          </w:p>
          <w:p w14:paraId="40CEC7EA" w14:textId="77777777" w:rsidR="004641E9" w:rsidRPr="00CE427E" w:rsidRDefault="004641E9" w:rsidP="006128F6">
            <w:pPr>
              <w:keepNext/>
              <w:keepLines/>
              <w:tabs>
                <w:tab w:val="clear" w:pos="567"/>
              </w:tabs>
              <w:autoSpaceDE w:val="0"/>
              <w:autoSpaceDN w:val="0"/>
              <w:adjustRightInd w:val="0"/>
              <w:spacing w:line="240" w:lineRule="auto"/>
              <w:jc w:val="center"/>
              <w:rPr>
                <w:rFonts w:eastAsia="Calibri"/>
                <w:color w:val="000000"/>
                <w:szCs w:val="22"/>
              </w:rPr>
            </w:pPr>
            <w:r w:rsidRPr="00CE427E">
              <w:rPr>
                <w:rFonts w:eastAsia="Calibri"/>
                <w:color w:val="000000"/>
                <w:szCs w:val="22"/>
              </w:rPr>
              <w:t>(1.8-21)</w:t>
            </w:r>
          </w:p>
        </w:tc>
        <w:tc>
          <w:tcPr>
            <w:tcW w:w="913" w:type="pct"/>
          </w:tcPr>
          <w:p w14:paraId="57D837B8" w14:textId="77777777" w:rsidR="006D7926" w:rsidRPr="00CE427E" w:rsidRDefault="004641E9" w:rsidP="006128F6">
            <w:pPr>
              <w:keepNext/>
              <w:keepLines/>
              <w:tabs>
                <w:tab w:val="clear" w:pos="567"/>
              </w:tabs>
              <w:autoSpaceDE w:val="0"/>
              <w:autoSpaceDN w:val="0"/>
              <w:adjustRightInd w:val="0"/>
              <w:spacing w:line="240" w:lineRule="auto"/>
              <w:jc w:val="center"/>
              <w:rPr>
                <w:rFonts w:eastAsia="Calibri"/>
                <w:color w:val="000000"/>
                <w:szCs w:val="22"/>
              </w:rPr>
            </w:pPr>
            <w:r w:rsidRPr="00CE427E">
              <w:rPr>
                <w:rFonts w:eastAsia="Calibri"/>
                <w:color w:val="000000"/>
                <w:szCs w:val="22"/>
              </w:rPr>
              <w:t>13.4</w:t>
            </w:r>
          </w:p>
          <w:p w14:paraId="1CDE7446" w14:textId="77777777" w:rsidR="004641E9" w:rsidRPr="00CE427E" w:rsidRDefault="004641E9" w:rsidP="006128F6">
            <w:pPr>
              <w:keepNext/>
              <w:keepLines/>
              <w:tabs>
                <w:tab w:val="clear" w:pos="567"/>
              </w:tabs>
              <w:autoSpaceDE w:val="0"/>
              <w:autoSpaceDN w:val="0"/>
              <w:adjustRightInd w:val="0"/>
              <w:spacing w:line="240" w:lineRule="auto"/>
              <w:jc w:val="center"/>
              <w:rPr>
                <w:rFonts w:eastAsia="Calibri"/>
                <w:color w:val="000000"/>
                <w:szCs w:val="22"/>
              </w:rPr>
            </w:pPr>
            <w:r w:rsidRPr="00CE427E">
              <w:rPr>
                <w:rFonts w:eastAsia="Calibri"/>
                <w:color w:val="000000"/>
                <w:szCs w:val="22"/>
              </w:rPr>
              <w:t>(2.1-55.1)</w:t>
            </w:r>
          </w:p>
        </w:tc>
      </w:tr>
      <w:tr w:rsidR="004641E9" w:rsidRPr="006128F6" w14:paraId="0503D9F9" w14:textId="77777777" w:rsidTr="008B2AA4">
        <w:trPr>
          <w:trHeight w:val="290"/>
        </w:trPr>
        <w:tc>
          <w:tcPr>
            <w:tcW w:w="1414" w:type="pct"/>
          </w:tcPr>
          <w:p w14:paraId="57C6A5E8" w14:textId="603D26BE" w:rsidR="004641E9" w:rsidRPr="00CE427E" w:rsidRDefault="006D7926" w:rsidP="006128F6">
            <w:pPr>
              <w:keepNext/>
              <w:keepLines/>
              <w:tabs>
                <w:tab w:val="clear" w:pos="567"/>
              </w:tabs>
              <w:autoSpaceDE w:val="0"/>
              <w:autoSpaceDN w:val="0"/>
              <w:adjustRightInd w:val="0"/>
              <w:spacing w:line="240" w:lineRule="auto"/>
              <w:rPr>
                <w:rFonts w:eastAsia="Calibri"/>
                <w:b/>
                <w:color w:val="000000"/>
                <w:szCs w:val="22"/>
              </w:rPr>
            </w:pPr>
            <w:r w:rsidRPr="00CE427E">
              <w:rPr>
                <w:rFonts w:eastAsia="Calibri"/>
                <w:b/>
                <w:color w:val="000000"/>
                <w:szCs w:val="22"/>
              </w:rPr>
              <w:t>Median TTP (months) (95</w:t>
            </w:r>
            <w:r w:rsidR="000840CF" w:rsidRPr="00CE427E">
              <w:rPr>
                <w:rFonts w:eastAsia="Calibri"/>
                <w:b/>
                <w:color w:val="000000"/>
                <w:szCs w:val="22"/>
              </w:rPr>
              <w:t>%</w:t>
            </w:r>
            <w:r w:rsidR="004641E9" w:rsidRPr="00CE427E">
              <w:rPr>
                <w:rFonts w:eastAsia="Calibri"/>
                <w:b/>
                <w:color w:val="000000"/>
                <w:szCs w:val="22"/>
              </w:rPr>
              <w:t xml:space="preserve">CI) </w:t>
            </w:r>
          </w:p>
        </w:tc>
        <w:tc>
          <w:tcPr>
            <w:tcW w:w="929" w:type="pct"/>
          </w:tcPr>
          <w:p w14:paraId="7AD79C14" w14:textId="77777777" w:rsidR="006D7926" w:rsidRPr="00CE427E" w:rsidRDefault="004641E9" w:rsidP="006128F6">
            <w:pPr>
              <w:keepNext/>
              <w:keepLines/>
              <w:tabs>
                <w:tab w:val="clear" w:pos="567"/>
              </w:tabs>
              <w:autoSpaceDE w:val="0"/>
              <w:autoSpaceDN w:val="0"/>
              <w:adjustRightInd w:val="0"/>
              <w:spacing w:line="240" w:lineRule="auto"/>
              <w:jc w:val="center"/>
              <w:rPr>
                <w:rFonts w:eastAsia="Calibri"/>
                <w:color w:val="000000"/>
                <w:szCs w:val="22"/>
              </w:rPr>
            </w:pPr>
            <w:r w:rsidRPr="00CE427E">
              <w:rPr>
                <w:rFonts w:eastAsia="Calibri"/>
                <w:color w:val="000000"/>
                <w:szCs w:val="22"/>
              </w:rPr>
              <w:t>3.4</w:t>
            </w:r>
          </w:p>
          <w:p w14:paraId="3C8BB390" w14:textId="77777777" w:rsidR="004641E9" w:rsidRPr="00CE427E" w:rsidRDefault="004641E9" w:rsidP="006128F6">
            <w:pPr>
              <w:keepNext/>
              <w:keepLines/>
              <w:tabs>
                <w:tab w:val="clear" w:pos="567"/>
              </w:tabs>
              <w:autoSpaceDE w:val="0"/>
              <w:autoSpaceDN w:val="0"/>
              <w:adjustRightInd w:val="0"/>
              <w:spacing w:line="240" w:lineRule="auto"/>
              <w:jc w:val="center"/>
              <w:rPr>
                <w:rFonts w:eastAsia="Calibri"/>
                <w:color w:val="000000"/>
                <w:szCs w:val="22"/>
              </w:rPr>
            </w:pPr>
            <w:r w:rsidRPr="00CE427E">
              <w:rPr>
                <w:rFonts w:eastAsia="Calibri"/>
                <w:color w:val="000000"/>
                <w:szCs w:val="22"/>
              </w:rPr>
              <w:t>(2.8-4.1)</w:t>
            </w:r>
          </w:p>
        </w:tc>
        <w:tc>
          <w:tcPr>
            <w:tcW w:w="914" w:type="pct"/>
          </w:tcPr>
          <w:p w14:paraId="56745E5F" w14:textId="77777777" w:rsidR="006D7926" w:rsidRPr="00CE427E" w:rsidRDefault="004641E9" w:rsidP="006128F6">
            <w:pPr>
              <w:keepNext/>
              <w:keepLines/>
              <w:tabs>
                <w:tab w:val="clear" w:pos="567"/>
              </w:tabs>
              <w:autoSpaceDE w:val="0"/>
              <w:autoSpaceDN w:val="0"/>
              <w:adjustRightInd w:val="0"/>
              <w:spacing w:line="240" w:lineRule="auto"/>
              <w:jc w:val="center"/>
              <w:rPr>
                <w:rFonts w:eastAsia="Calibri"/>
                <w:color w:val="000000"/>
                <w:szCs w:val="22"/>
              </w:rPr>
            </w:pPr>
            <w:r w:rsidRPr="00CE427E">
              <w:rPr>
                <w:rFonts w:eastAsia="Calibri"/>
                <w:color w:val="000000"/>
                <w:szCs w:val="22"/>
              </w:rPr>
              <w:t>7.7</w:t>
            </w:r>
          </w:p>
          <w:p w14:paraId="49555228" w14:textId="77777777" w:rsidR="004641E9" w:rsidRPr="00CE427E" w:rsidRDefault="004641E9" w:rsidP="006128F6">
            <w:pPr>
              <w:keepNext/>
              <w:keepLines/>
              <w:tabs>
                <w:tab w:val="clear" w:pos="567"/>
              </w:tabs>
              <w:autoSpaceDE w:val="0"/>
              <w:autoSpaceDN w:val="0"/>
              <w:adjustRightInd w:val="0"/>
              <w:spacing w:line="240" w:lineRule="auto"/>
              <w:jc w:val="center"/>
              <w:rPr>
                <w:rFonts w:eastAsia="Calibri"/>
                <w:color w:val="000000"/>
                <w:szCs w:val="22"/>
              </w:rPr>
            </w:pPr>
            <w:r w:rsidRPr="00CE427E">
              <w:rPr>
                <w:rFonts w:eastAsia="Calibri"/>
                <w:color w:val="000000"/>
                <w:szCs w:val="22"/>
              </w:rPr>
              <w:t>(4.2-8.3)</w:t>
            </w:r>
          </w:p>
        </w:tc>
        <w:tc>
          <w:tcPr>
            <w:tcW w:w="830" w:type="pct"/>
          </w:tcPr>
          <w:p w14:paraId="693D94BB" w14:textId="77777777" w:rsidR="006D7926" w:rsidRPr="00CE427E" w:rsidRDefault="004641E9" w:rsidP="006128F6">
            <w:pPr>
              <w:keepNext/>
              <w:keepLines/>
              <w:tabs>
                <w:tab w:val="clear" w:pos="567"/>
              </w:tabs>
              <w:autoSpaceDE w:val="0"/>
              <w:autoSpaceDN w:val="0"/>
              <w:adjustRightInd w:val="0"/>
              <w:spacing w:line="240" w:lineRule="auto"/>
              <w:jc w:val="center"/>
              <w:rPr>
                <w:rFonts w:eastAsia="Calibri"/>
                <w:color w:val="000000"/>
                <w:szCs w:val="22"/>
              </w:rPr>
            </w:pPr>
            <w:r w:rsidRPr="00CE427E">
              <w:rPr>
                <w:rFonts w:eastAsia="Calibri"/>
                <w:color w:val="000000"/>
                <w:szCs w:val="22"/>
              </w:rPr>
              <w:t>12.2</w:t>
            </w:r>
          </w:p>
          <w:p w14:paraId="7A7FBFB8" w14:textId="77777777" w:rsidR="004641E9" w:rsidRPr="00CE427E" w:rsidRDefault="004641E9" w:rsidP="006128F6">
            <w:pPr>
              <w:keepNext/>
              <w:keepLines/>
              <w:tabs>
                <w:tab w:val="clear" w:pos="567"/>
              </w:tabs>
              <w:autoSpaceDE w:val="0"/>
              <w:autoSpaceDN w:val="0"/>
              <w:adjustRightInd w:val="0"/>
              <w:spacing w:line="240" w:lineRule="auto"/>
              <w:jc w:val="center"/>
              <w:rPr>
                <w:rFonts w:eastAsia="Calibri"/>
                <w:color w:val="000000"/>
                <w:szCs w:val="22"/>
              </w:rPr>
            </w:pPr>
            <w:r w:rsidRPr="00CE427E">
              <w:rPr>
                <w:rFonts w:eastAsia="Calibri"/>
                <w:color w:val="000000"/>
                <w:szCs w:val="22"/>
              </w:rPr>
              <w:t>(6.2-ne)</w:t>
            </w:r>
          </w:p>
        </w:tc>
        <w:tc>
          <w:tcPr>
            <w:tcW w:w="913" w:type="pct"/>
          </w:tcPr>
          <w:p w14:paraId="11EAE45E" w14:textId="77777777" w:rsidR="006D7926" w:rsidRPr="00CE427E" w:rsidRDefault="004641E9" w:rsidP="006128F6">
            <w:pPr>
              <w:keepNext/>
              <w:keepLines/>
              <w:tabs>
                <w:tab w:val="clear" w:pos="567"/>
              </w:tabs>
              <w:autoSpaceDE w:val="0"/>
              <w:autoSpaceDN w:val="0"/>
              <w:adjustRightInd w:val="0"/>
              <w:spacing w:line="240" w:lineRule="auto"/>
              <w:jc w:val="center"/>
              <w:rPr>
                <w:rFonts w:eastAsia="Calibri"/>
                <w:color w:val="000000"/>
                <w:szCs w:val="22"/>
              </w:rPr>
            </w:pPr>
            <w:r w:rsidRPr="00CE427E">
              <w:rPr>
                <w:rFonts w:eastAsia="Calibri"/>
                <w:color w:val="000000"/>
                <w:szCs w:val="22"/>
              </w:rPr>
              <w:t>13.6</w:t>
            </w:r>
          </w:p>
          <w:p w14:paraId="7B479AA0" w14:textId="77777777" w:rsidR="004641E9" w:rsidRPr="00CE427E" w:rsidRDefault="004641E9" w:rsidP="006128F6">
            <w:pPr>
              <w:keepNext/>
              <w:keepLines/>
              <w:tabs>
                <w:tab w:val="clear" w:pos="567"/>
              </w:tabs>
              <w:autoSpaceDE w:val="0"/>
              <w:autoSpaceDN w:val="0"/>
              <w:adjustRightInd w:val="0"/>
              <w:spacing w:line="240" w:lineRule="auto"/>
              <w:jc w:val="center"/>
              <w:rPr>
                <w:rFonts w:eastAsia="Calibri"/>
                <w:color w:val="000000"/>
                <w:szCs w:val="22"/>
              </w:rPr>
            </w:pPr>
            <w:r w:rsidRPr="00CE427E">
              <w:rPr>
                <w:rFonts w:eastAsia="Calibri"/>
                <w:color w:val="000000"/>
                <w:szCs w:val="22"/>
              </w:rPr>
              <w:t>(11-16)</w:t>
            </w:r>
          </w:p>
        </w:tc>
      </w:tr>
      <w:tr w:rsidR="004641E9" w:rsidRPr="006128F6" w14:paraId="2128011E" w14:textId="77777777" w:rsidTr="008B2AA4">
        <w:trPr>
          <w:trHeight w:val="290"/>
        </w:trPr>
        <w:tc>
          <w:tcPr>
            <w:tcW w:w="1414" w:type="pct"/>
          </w:tcPr>
          <w:p w14:paraId="7FCDE405" w14:textId="2AE3790B" w:rsidR="004641E9" w:rsidRPr="00CE427E" w:rsidRDefault="006D7926" w:rsidP="006128F6">
            <w:pPr>
              <w:keepNext/>
              <w:keepLines/>
              <w:tabs>
                <w:tab w:val="clear" w:pos="567"/>
              </w:tabs>
              <w:autoSpaceDE w:val="0"/>
              <w:autoSpaceDN w:val="0"/>
              <w:adjustRightInd w:val="0"/>
              <w:spacing w:line="240" w:lineRule="auto"/>
              <w:rPr>
                <w:rFonts w:eastAsia="Calibri"/>
                <w:b/>
                <w:color w:val="000000"/>
                <w:szCs w:val="22"/>
              </w:rPr>
            </w:pPr>
            <w:r w:rsidRPr="00CE427E">
              <w:rPr>
                <w:rFonts w:eastAsia="Calibri"/>
                <w:b/>
                <w:color w:val="000000"/>
                <w:szCs w:val="22"/>
              </w:rPr>
              <w:t>Median Survival (months) (95</w:t>
            </w:r>
            <w:r w:rsidR="000840CF" w:rsidRPr="00CE427E">
              <w:rPr>
                <w:rFonts w:eastAsia="Calibri"/>
                <w:b/>
                <w:color w:val="000000"/>
                <w:szCs w:val="22"/>
              </w:rPr>
              <w:t>%</w:t>
            </w:r>
            <w:r w:rsidR="004641E9" w:rsidRPr="00CE427E">
              <w:rPr>
                <w:rFonts w:eastAsia="Calibri"/>
                <w:b/>
                <w:color w:val="000000"/>
                <w:szCs w:val="22"/>
              </w:rPr>
              <w:t xml:space="preserve">CI) </w:t>
            </w:r>
          </w:p>
        </w:tc>
        <w:tc>
          <w:tcPr>
            <w:tcW w:w="929" w:type="pct"/>
          </w:tcPr>
          <w:p w14:paraId="18B1875C" w14:textId="2FD11BAD" w:rsidR="004641E9" w:rsidRPr="00CE427E" w:rsidRDefault="007869AD" w:rsidP="006128F6">
            <w:pPr>
              <w:keepNext/>
              <w:keepLines/>
              <w:tabs>
                <w:tab w:val="clear" w:pos="567"/>
              </w:tabs>
              <w:autoSpaceDE w:val="0"/>
              <w:autoSpaceDN w:val="0"/>
              <w:adjustRightInd w:val="0"/>
              <w:spacing w:line="240" w:lineRule="auto"/>
              <w:jc w:val="center"/>
              <w:rPr>
                <w:rFonts w:eastAsia="Calibri"/>
                <w:color w:val="000000"/>
                <w:szCs w:val="22"/>
              </w:rPr>
            </w:pPr>
            <w:r w:rsidRPr="00CE427E">
              <w:rPr>
                <w:rFonts w:eastAsia="Calibri"/>
                <w:color w:val="000000"/>
                <w:szCs w:val="22"/>
              </w:rPr>
              <w:t>n</w:t>
            </w:r>
            <w:r w:rsidR="004641E9" w:rsidRPr="00CE427E">
              <w:rPr>
                <w:rFonts w:eastAsia="Calibri"/>
                <w:color w:val="000000"/>
                <w:szCs w:val="22"/>
              </w:rPr>
              <w:t>e</w:t>
            </w:r>
          </w:p>
        </w:tc>
        <w:tc>
          <w:tcPr>
            <w:tcW w:w="914" w:type="pct"/>
          </w:tcPr>
          <w:p w14:paraId="6DA28B7E" w14:textId="77777777" w:rsidR="004641E9" w:rsidRPr="00CE427E" w:rsidRDefault="004641E9" w:rsidP="006128F6">
            <w:pPr>
              <w:keepNext/>
              <w:keepLines/>
              <w:tabs>
                <w:tab w:val="clear" w:pos="567"/>
              </w:tabs>
              <w:autoSpaceDE w:val="0"/>
              <w:autoSpaceDN w:val="0"/>
              <w:adjustRightInd w:val="0"/>
              <w:spacing w:line="240" w:lineRule="auto"/>
              <w:jc w:val="center"/>
              <w:rPr>
                <w:rFonts w:eastAsia="Calibri"/>
                <w:color w:val="000000"/>
                <w:szCs w:val="22"/>
              </w:rPr>
            </w:pPr>
            <w:r w:rsidRPr="00CE427E">
              <w:rPr>
                <w:rFonts w:eastAsia="Calibri"/>
                <w:color w:val="000000"/>
                <w:szCs w:val="22"/>
              </w:rPr>
              <w:t>ne</w:t>
            </w:r>
          </w:p>
        </w:tc>
        <w:tc>
          <w:tcPr>
            <w:tcW w:w="830" w:type="pct"/>
          </w:tcPr>
          <w:p w14:paraId="0FCE4E06" w14:textId="77777777" w:rsidR="004641E9" w:rsidRPr="00CE427E" w:rsidRDefault="004641E9" w:rsidP="006128F6">
            <w:pPr>
              <w:keepNext/>
              <w:keepLines/>
              <w:tabs>
                <w:tab w:val="clear" w:pos="567"/>
              </w:tabs>
              <w:autoSpaceDE w:val="0"/>
              <w:autoSpaceDN w:val="0"/>
              <w:adjustRightInd w:val="0"/>
              <w:spacing w:line="240" w:lineRule="auto"/>
              <w:jc w:val="center"/>
              <w:rPr>
                <w:rFonts w:eastAsia="Calibri"/>
                <w:color w:val="000000"/>
                <w:szCs w:val="22"/>
              </w:rPr>
            </w:pPr>
            <w:r w:rsidRPr="00CE427E">
              <w:rPr>
                <w:rFonts w:eastAsia="Calibri"/>
                <w:color w:val="000000"/>
                <w:szCs w:val="22"/>
              </w:rPr>
              <w:t>ne</w:t>
            </w:r>
          </w:p>
        </w:tc>
        <w:tc>
          <w:tcPr>
            <w:tcW w:w="913" w:type="pct"/>
          </w:tcPr>
          <w:p w14:paraId="7893E95C" w14:textId="77777777" w:rsidR="006D7926" w:rsidRPr="00CE427E" w:rsidRDefault="004641E9" w:rsidP="006128F6">
            <w:pPr>
              <w:keepNext/>
              <w:keepLines/>
              <w:tabs>
                <w:tab w:val="clear" w:pos="567"/>
              </w:tabs>
              <w:autoSpaceDE w:val="0"/>
              <w:autoSpaceDN w:val="0"/>
              <w:adjustRightInd w:val="0"/>
              <w:spacing w:line="240" w:lineRule="auto"/>
              <w:jc w:val="center"/>
              <w:rPr>
                <w:rFonts w:eastAsia="Calibri"/>
                <w:color w:val="000000"/>
                <w:szCs w:val="22"/>
              </w:rPr>
            </w:pPr>
            <w:r w:rsidRPr="00CE427E">
              <w:rPr>
                <w:rFonts w:eastAsia="Calibri"/>
                <w:color w:val="000000"/>
                <w:szCs w:val="22"/>
              </w:rPr>
              <w:t>47.3</w:t>
            </w:r>
          </w:p>
          <w:p w14:paraId="5D6C5C91" w14:textId="77777777" w:rsidR="004641E9" w:rsidRPr="00CE427E" w:rsidRDefault="004641E9" w:rsidP="006128F6">
            <w:pPr>
              <w:keepNext/>
              <w:keepLines/>
              <w:tabs>
                <w:tab w:val="clear" w:pos="567"/>
              </w:tabs>
              <w:autoSpaceDE w:val="0"/>
              <w:autoSpaceDN w:val="0"/>
              <w:adjustRightInd w:val="0"/>
              <w:spacing w:line="240" w:lineRule="auto"/>
              <w:jc w:val="center"/>
              <w:rPr>
                <w:rFonts w:eastAsia="Calibri"/>
                <w:color w:val="000000"/>
                <w:szCs w:val="22"/>
              </w:rPr>
            </w:pPr>
            <w:r w:rsidRPr="00CE427E">
              <w:rPr>
                <w:rFonts w:eastAsia="Calibri"/>
                <w:color w:val="000000"/>
                <w:szCs w:val="22"/>
              </w:rPr>
              <w:t>(32-ne)</w:t>
            </w:r>
          </w:p>
        </w:tc>
      </w:tr>
    </w:tbl>
    <w:p w14:paraId="16BF9898" w14:textId="77777777" w:rsidR="006D7926" w:rsidRPr="00CE427E" w:rsidRDefault="006D7926" w:rsidP="006128F6">
      <w:pPr>
        <w:tabs>
          <w:tab w:val="clear" w:pos="567"/>
        </w:tabs>
        <w:autoSpaceDE w:val="0"/>
        <w:autoSpaceDN w:val="0"/>
        <w:adjustRightInd w:val="0"/>
        <w:spacing w:line="240" w:lineRule="auto"/>
        <w:rPr>
          <w:rFonts w:eastAsia="Calibri"/>
          <w:sz w:val="20"/>
        </w:rPr>
      </w:pPr>
      <w:r w:rsidRPr="00CE427E">
        <w:rPr>
          <w:rFonts w:eastAsia="Calibri"/>
          <w:sz w:val="20"/>
        </w:rPr>
        <w:t>TTP = time to progression; "ne" indicates that it could not be estimated or it was not yet reached.</w:t>
      </w:r>
    </w:p>
    <w:p w14:paraId="4F4DB7A4" w14:textId="7343A743" w:rsidR="006D7926" w:rsidRPr="00CE427E" w:rsidRDefault="006D7926" w:rsidP="006128F6">
      <w:pPr>
        <w:tabs>
          <w:tab w:val="clear" w:pos="567"/>
        </w:tabs>
        <w:autoSpaceDE w:val="0"/>
        <w:autoSpaceDN w:val="0"/>
        <w:adjustRightInd w:val="0"/>
        <w:spacing w:line="240" w:lineRule="auto"/>
        <w:rPr>
          <w:rFonts w:eastAsia="Calibri"/>
          <w:sz w:val="20"/>
        </w:rPr>
      </w:pPr>
      <w:r w:rsidRPr="00CE427E">
        <w:rPr>
          <w:rFonts w:eastAsia="Calibri"/>
          <w:sz w:val="20"/>
        </w:rPr>
        <w:t>1. Study WO16229: loading dose 8 mg/kg, followed by 6 mg/kg 3</w:t>
      </w:r>
      <w:r w:rsidR="00211448" w:rsidRPr="00CE427E">
        <w:rPr>
          <w:rFonts w:eastAsia="Calibri"/>
          <w:sz w:val="20"/>
        </w:rPr>
        <w:t>-</w:t>
      </w:r>
      <w:r w:rsidRPr="00CE427E">
        <w:rPr>
          <w:rFonts w:eastAsia="Calibri"/>
          <w:sz w:val="20"/>
        </w:rPr>
        <w:t>weekly schedule</w:t>
      </w:r>
    </w:p>
    <w:p w14:paraId="738ADFCC" w14:textId="6F2DF71B" w:rsidR="006D7926" w:rsidRPr="00CE427E" w:rsidRDefault="006D7926" w:rsidP="006128F6">
      <w:pPr>
        <w:tabs>
          <w:tab w:val="clear" w:pos="567"/>
        </w:tabs>
        <w:autoSpaceDE w:val="0"/>
        <w:autoSpaceDN w:val="0"/>
        <w:adjustRightInd w:val="0"/>
        <w:spacing w:line="240" w:lineRule="auto"/>
        <w:rPr>
          <w:rFonts w:eastAsia="Calibri"/>
          <w:sz w:val="20"/>
        </w:rPr>
      </w:pPr>
      <w:r w:rsidRPr="00CE427E">
        <w:rPr>
          <w:rFonts w:eastAsia="Calibri"/>
          <w:sz w:val="20"/>
        </w:rPr>
        <w:t xml:space="preserve">2. Study MO16982: loading dose 6 mg/kg weekly </w:t>
      </w:r>
      <w:r w:rsidR="00D10725">
        <w:rPr>
          <w:rFonts w:eastAsia="Calibri"/>
          <w:sz w:val="20"/>
        </w:rPr>
        <w:t>×</w:t>
      </w:r>
      <w:r w:rsidRPr="00CE427E">
        <w:rPr>
          <w:rFonts w:eastAsia="Calibri"/>
          <w:sz w:val="20"/>
        </w:rPr>
        <w:t xml:space="preserve"> 3; followed by 6</w:t>
      </w:r>
      <w:r w:rsidR="00C037F3" w:rsidRPr="00CE427E">
        <w:rPr>
          <w:rFonts w:eastAsia="Calibri"/>
          <w:sz w:val="20"/>
        </w:rPr>
        <w:t> </w:t>
      </w:r>
      <w:r w:rsidRPr="00CE427E">
        <w:rPr>
          <w:rFonts w:eastAsia="Calibri"/>
          <w:sz w:val="20"/>
        </w:rPr>
        <w:t>mg/kg 3</w:t>
      </w:r>
      <w:r w:rsidRPr="00CE427E">
        <w:rPr>
          <w:rFonts w:eastAsia="Calibri"/>
          <w:sz w:val="20"/>
        </w:rPr>
        <w:noBreakHyphen/>
        <w:t>weekly schedule</w:t>
      </w:r>
    </w:p>
    <w:p w14:paraId="31B8916B" w14:textId="66F2635E" w:rsidR="006D7926" w:rsidRPr="00CE427E" w:rsidRDefault="006D7926" w:rsidP="006128F6">
      <w:pPr>
        <w:tabs>
          <w:tab w:val="clear" w:pos="567"/>
        </w:tabs>
        <w:autoSpaceDE w:val="0"/>
        <w:autoSpaceDN w:val="0"/>
        <w:adjustRightInd w:val="0"/>
        <w:spacing w:line="240" w:lineRule="auto"/>
        <w:rPr>
          <w:rFonts w:eastAsia="Calibri"/>
          <w:sz w:val="20"/>
        </w:rPr>
      </w:pPr>
      <w:r w:rsidRPr="00CE427E">
        <w:rPr>
          <w:rFonts w:eastAsia="Calibri"/>
          <w:sz w:val="20"/>
        </w:rPr>
        <w:t>3. Study BO15935</w:t>
      </w:r>
    </w:p>
    <w:p w14:paraId="10AF768A" w14:textId="19A27527" w:rsidR="006D7926" w:rsidRPr="00CE427E" w:rsidRDefault="006D7926" w:rsidP="006128F6">
      <w:pPr>
        <w:tabs>
          <w:tab w:val="clear" w:pos="567"/>
        </w:tabs>
        <w:autoSpaceDE w:val="0"/>
        <w:autoSpaceDN w:val="0"/>
        <w:adjustRightInd w:val="0"/>
        <w:spacing w:line="240" w:lineRule="auto"/>
        <w:rPr>
          <w:rFonts w:eastAsia="Calibri"/>
          <w:sz w:val="20"/>
        </w:rPr>
      </w:pPr>
      <w:r w:rsidRPr="00CE427E">
        <w:rPr>
          <w:rFonts w:eastAsia="Calibri"/>
          <w:sz w:val="20"/>
        </w:rPr>
        <w:t>4. Study MO16419</w:t>
      </w:r>
    </w:p>
    <w:p w14:paraId="3663363E" w14:textId="77777777" w:rsidR="006D7926" w:rsidRPr="00CE427E" w:rsidRDefault="006D7926" w:rsidP="006128F6">
      <w:pPr>
        <w:tabs>
          <w:tab w:val="clear" w:pos="567"/>
        </w:tabs>
        <w:autoSpaceDE w:val="0"/>
        <w:autoSpaceDN w:val="0"/>
        <w:adjustRightInd w:val="0"/>
        <w:spacing w:line="240" w:lineRule="auto"/>
        <w:rPr>
          <w:rFonts w:eastAsia="Calibri"/>
          <w:i/>
          <w:iCs/>
          <w:szCs w:val="22"/>
        </w:rPr>
      </w:pPr>
    </w:p>
    <w:p w14:paraId="1724C583" w14:textId="77777777" w:rsidR="006D7926" w:rsidRPr="00CE427E" w:rsidRDefault="006D7926" w:rsidP="006128F6">
      <w:pPr>
        <w:tabs>
          <w:tab w:val="clear" w:pos="567"/>
        </w:tabs>
        <w:autoSpaceDE w:val="0"/>
        <w:autoSpaceDN w:val="0"/>
        <w:adjustRightInd w:val="0"/>
        <w:spacing w:line="240" w:lineRule="auto"/>
        <w:rPr>
          <w:rFonts w:eastAsia="Calibri"/>
          <w:i/>
          <w:iCs/>
          <w:szCs w:val="22"/>
        </w:rPr>
      </w:pPr>
      <w:r w:rsidRPr="00CE427E">
        <w:rPr>
          <w:rFonts w:eastAsia="Calibri"/>
          <w:i/>
          <w:iCs/>
          <w:szCs w:val="22"/>
        </w:rPr>
        <w:t>Sites of progression</w:t>
      </w:r>
    </w:p>
    <w:p w14:paraId="78B9F606" w14:textId="4BCBCB89" w:rsidR="006D7926" w:rsidRPr="00CE427E" w:rsidRDefault="006D7926" w:rsidP="006128F6">
      <w:pPr>
        <w:tabs>
          <w:tab w:val="clear" w:pos="567"/>
        </w:tabs>
        <w:autoSpaceDE w:val="0"/>
        <w:autoSpaceDN w:val="0"/>
        <w:adjustRightInd w:val="0"/>
        <w:spacing w:line="240" w:lineRule="auto"/>
        <w:rPr>
          <w:rFonts w:eastAsia="Calibri"/>
          <w:szCs w:val="22"/>
        </w:rPr>
      </w:pPr>
      <w:r w:rsidRPr="00CE427E">
        <w:rPr>
          <w:rFonts w:eastAsia="Calibri"/>
          <w:szCs w:val="22"/>
        </w:rPr>
        <w:t xml:space="preserve">The frequency of progression in the liver was significantly reduced in patients treated with the combination of </w:t>
      </w:r>
      <w:r w:rsidR="004F3E6A" w:rsidRPr="00CE427E">
        <w:rPr>
          <w:rFonts w:eastAsia="Calibri"/>
          <w:szCs w:val="22"/>
        </w:rPr>
        <w:t>trastuzumab</w:t>
      </w:r>
      <w:r w:rsidRPr="00CE427E">
        <w:rPr>
          <w:rFonts w:eastAsia="Calibri"/>
          <w:szCs w:val="22"/>
        </w:rPr>
        <w:t xml:space="preserve"> and paclitaxel, compared to paclitaxel alone (21.8</w:t>
      </w:r>
      <w:r w:rsidR="000840CF" w:rsidRPr="00CE427E">
        <w:rPr>
          <w:rFonts w:eastAsia="Calibri"/>
          <w:szCs w:val="22"/>
        </w:rPr>
        <w:t>%</w:t>
      </w:r>
      <w:r w:rsidRPr="00CE427E">
        <w:rPr>
          <w:rFonts w:eastAsia="Calibri"/>
          <w:szCs w:val="22"/>
        </w:rPr>
        <w:t xml:space="preserve"> versus 45.7</w:t>
      </w:r>
      <w:r w:rsidR="000840CF" w:rsidRPr="00CE427E">
        <w:rPr>
          <w:rFonts w:eastAsia="Calibri"/>
          <w:szCs w:val="22"/>
        </w:rPr>
        <w:t>%</w:t>
      </w:r>
      <w:r w:rsidRPr="00CE427E">
        <w:rPr>
          <w:rFonts w:eastAsia="Calibri"/>
          <w:szCs w:val="22"/>
        </w:rPr>
        <w:t>; p</w:t>
      </w:r>
      <w:r w:rsidR="002B7BA5" w:rsidRPr="00CE427E">
        <w:rPr>
          <w:rFonts w:eastAsia="Calibri"/>
          <w:szCs w:val="22"/>
        </w:rPr>
        <w:t> </w:t>
      </w:r>
      <w:r w:rsidRPr="00CE427E">
        <w:rPr>
          <w:rFonts w:eastAsia="Calibri"/>
          <w:szCs w:val="22"/>
        </w:rPr>
        <w:t>=</w:t>
      </w:r>
      <w:r w:rsidR="002B7BA5" w:rsidRPr="00CE427E">
        <w:rPr>
          <w:rFonts w:eastAsia="Calibri"/>
          <w:szCs w:val="22"/>
        </w:rPr>
        <w:t> </w:t>
      </w:r>
      <w:r w:rsidRPr="00CE427E">
        <w:rPr>
          <w:rFonts w:eastAsia="Calibri"/>
          <w:szCs w:val="22"/>
        </w:rPr>
        <w:t xml:space="preserve">0.004). More patients treated with </w:t>
      </w:r>
      <w:r w:rsidR="004F3E6A" w:rsidRPr="00CE427E">
        <w:rPr>
          <w:rFonts w:eastAsia="Calibri"/>
          <w:szCs w:val="22"/>
        </w:rPr>
        <w:t>trastuzumab</w:t>
      </w:r>
      <w:r w:rsidRPr="00CE427E">
        <w:rPr>
          <w:rFonts w:eastAsia="Calibri"/>
          <w:szCs w:val="22"/>
        </w:rPr>
        <w:t xml:space="preserve"> and paclitaxel progressed in the central nervous system than those treated with paclitaxel alone (12.6</w:t>
      </w:r>
      <w:r w:rsidR="000840CF" w:rsidRPr="00CE427E">
        <w:rPr>
          <w:rFonts w:eastAsia="Calibri"/>
          <w:szCs w:val="22"/>
        </w:rPr>
        <w:t>%</w:t>
      </w:r>
      <w:r w:rsidRPr="00CE427E">
        <w:rPr>
          <w:rFonts w:eastAsia="Calibri"/>
          <w:szCs w:val="22"/>
        </w:rPr>
        <w:t xml:space="preserve"> versus 6.5</w:t>
      </w:r>
      <w:r w:rsidR="000840CF" w:rsidRPr="00CE427E">
        <w:rPr>
          <w:rFonts w:eastAsia="Calibri"/>
          <w:szCs w:val="22"/>
        </w:rPr>
        <w:t>%</w:t>
      </w:r>
      <w:r w:rsidRPr="00CE427E">
        <w:rPr>
          <w:rFonts w:eastAsia="Calibri"/>
          <w:szCs w:val="22"/>
        </w:rPr>
        <w:t>; p</w:t>
      </w:r>
      <w:r w:rsidR="002B7BA5" w:rsidRPr="00CE427E">
        <w:rPr>
          <w:rFonts w:eastAsia="Calibri"/>
          <w:szCs w:val="22"/>
        </w:rPr>
        <w:t> </w:t>
      </w:r>
      <w:r w:rsidRPr="00CE427E">
        <w:rPr>
          <w:rFonts w:eastAsia="Calibri"/>
          <w:szCs w:val="22"/>
        </w:rPr>
        <w:t>=</w:t>
      </w:r>
      <w:r w:rsidR="002B7BA5" w:rsidRPr="00CE427E">
        <w:rPr>
          <w:rFonts w:eastAsia="Calibri"/>
          <w:szCs w:val="22"/>
        </w:rPr>
        <w:t> </w:t>
      </w:r>
      <w:r w:rsidRPr="00CE427E">
        <w:rPr>
          <w:rFonts w:eastAsia="Calibri"/>
          <w:szCs w:val="22"/>
        </w:rPr>
        <w:t>0.377).</w:t>
      </w:r>
    </w:p>
    <w:p w14:paraId="1120304E" w14:textId="77777777" w:rsidR="006D7926" w:rsidRPr="00CE427E" w:rsidRDefault="006D7926" w:rsidP="006128F6">
      <w:pPr>
        <w:tabs>
          <w:tab w:val="clear" w:pos="567"/>
        </w:tabs>
        <w:autoSpaceDE w:val="0"/>
        <w:autoSpaceDN w:val="0"/>
        <w:adjustRightInd w:val="0"/>
        <w:spacing w:line="240" w:lineRule="auto"/>
        <w:rPr>
          <w:rFonts w:eastAsia="Calibri"/>
          <w:i/>
          <w:iCs/>
          <w:szCs w:val="22"/>
        </w:rPr>
      </w:pPr>
    </w:p>
    <w:p w14:paraId="1AE9D803" w14:textId="77777777" w:rsidR="006D7926" w:rsidRPr="00CE427E" w:rsidRDefault="006D7926" w:rsidP="006128F6">
      <w:pPr>
        <w:tabs>
          <w:tab w:val="clear" w:pos="567"/>
        </w:tabs>
        <w:autoSpaceDE w:val="0"/>
        <w:autoSpaceDN w:val="0"/>
        <w:adjustRightInd w:val="0"/>
        <w:spacing w:line="240" w:lineRule="auto"/>
        <w:rPr>
          <w:rFonts w:eastAsia="Calibri"/>
          <w:i/>
          <w:iCs/>
          <w:szCs w:val="22"/>
          <w:u w:val="single"/>
        </w:rPr>
      </w:pPr>
      <w:r w:rsidRPr="00CE427E">
        <w:rPr>
          <w:rFonts w:eastAsia="Calibri"/>
          <w:i/>
          <w:iCs/>
          <w:szCs w:val="22"/>
          <w:u w:val="single"/>
        </w:rPr>
        <w:t>Early breast cancer (adjuvant setting)</w:t>
      </w:r>
    </w:p>
    <w:p w14:paraId="18109CFF" w14:textId="77777777" w:rsidR="006D7926" w:rsidRPr="00CE427E" w:rsidRDefault="006D7926" w:rsidP="006128F6">
      <w:pPr>
        <w:tabs>
          <w:tab w:val="clear" w:pos="567"/>
        </w:tabs>
        <w:autoSpaceDE w:val="0"/>
        <w:autoSpaceDN w:val="0"/>
        <w:adjustRightInd w:val="0"/>
        <w:spacing w:line="240" w:lineRule="auto"/>
        <w:rPr>
          <w:rFonts w:eastAsia="Calibri"/>
          <w:szCs w:val="22"/>
        </w:rPr>
      </w:pPr>
    </w:p>
    <w:p w14:paraId="50639510" w14:textId="1AFE8890" w:rsidR="006D7926" w:rsidRPr="00CE427E" w:rsidRDefault="001B633B" w:rsidP="006128F6">
      <w:pPr>
        <w:tabs>
          <w:tab w:val="clear" w:pos="567"/>
        </w:tabs>
        <w:autoSpaceDE w:val="0"/>
        <w:autoSpaceDN w:val="0"/>
        <w:adjustRightInd w:val="0"/>
        <w:spacing w:line="240" w:lineRule="auto"/>
        <w:rPr>
          <w:rFonts w:eastAsia="Calibri"/>
          <w:szCs w:val="22"/>
        </w:rPr>
      </w:pPr>
      <w:r>
        <w:rPr>
          <w:rFonts w:eastAsia="Calibri"/>
          <w:szCs w:val="22"/>
        </w:rPr>
        <w:t>Early breast cancer</w:t>
      </w:r>
      <w:r w:rsidR="00215389" w:rsidRPr="00CE427E">
        <w:rPr>
          <w:rFonts w:eastAsia="Calibri"/>
          <w:szCs w:val="22"/>
        </w:rPr>
        <w:t xml:space="preserve"> is defined as non</w:t>
      </w:r>
      <w:r w:rsidR="00215389" w:rsidRPr="00CE427E">
        <w:rPr>
          <w:rFonts w:eastAsia="Calibri"/>
          <w:szCs w:val="22"/>
        </w:rPr>
        <w:noBreakHyphen/>
      </w:r>
      <w:r w:rsidR="006D7926" w:rsidRPr="00CE427E">
        <w:rPr>
          <w:rFonts w:eastAsia="Calibri"/>
          <w:szCs w:val="22"/>
        </w:rPr>
        <w:t>metastatic primary invasive carcinoma of the breast.</w:t>
      </w:r>
    </w:p>
    <w:p w14:paraId="175A6A05" w14:textId="77777777" w:rsidR="004F3E6A" w:rsidRPr="00CE427E" w:rsidRDefault="004F3E6A" w:rsidP="006128F6">
      <w:pPr>
        <w:tabs>
          <w:tab w:val="clear" w:pos="567"/>
        </w:tabs>
        <w:autoSpaceDE w:val="0"/>
        <w:autoSpaceDN w:val="0"/>
        <w:adjustRightInd w:val="0"/>
        <w:spacing w:line="240" w:lineRule="auto"/>
        <w:rPr>
          <w:rFonts w:eastAsia="Calibri"/>
          <w:szCs w:val="22"/>
        </w:rPr>
      </w:pPr>
    </w:p>
    <w:p w14:paraId="02A2082E" w14:textId="516DA7B1" w:rsidR="006D7926" w:rsidRPr="00CE427E" w:rsidRDefault="006D7926" w:rsidP="006128F6">
      <w:pPr>
        <w:tabs>
          <w:tab w:val="clear" w:pos="567"/>
        </w:tabs>
        <w:autoSpaceDE w:val="0"/>
        <w:autoSpaceDN w:val="0"/>
        <w:adjustRightInd w:val="0"/>
        <w:spacing w:line="240" w:lineRule="auto"/>
        <w:rPr>
          <w:rFonts w:eastAsia="Calibri"/>
          <w:szCs w:val="22"/>
        </w:rPr>
      </w:pPr>
      <w:r w:rsidRPr="00CE427E">
        <w:rPr>
          <w:rFonts w:eastAsia="Calibri"/>
          <w:szCs w:val="22"/>
        </w:rPr>
        <w:t xml:space="preserve">In the adjuvant </w:t>
      </w:r>
      <w:r w:rsidR="002267E7" w:rsidRPr="00CE427E">
        <w:rPr>
          <w:rFonts w:eastAsia="Calibri"/>
          <w:szCs w:val="22"/>
        </w:rPr>
        <w:t xml:space="preserve">treatment </w:t>
      </w:r>
      <w:r w:rsidRPr="00CE427E">
        <w:rPr>
          <w:rFonts w:eastAsia="Calibri"/>
          <w:szCs w:val="22"/>
        </w:rPr>
        <w:t xml:space="preserve">setting, </w:t>
      </w:r>
      <w:r w:rsidR="004F3E6A" w:rsidRPr="00CE427E">
        <w:rPr>
          <w:rFonts w:eastAsia="Calibri"/>
          <w:szCs w:val="22"/>
        </w:rPr>
        <w:t>trastuzumab</w:t>
      </w:r>
      <w:r w:rsidRPr="00CE427E">
        <w:rPr>
          <w:rFonts w:eastAsia="Calibri"/>
          <w:szCs w:val="22"/>
        </w:rPr>
        <w:t xml:space="preserve"> was investigated in 4 large multicentre, randomised, </w:t>
      </w:r>
      <w:r w:rsidR="004A5EE5">
        <w:rPr>
          <w:rFonts w:eastAsia="Calibri"/>
          <w:szCs w:val="22"/>
        </w:rPr>
        <w:t>studie</w:t>
      </w:r>
      <w:r w:rsidRPr="00CE427E">
        <w:rPr>
          <w:rFonts w:eastAsia="Calibri"/>
          <w:szCs w:val="22"/>
        </w:rPr>
        <w:t>s.</w:t>
      </w:r>
    </w:p>
    <w:p w14:paraId="1D206F55" w14:textId="0D89E695" w:rsidR="006D7926" w:rsidRPr="00CE427E" w:rsidRDefault="006D7926" w:rsidP="006128F6">
      <w:pPr>
        <w:pStyle w:val="ListParagraph"/>
        <w:numPr>
          <w:ilvl w:val="0"/>
          <w:numId w:val="11"/>
        </w:numPr>
        <w:tabs>
          <w:tab w:val="clear" w:pos="567"/>
        </w:tabs>
        <w:autoSpaceDE w:val="0"/>
        <w:autoSpaceDN w:val="0"/>
        <w:adjustRightInd w:val="0"/>
        <w:spacing w:line="240" w:lineRule="auto"/>
        <w:ind w:left="567" w:hanging="567"/>
        <w:rPr>
          <w:rFonts w:eastAsia="Calibri"/>
          <w:szCs w:val="22"/>
        </w:rPr>
      </w:pPr>
      <w:r w:rsidRPr="00CE427E">
        <w:rPr>
          <w:rFonts w:eastAsia="Calibri"/>
          <w:szCs w:val="22"/>
        </w:rPr>
        <w:t>Study BO16348 was designed to com</w:t>
      </w:r>
      <w:r w:rsidR="00215389" w:rsidRPr="00CE427E">
        <w:rPr>
          <w:rFonts w:eastAsia="Calibri"/>
          <w:szCs w:val="22"/>
        </w:rPr>
        <w:t>pare one and two years of three</w:t>
      </w:r>
      <w:r w:rsidR="00215389" w:rsidRPr="00CE427E">
        <w:rPr>
          <w:rFonts w:eastAsia="Calibri"/>
          <w:szCs w:val="22"/>
        </w:rPr>
        <w:noBreakHyphen/>
      </w:r>
      <w:r w:rsidRPr="00CE427E">
        <w:rPr>
          <w:rFonts w:eastAsia="Calibri"/>
          <w:szCs w:val="22"/>
        </w:rPr>
        <w:t xml:space="preserve">weekly </w:t>
      </w:r>
      <w:r w:rsidR="004F3E6A" w:rsidRPr="00CE427E">
        <w:rPr>
          <w:rFonts w:eastAsia="Calibri"/>
          <w:szCs w:val="22"/>
        </w:rPr>
        <w:t>trastuzumab</w:t>
      </w:r>
      <w:r w:rsidR="00215389" w:rsidRPr="00CE427E">
        <w:rPr>
          <w:rFonts w:eastAsia="Calibri"/>
          <w:szCs w:val="22"/>
        </w:rPr>
        <w:t xml:space="preserve"> </w:t>
      </w:r>
      <w:r w:rsidRPr="00CE427E">
        <w:rPr>
          <w:rFonts w:eastAsia="Calibri"/>
          <w:szCs w:val="22"/>
        </w:rPr>
        <w:t>treatment versus observation in patients with HER2 positive EBC following surgery, established</w:t>
      </w:r>
      <w:r w:rsidR="00215389" w:rsidRPr="00CE427E">
        <w:rPr>
          <w:rFonts w:eastAsia="Calibri"/>
          <w:szCs w:val="22"/>
        </w:rPr>
        <w:t xml:space="preserve"> </w:t>
      </w:r>
      <w:r w:rsidRPr="00CE427E">
        <w:rPr>
          <w:rFonts w:eastAsia="Calibri"/>
          <w:szCs w:val="22"/>
        </w:rPr>
        <w:t>chemotherapy and radiotherapy (if applicable). In addition, comparison of two years</w:t>
      </w:r>
      <w:r w:rsidR="004B1DA5" w:rsidRPr="00CE427E">
        <w:rPr>
          <w:rFonts w:eastAsia="Calibri"/>
          <w:szCs w:val="22"/>
        </w:rPr>
        <w:t xml:space="preserve"> of trastuzumab treatment</w:t>
      </w:r>
      <w:r w:rsidRPr="00CE427E">
        <w:rPr>
          <w:rFonts w:eastAsia="Calibri"/>
          <w:szCs w:val="22"/>
        </w:rPr>
        <w:t xml:space="preserve"> versus one</w:t>
      </w:r>
      <w:r w:rsidR="00215389" w:rsidRPr="00CE427E">
        <w:rPr>
          <w:rFonts w:eastAsia="Calibri"/>
          <w:szCs w:val="22"/>
        </w:rPr>
        <w:t xml:space="preserve"> </w:t>
      </w:r>
      <w:r w:rsidRPr="00CE427E">
        <w:rPr>
          <w:rFonts w:eastAsia="Calibri"/>
          <w:szCs w:val="22"/>
        </w:rPr>
        <w:t xml:space="preserve">year </w:t>
      </w:r>
      <w:r w:rsidR="004B1DA5" w:rsidRPr="00CE427E">
        <w:rPr>
          <w:rFonts w:eastAsia="Calibri"/>
          <w:szCs w:val="22"/>
        </w:rPr>
        <w:t xml:space="preserve">of </w:t>
      </w:r>
      <w:r w:rsidR="004F3E6A" w:rsidRPr="00CE427E">
        <w:rPr>
          <w:rFonts w:eastAsia="Calibri"/>
          <w:szCs w:val="22"/>
        </w:rPr>
        <w:t>trastuzumab</w:t>
      </w:r>
      <w:r w:rsidRPr="00CE427E">
        <w:rPr>
          <w:rFonts w:eastAsia="Calibri"/>
          <w:szCs w:val="22"/>
        </w:rPr>
        <w:t xml:space="preserve"> treatment was performed. Patients assigned to receive </w:t>
      </w:r>
      <w:r w:rsidR="004F3E6A" w:rsidRPr="00CE427E">
        <w:rPr>
          <w:rFonts w:eastAsia="Calibri"/>
          <w:szCs w:val="22"/>
        </w:rPr>
        <w:t>trastuzumab</w:t>
      </w:r>
      <w:r w:rsidRPr="00CE427E">
        <w:rPr>
          <w:rFonts w:eastAsia="Calibri"/>
          <w:szCs w:val="22"/>
        </w:rPr>
        <w:t xml:space="preserve"> were given an</w:t>
      </w:r>
      <w:r w:rsidR="00215389" w:rsidRPr="00CE427E">
        <w:rPr>
          <w:rFonts w:eastAsia="Calibri"/>
          <w:szCs w:val="22"/>
        </w:rPr>
        <w:t xml:space="preserve"> initial loading dose of 8 mg/kg, followed by 6 </w:t>
      </w:r>
      <w:r w:rsidRPr="00CE427E">
        <w:rPr>
          <w:rFonts w:eastAsia="Calibri"/>
          <w:szCs w:val="22"/>
        </w:rPr>
        <w:t>mg/kg every three weeks for either one or two</w:t>
      </w:r>
      <w:r w:rsidR="00215389" w:rsidRPr="00CE427E">
        <w:rPr>
          <w:rFonts w:eastAsia="Calibri"/>
          <w:szCs w:val="22"/>
        </w:rPr>
        <w:t xml:space="preserve"> </w:t>
      </w:r>
      <w:r w:rsidRPr="00CE427E">
        <w:rPr>
          <w:rFonts w:eastAsia="Calibri"/>
          <w:szCs w:val="22"/>
        </w:rPr>
        <w:t>years.</w:t>
      </w:r>
    </w:p>
    <w:p w14:paraId="005BC037" w14:textId="0574A9C8" w:rsidR="006D7926" w:rsidRPr="00CE427E" w:rsidRDefault="00215389" w:rsidP="006128F6">
      <w:pPr>
        <w:pStyle w:val="ListParagraph"/>
        <w:numPr>
          <w:ilvl w:val="0"/>
          <w:numId w:val="12"/>
        </w:numPr>
        <w:tabs>
          <w:tab w:val="clear" w:pos="567"/>
        </w:tabs>
        <w:autoSpaceDE w:val="0"/>
        <w:autoSpaceDN w:val="0"/>
        <w:adjustRightInd w:val="0"/>
        <w:spacing w:line="240" w:lineRule="auto"/>
        <w:ind w:left="567" w:hanging="567"/>
        <w:rPr>
          <w:rFonts w:eastAsia="Calibri"/>
          <w:szCs w:val="22"/>
        </w:rPr>
      </w:pPr>
      <w:r w:rsidRPr="00CE427E">
        <w:rPr>
          <w:rFonts w:eastAsia="Calibri"/>
          <w:szCs w:val="22"/>
        </w:rPr>
        <w:t>The NSABP B</w:t>
      </w:r>
      <w:r w:rsidRPr="00CE427E">
        <w:rPr>
          <w:rFonts w:eastAsia="Calibri"/>
          <w:szCs w:val="22"/>
        </w:rPr>
        <w:noBreakHyphen/>
      </w:r>
      <w:r w:rsidR="006D7926" w:rsidRPr="00CE427E">
        <w:rPr>
          <w:rFonts w:eastAsia="Calibri"/>
          <w:szCs w:val="22"/>
        </w:rPr>
        <w:t>31 and NCCTG N9831 studies that comprise the joint analysis were designed to</w:t>
      </w:r>
      <w:r w:rsidRPr="00CE427E">
        <w:rPr>
          <w:rFonts w:eastAsia="Calibri"/>
          <w:szCs w:val="22"/>
        </w:rPr>
        <w:t xml:space="preserve"> </w:t>
      </w:r>
      <w:r w:rsidR="006D7926" w:rsidRPr="00CE427E">
        <w:rPr>
          <w:rFonts w:eastAsia="Calibri"/>
          <w:szCs w:val="22"/>
        </w:rPr>
        <w:t xml:space="preserve">investigate the clinical utility of combining </w:t>
      </w:r>
      <w:r w:rsidR="004F3E6A" w:rsidRPr="00CE427E">
        <w:rPr>
          <w:rFonts w:eastAsia="Calibri"/>
          <w:szCs w:val="22"/>
        </w:rPr>
        <w:t>trastuzumab</w:t>
      </w:r>
      <w:r w:rsidR="006D7926" w:rsidRPr="00CE427E">
        <w:rPr>
          <w:rFonts w:eastAsia="Calibri"/>
          <w:szCs w:val="22"/>
        </w:rPr>
        <w:t xml:space="preserve"> treatme</w:t>
      </w:r>
      <w:r w:rsidRPr="00CE427E">
        <w:rPr>
          <w:rFonts w:eastAsia="Calibri"/>
          <w:szCs w:val="22"/>
        </w:rPr>
        <w:t xml:space="preserve">nt with paclitaxel following AC </w:t>
      </w:r>
      <w:r w:rsidR="006D7926" w:rsidRPr="00CE427E">
        <w:rPr>
          <w:rFonts w:eastAsia="Calibri"/>
          <w:szCs w:val="22"/>
        </w:rPr>
        <w:t>chemotherapy, additionally the NCCTG N9831 study als</w:t>
      </w:r>
      <w:r w:rsidRPr="00CE427E">
        <w:rPr>
          <w:rFonts w:eastAsia="Calibri"/>
          <w:szCs w:val="22"/>
        </w:rPr>
        <w:t xml:space="preserve">o investigated adding </w:t>
      </w:r>
      <w:r w:rsidR="004F3E6A" w:rsidRPr="00CE427E">
        <w:rPr>
          <w:rFonts w:eastAsia="Calibri"/>
          <w:szCs w:val="22"/>
        </w:rPr>
        <w:t>trastuzumab</w:t>
      </w:r>
      <w:r w:rsidRPr="00CE427E">
        <w:rPr>
          <w:rFonts w:eastAsia="Calibri"/>
          <w:szCs w:val="22"/>
        </w:rPr>
        <w:t xml:space="preserve"> sequentially </w:t>
      </w:r>
      <w:r w:rsidR="006D7926" w:rsidRPr="00CE427E">
        <w:rPr>
          <w:rFonts w:eastAsia="Calibri"/>
          <w:szCs w:val="22"/>
        </w:rPr>
        <w:t>to AC</w:t>
      </w:r>
      <w:r w:rsidR="006D7926" w:rsidRPr="006128F6">
        <w:rPr>
          <w:rFonts w:eastAsia="TimesNewRomanPSMT"/>
          <w:szCs w:val="22"/>
        </w:rPr>
        <w:t>→</w:t>
      </w:r>
      <w:r w:rsidR="006D7926" w:rsidRPr="00CE427E">
        <w:rPr>
          <w:rFonts w:eastAsia="Calibri"/>
          <w:szCs w:val="22"/>
        </w:rPr>
        <w:t>P chemotherapy in patients with HER2 positive EBC following surgery.</w:t>
      </w:r>
    </w:p>
    <w:p w14:paraId="5AE9A82A" w14:textId="3420BF5C" w:rsidR="006D7926" w:rsidRPr="00CE427E" w:rsidRDefault="006D7926" w:rsidP="006128F6">
      <w:pPr>
        <w:pStyle w:val="ListParagraph"/>
        <w:numPr>
          <w:ilvl w:val="0"/>
          <w:numId w:val="13"/>
        </w:numPr>
        <w:tabs>
          <w:tab w:val="clear" w:pos="567"/>
        </w:tabs>
        <w:autoSpaceDE w:val="0"/>
        <w:autoSpaceDN w:val="0"/>
        <w:adjustRightInd w:val="0"/>
        <w:spacing w:line="240" w:lineRule="auto"/>
        <w:ind w:left="567" w:hanging="567"/>
        <w:rPr>
          <w:rFonts w:eastAsia="Calibri"/>
          <w:szCs w:val="22"/>
        </w:rPr>
      </w:pPr>
      <w:r w:rsidRPr="00CE427E">
        <w:rPr>
          <w:rFonts w:eastAsia="Calibri"/>
          <w:szCs w:val="22"/>
        </w:rPr>
        <w:t>The BCIRG 006 study was designed to investigate com</w:t>
      </w:r>
      <w:r w:rsidR="00215389" w:rsidRPr="00CE427E">
        <w:rPr>
          <w:rFonts w:eastAsia="Calibri"/>
          <w:szCs w:val="22"/>
        </w:rPr>
        <w:t xml:space="preserve">bining </w:t>
      </w:r>
      <w:r w:rsidR="004F3E6A" w:rsidRPr="00CE427E">
        <w:rPr>
          <w:rFonts w:eastAsia="Calibri"/>
          <w:szCs w:val="22"/>
        </w:rPr>
        <w:t>trastuzumab</w:t>
      </w:r>
      <w:r w:rsidR="00215389" w:rsidRPr="00CE427E">
        <w:rPr>
          <w:rFonts w:eastAsia="Calibri"/>
          <w:szCs w:val="22"/>
        </w:rPr>
        <w:t xml:space="preserve"> treatment with </w:t>
      </w:r>
      <w:r w:rsidRPr="00CE427E">
        <w:rPr>
          <w:rFonts w:eastAsia="Calibri"/>
          <w:szCs w:val="22"/>
        </w:rPr>
        <w:t>docetaxel either following AC chemotherapy or in combination</w:t>
      </w:r>
      <w:r w:rsidR="00215389" w:rsidRPr="00CE427E">
        <w:rPr>
          <w:rFonts w:eastAsia="Calibri"/>
          <w:szCs w:val="22"/>
        </w:rPr>
        <w:t xml:space="preserve"> with docetaxel and carboplatin </w:t>
      </w:r>
      <w:r w:rsidRPr="00CE427E">
        <w:rPr>
          <w:rFonts w:eastAsia="Calibri"/>
          <w:szCs w:val="22"/>
        </w:rPr>
        <w:t>in patients with HER2 positive EBC following surgery.</w:t>
      </w:r>
    </w:p>
    <w:p w14:paraId="50E53737" w14:textId="77777777" w:rsidR="00215389" w:rsidRPr="00CE427E" w:rsidRDefault="00215389" w:rsidP="006128F6">
      <w:pPr>
        <w:tabs>
          <w:tab w:val="clear" w:pos="567"/>
        </w:tabs>
        <w:autoSpaceDE w:val="0"/>
        <w:autoSpaceDN w:val="0"/>
        <w:adjustRightInd w:val="0"/>
        <w:spacing w:line="240" w:lineRule="auto"/>
        <w:rPr>
          <w:rFonts w:eastAsia="Calibri"/>
          <w:szCs w:val="22"/>
        </w:rPr>
      </w:pPr>
    </w:p>
    <w:p w14:paraId="2A55B2DA" w14:textId="76C705E4" w:rsidR="00696DB9" w:rsidRPr="00CE427E" w:rsidRDefault="001B633B" w:rsidP="00696DB9">
      <w:pPr>
        <w:tabs>
          <w:tab w:val="clear" w:pos="567"/>
        </w:tabs>
        <w:autoSpaceDE w:val="0"/>
        <w:autoSpaceDN w:val="0"/>
        <w:adjustRightInd w:val="0"/>
        <w:spacing w:line="240" w:lineRule="auto"/>
        <w:rPr>
          <w:rFonts w:eastAsia="Calibri"/>
          <w:szCs w:val="22"/>
        </w:rPr>
      </w:pPr>
      <w:r>
        <w:rPr>
          <w:rFonts w:eastAsia="Calibri"/>
          <w:szCs w:val="22"/>
        </w:rPr>
        <w:t>Early breast cancer</w:t>
      </w:r>
      <w:r w:rsidR="00696DB9" w:rsidRPr="00CE427E">
        <w:rPr>
          <w:rFonts w:eastAsia="Calibri"/>
          <w:szCs w:val="22"/>
        </w:rPr>
        <w:t xml:space="preserve"> in the HERA </w:t>
      </w:r>
      <w:r w:rsidR="004A5EE5">
        <w:rPr>
          <w:rFonts w:eastAsia="Calibri"/>
          <w:szCs w:val="22"/>
        </w:rPr>
        <w:t>study</w:t>
      </w:r>
      <w:r w:rsidR="004A5EE5" w:rsidRPr="00CE427E">
        <w:rPr>
          <w:rFonts w:eastAsia="Calibri"/>
          <w:szCs w:val="22"/>
        </w:rPr>
        <w:t xml:space="preserve"> </w:t>
      </w:r>
      <w:r w:rsidR="00696DB9" w:rsidRPr="00CE427E">
        <w:rPr>
          <w:rFonts w:eastAsia="Calibri"/>
          <w:szCs w:val="22"/>
        </w:rPr>
        <w:t xml:space="preserve">was limited to operable, primary, invasive adenocarcinoma of the breast, with axillary nodes positive or axillary nodes negative if tumours at least 1 cm in diameter. </w:t>
      </w:r>
    </w:p>
    <w:p w14:paraId="580128E9" w14:textId="77777777" w:rsidR="00215389" w:rsidRPr="00CE427E" w:rsidRDefault="00215389" w:rsidP="006128F6">
      <w:pPr>
        <w:tabs>
          <w:tab w:val="clear" w:pos="567"/>
        </w:tabs>
        <w:autoSpaceDE w:val="0"/>
        <w:autoSpaceDN w:val="0"/>
        <w:adjustRightInd w:val="0"/>
        <w:spacing w:line="240" w:lineRule="auto"/>
        <w:rPr>
          <w:rFonts w:eastAsia="Calibri"/>
          <w:szCs w:val="22"/>
        </w:rPr>
      </w:pPr>
    </w:p>
    <w:p w14:paraId="5B95AB6F" w14:textId="77777777" w:rsidR="004E2671" w:rsidRPr="00CE427E" w:rsidRDefault="004E2671" w:rsidP="004E2671">
      <w:pPr>
        <w:tabs>
          <w:tab w:val="clear" w:pos="567"/>
        </w:tabs>
        <w:autoSpaceDE w:val="0"/>
        <w:autoSpaceDN w:val="0"/>
        <w:adjustRightInd w:val="0"/>
        <w:spacing w:line="240" w:lineRule="auto"/>
        <w:rPr>
          <w:rFonts w:eastAsia="Calibri"/>
          <w:szCs w:val="22"/>
        </w:rPr>
      </w:pPr>
      <w:r w:rsidRPr="00CE427E">
        <w:rPr>
          <w:rFonts w:eastAsia="Calibri"/>
          <w:szCs w:val="22"/>
        </w:rPr>
        <w:t>In the joint analysis of the NSABP B</w:t>
      </w:r>
      <w:r w:rsidRPr="00CE427E">
        <w:rPr>
          <w:rFonts w:eastAsia="Calibri"/>
          <w:szCs w:val="22"/>
        </w:rPr>
        <w:noBreakHyphen/>
        <w:t>31 and NCCTG N9831 studies, EBC was limited to women with operable breast cancer at high risk, defined as HER2</w:t>
      </w:r>
      <w:r w:rsidRPr="00CE427E">
        <w:rPr>
          <w:rFonts w:eastAsia="Calibri"/>
          <w:szCs w:val="22"/>
        </w:rPr>
        <w:noBreakHyphen/>
        <w:t xml:space="preserve">positive and axillary lymph node positive or HER2 positive and lymph node negative with high risk features (tumour size &gt; 1 cm and ER negative or tumour size &gt; 2 cm, regardless of hormonal status). </w:t>
      </w:r>
    </w:p>
    <w:p w14:paraId="6040E8DA" w14:textId="77777777" w:rsidR="00124A46" w:rsidRPr="00CE427E" w:rsidRDefault="00124A46" w:rsidP="006128F6">
      <w:pPr>
        <w:tabs>
          <w:tab w:val="clear" w:pos="567"/>
        </w:tabs>
        <w:autoSpaceDE w:val="0"/>
        <w:autoSpaceDN w:val="0"/>
        <w:adjustRightInd w:val="0"/>
        <w:spacing w:line="240" w:lineRule="auto"/>
        <w:rPr>
          <w:rFonts w:eastAsia="Calibri"/>
          <w:szCs w:val="22"/>
        </w:rPr>
      </w:pPr>
    </w:p>
    <w:p w14:paraId="3531E05E" w14:textId="7FE65597" w:rsidR="000B404B" w:rsidRPr="00CE427E" w:rsidRDefault="006D7926" w:rsidP="006128F6">
      <w:pPr>
        <w:tabs>
          <w:tab w:val="clear" w:pos="567"/>
        </w:tabs>
        <w:autoSpaceDE w:val="0"/>
        <w:autoSpaceDN w:val="0"/>
        <w:adjustRightInd w:val="0"/>
        <w:spacing w:line="240" w:lineRule="auto"/>
        <w:rPr>
          <w:rFonts w:eastAsia="Calibri"/>
          <w:szCs w:val="22"/>
        </w:rPr>
      </w:pPr>
      <w:r w:rsidRPr="00CE427E">
        <w:rPr>
          <w:rFonts w:eastAsia="Calibri"/>
          <w:szCs w:val="22"/>
        </w:rPr>
        <w:t>In the BCIRG 006 study HER2 positive, EBC was defined as either l</w:t>
      </w:r>
      <w:r w:rsidR="00215389" w:rsidRPr="00CE427E">
        <w:rPr>
          <w:rFonts w:eastAsia="Calibri"/>
          <w:szCs w:val="22"/>
        </w:rPr>
        <w:t xml:space="preserve">ymph node positive or high risk </w:t>
      </w:r>
      <w:r w:rsidRPr="00CE427E">
        <w:rPr>
          <w:rFonts w:eastAsia="Calibri"/>
          <w:szCs w:val="22"/>
        </w:rPr>
        <w:t xml:space="preserve">node negative patients with no (pN0) lymph node involvement, and at least 1 </w:t>
      </w:r>
      <w:r w:rsidR="00215389" w:rsidRPr="00CE427E">
        <w:rPr>
          <w:rFonts w:eastAsia="Calibri"/>
          <w:szCs w:val="22"/>
        </w:rPr>
        <w:t xml:space="preserve">of the following factors: </w:t>
      </w:r>
      <w:r w:rsidR="00E5304D" w:rsidRPr="00CE427E">
        <w:rPr>
          <w:rFonts w:eastAsia="Calibri"/>
          <w:szCs w:val="22"/>
        </w:rPr>
        <w:lastRenderedPageBreak/>
        <w:t>tumour size greater than 2 </w:t>
      </w:r>
      <w:r w:rsidRPr="00CE427E">
        <w:rPr>
          <w:rFonts w:eastAsia="Calibri"/>
          <w:szCs w:val="22"/>
        </w:rPr>
        <w:t xml:space="preserve">cm, </w:t>
      </w:r>
      <w:r w:rsidR="00B607F6">
        <w:rPr>
          <w:rFonts w:eastAsia="Calibri"/>
          <w:szCs w:val="22"/>
        </w:rPr>
        <w:t>o</w:t>
      </w:r>
      <w:r w:rsidRPr="00CE427E">
        <w:rPr>
          <w:rFonts w:eastAsia="Calibri"/>
          <w:szCs w:val="22"/>
        </w:rPr>
        <w:t xml:space="preserve">estrogen receptor and progesterone </w:t>
      </w:r>
      <w:r w:rsidR="00215389" w:rsidRPr="00CE427E">
        <w:rPr>
          <w:rFonts w:eastAsia="Calibri"/>
          <w:szCs w:val="22"/>
        </w:rPr>
        <w:t xml:space="preserve">receptor negative, histological </w:t>
      </w:r>
      <w:r w:rsidRPr="00CE427E">
        <w:rPr>
          <w:rFonts w:eastAsia="Calibri"/>
          <w:szCs w:val="22"/>
        </w:rPr>
        <w:t>and/or nuclear</w:t>
      </w:r>
      <w:r w:rsidR="00E5304D" w:rsidRPr="00CE427E">
        <w:rPr>
          <w:rFonts w:eastAsia="Calibri"/>
          <w:szCs w:val="22"/>
        </w:rPr>
        <w:t xml:space="preserve"> grade 2</w:t>
      </w:r>
      <w:r w:rsidR="00E5304D" w:rsidRPr="00CE427E">
        <w:rPr>
          <w:rFonts w:eastAsia="Calibri"/>
          <w:szCs w:val="22"/>
        </w:rPr>
        <w:noBreakHyphen/>
        <w:t>3, or age &lt; </w:t>
      </w:r>
      <w:r w:rsidR="00215389" w:rsidRPr="00CE427E">
        <w:rPr>
          <w:rFonts w:eastAsia="Calibri"/>
          <w:szCs w:val="22"/>
        </w:rPr>
        <w:t xml:space="preserve">35 years). </w:t>
      </w:r>
    </w:p>
    <w:p w14:paraId="55794293" w14:textId="77777777" w:rsidR="000B404B" w:rsidRPr="00CE427E" w:rsidRDefault="000B404B" w:rsidP="006128F6">
      <w:pPr>
        <w:tabs>
          <w:tab w:val="clear" w:pos="567"/>
        </w:tabs>
        <w:autoSpaceDE w:val="0"/>
        <w:autoSpaceDN w:val="0"/>
        <w:adjustRightInd w:val="0"/>
        <w:spacing w:line="240" w:lineRule="auto"/>
        <w:rPr>
          <w:rFonts w:eastAsia="Calibri"/>
          <w:szCs w:val="22"/>
        </w:rPr>
      </w:pPr>
    </w:p>
    <w:p w14:paraId="27FBE5BC" w14:textId="4C39FECD" w:rsidR="006D7926" w:rsidRPr="00CE427E" w:rsidRDefault="006D7926" w:rsidP="006128F6">
      <w:pPr>
        <w:tabs>
          <w:tab w:val="clear" w:pos="567"/>
        </w:tabs>
        <w:autoSpaceDE w:val="0"/>
        <w:autoSpaceDN w:val="0"/>
        <w:adjustRightInd w:val="0"/>
        <w:spacing w:line="240" w:lineRule="auto"/>
        <w:rPr>
          <w:rFonts w:eastAsia="Calibri"/>
          <w:szCs w:val="22"/>
        </w:rPr>
      </w:pPr>
      <w:r w:rsidRPr="00CE427E">
        <w:rPr>
          <w:rFonts w:eastAsia="Calibri"/>
          <w:szCs w:val="22"/>
        </w:rPr>
        <w:t>The efficacy results fro</w:t>
      </w:r>
      <w:r w:rsidR="00E5304D" w:rsidRPr="00CE427E">
        <w:rPr>
          <w:rFonts w:eastAsia="Calibri"/>
          <w:szCs w:val="22"/>
        </w:rPr>
        <w:t xml:space="preserve">m the BO16348 </w:t>
      </w:r>
      <w:r w:rsidR="004A5EE5">
        <w:rPr>
          <w:rFonts w:eastAsia="Calibri"/>
          <w:szCs w:val="22"/>
        </w:rPr>
        <w:t>study</w:t>
      </w:r>
      <w:r w:rsidR="004A5EE5" w:rsidRPr="00CE427E">
        <w:rPr>
          <w:rFonts w:eastAsia="Calibri"/>
          <w:szCs w:val="22"/>
        </w:rPr>
        <w:t xml:space="preserve"> </w:t>
      </w:r>
      <w:r w:rsidR="00E5304D" w:rsidRPr="00CE427E">
        <w:rPr>
          <w:rFonts w:eastAsia="Calibri"/>
          <w:szCs w:val="22"/>
        </w:rPr>
        <w:t>following 1</w:t>
      </w:r>
      <w:r w:rsidR="000B404B" w:rsidRPr="00CE427E">
        <w:rPr>
          <w:rFonts w:eastAsia="Calibri"/>
          <w:szCs w:val="22"/>
        </w:rPr>
        <w:t>2</w:t>
      </w:r>
      <w:r w:rsidRPr="00CE427E">
        <w:rPr>
          <w:rFonts w:eastAsia="Calibri"/>
          <w:szCs w:val="22"/>
        </w:rPr>
        <w:t xml:space="preserve"> months* and 8 years** median follow-up</w:t>
      </w:r>
      <w:r w:rsidR="000B404B" w:rsidRPr="00CE427E">
        <w:rPr>
          <w:rFonts w:eastAsia="Calibri"/>
          <w:szCs w:val="22"/>
        </w:rPr>
        <w:t xml:space="preserve"> </w:t>
      </w:r>
      <w:r w:rsidRPr="00CE427E">
        <w:rPr>
          <w:rFonts w:eastAsia="Calibri"/>
          <w:szCs w:val="22"/>
        </w:rPr>
        <w:t>are summari</w:t>
      </w:r>
      <w:r w:rsidR="00E5304D" w:rsidRPr="00CE427E">
        <w:rPr>
          <w:rFonts w:eastAsia="Calibri"/>
          <w:szCs w:val="22"/>
        </w:rPr>
        <w:t>s</w:t>
      </w:r>
      <w:r w:rsidR="00124A46" w:rsidRPr="00CE427E">
        <w:rPr>
          <w:rFonts w:eastAsia="Calibri"/>
          <w:szCs w:val="22"/>
        </w:rPr>
        <w:t xml:space="preserve">ed in </w:t>
      </w:r>
      <w:r w:rsidR="007519ED" w:rsidRPr="00CE427E">
        <w:rPr>
          <w:rFonts w:eastAsia="Calibri"/>
          <w:szCs w:val="22"/>
        </w:rPr>
        <w:t>t</w:t>
      </w:r>
      <w:r w:rsidR="00124A46" w:rsidRPr="00CE427E">
        <w:rPr>
          <w:rFonts w:eastAsia="Calibri"/>
          <w:szCs w:val="22"/>
        </w:rPr>
        <w:t>able </w:t>
      </w:r>
      <w:r w:rsidRPr="00CE427E">
        <w:rPr>
          <w:rFonts w:eastAsia="Calibri"/>
          <w:szCs w:val="22"/>
        </w:rPr>
        <w:t>6:</w:t>
      </w:r>
    </w:p>
    <w:p w14:paraId="05A91918" w14:textId="77777777" w:rsidR="00E5304D" w:rsidRPr="00CE427E" w:rsidRDefault="00E5304D" w:rsidP="006128F6">
      <w:pPr>
        <w:tabs>
          <w:tab w:val="clear" w:pos="567"/>
        </w:tabs>
        <w:autoSpaceDE w:val="0"/>
        <w:autoSpaceDN w:val="0"/>
        <w:adjustRightInd w:val="0"/>
        <w:spacing w:line="240" w:lineRule="auto"/>
        <w:rPr>
          <w:rFonts w:eastAsia="Calibri"/>
          <w:szCs w:val="22"/>
        </w:rPr>
      </w:pPr>
    </w:p>
    <w:p w14:paraId="43345F3F" w14:textId="0323C099" w:rsidR="006D7926" w:rsidRPr="006128F6" w:rsidRDefault="006D7926" w:rsidP="006128F6">
      <w:pPr>
        <w:keepNext/>
        <w:spacing w:line="240" w:lineRule="auto"/>
        <w:ind w:left="561" w:hanging="561"/>
        <w:outlineLvl w:val="0"/>
        <w:rPr>
          <w:b/>
          <w:szCs w:val="22"/>
        </w:rPr>
      </w:pPr>
      <w:r w:rsidRPr="00CE427E">
        <w:rPr>
          <w:rFonts w:eastAsia="Calibri"/>
          <w:b/>
          <w:szCs w:val="22"/>
        </w:rPr>
        <w:t xml:space="preserve">Table 6 Efficacy </w:t>
      </w:r>
      <w:r w:rsidR="00E5304D" w:rsidRPr="00CE427E">
        <w:rPr>
          <w:rFonts w:eastAsia="Calibri"/>
          <w:b/>
          <w:szCs w:val="22"/>
        </w:rPr>
        <w:t>r</w:t>
      </w:r>
      <w:r w:rsidRPr="00CE427E">
        <w:rPr>
          <w:rFonts w:eastAsia="Calibri"/>
          <w:b/>
          <w:szCs w:val="22"/>
        </w:rPr>
        <w:t xml:space="preserve">esults from </w:t>
      </w:r>
      <w:r w:rsidR="00E5304D" w:rsidRPr="00CE427E">
        <w:rPr>
          <w:rFonts w:eastAsia="Calibri"/>
          <w:b/>
          <w:szCs w:val="22"/>
        </w:rPr>
        <w:t>s</w:t>
      </w:r>
      <w:r w:rsidRPr="00CE427E">
        <w:rPr>
          <w:rFonts w:eastAsia="Calibri"/>
          <w:b/>
          <w:szCs w:val="22"/>
        </w:rPr>
        <w:t>tudy BO16348</w:t>
      </w:r>
    </w:p>
    <w:p w14:paraId="4B36D033" w14:textId="77777777" w:rsidR="00DE3936" w:rsidRPr="006128F6" w:rsidRDefault="00DE3936" w:rsidP="006128F6">
      <w:pPr>
        <w:keepNext/>
        <w:spacing w:line="240" w:lineRule="auto"/>
        <w:ind w:left="561" w:hanging="561"/>
        <w:outlineLvl w:val="0"/>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418"/>
        <w:gridCol w:w="1559"/>
        <w:gridCol w:w="1417"/>
        <w:gridCol w:w="1560"/>
      </w:tblGrid>
      <w:tr w:rsidR="000F233F" w:rsidRPr="006128F6" w14:paraId="21C7A21D" w14:textId="77777777" w:rsidTr="00CE427E">
        <w:trPr>
          <w:gridBefore w:val="1"/>
        </w:trPr>
        <w:tc>
          <w:tcPr>
            <w:tcW w:w="2977" w:type="dxa"/>
            <w:gridSpan w:val="2"/>
            <w:shd w:val="clear" w:color="auto" w:fill="auto"/>
          </w:tcPr>
          <w:p w14:paraId="10DE05FA" w14:textId="77777777" w:rsidR="000F233F" w:rsidRPr="00CE427E" w:rsidRDefault="000F233F" w:rsidP="00CE427E">
            <w:pPr>
              <w:keepNext/>
              <w:tabs>
                <w:tab w:val="clear" w:pos="567"/>
              </w:tabs>
              <w:autoSpaceDE w:val="0"/>
              <w:autoSpaceDN w:val="0"/>
              <w:adjustRightInd w:val="0"/>
              <w:spacing w:line="240" w:lineRule="auto"/>
              <w:jc w:val="center"/>
              <w:rPr>
                <w:rFonts w:eastAsia="MS Mincho"/>
                <w:b/>
                <w:sz w:val="20"/>
                <w:szCs w:val="22"/>
                <w:lang w:val="en-US" w:eastAsia="en-GB"/>
              </w:rPr>
            </w:pPr>
            <w:r w:rsidRPr="00CE427E">
              <w:rPr>
                <w:rFonts w:eastAsia="MS Mincho"/>
                <w:b/>
                <w:sz w:val="20"/>
                <w:szCs w:val="22"/>
                <w:lang w:val="en-US" w:eastAsia="en-GB"/>
              </w:rPr>
              <w:t>Median follow-up</w:t>
            </w:r>
          </w:p>
          <w:p w14:paraId="30980C4E" w14:textId="77777777" w:rsidR="000F233F" w:rsidRPr="00CE427E" w:rsidRDefault="000F233F" w:rsidP="00CE427E">
            <w:pPr>
              <w:keepNext/>
              <w:spacing w:line="240" w:lineRule="auto"/>
              <w:jc w:val="center"/>
              <w:outlineLvl w:val="0"/>
              <w:rPr>
                <w:b/>
                <w:sz w:val="20"/>
                <w:szCs w:val="22"/>
                <w:lang w:val="en-US"/>
              </w:rPr>
            </w:pPr>
            <w:r w:rsidRPr="00CE427E">
              <w:rPr>
                <w:rFonts w:eastAsia="MS Mincho"/>
                <w:b/>
                <w:sz w:val="20"/>
                <w:szCs w:val="22"/>
                <w:lang w:val="en-US" w:eastAsia="en-GB"/>
              </w:rPr>
              <w:t>12 months*</w:t>
            </w:r>
          </w:p>
        </w:tc>
        <w:tc>
          <w:tcPr>
            <w:tcW w:w="2977" w:type="dxa"/>
            <w:gridSpan w:val="2"/>
            <w:shd w:val="clear" w:color="auto" w:fill="auto"/>
          </w:tcPr>
          <w:p w14:paraId="541CE6EC" w14:textId="77777777" w:rsidR="000F233F" w:rsidRPr="00CE427E" w:rsidRDefault="000F233F" w:rsidP="00CE427E">
            <w:pPr>
              <w:keepNext/>
              <w:tabs>
                <w:tab w:val="clear" w:pos="567"/>
              </w:tabs>
              <w:autoSpaceDE w:val="0"/>
              <w:autoSpaceDN w:val="0"/>
              <w:adjustRightInd w:val="0"/>
              <w:spacing w:line="240" w:lineRule="auto"/>
              <w:jc w:val="center"/>
              <w:rPr>
                <w:rFonts w:eastAsia="MS Mincho"/>
                <w:b/>
                <w:sz w:val="20"/>
                <w:szCs w:val="22"/>
                <w:lang w:val="en-US" w:eastAsia="en-GB"/>
              </w:rPr>
            </w:pPr>
            <w:r w:rsidRPr="00CE427E">
              <w:rPr>
                <w:rFonts w:eastAsia="MS Mincho"/>
                <w:b/>
                <w:sz w:val="20"/>
                <w:szCs w:val="22"/>
                <w:lang w:val="en-US" w:eastAsia="en-GB"/>
              </w:rPr>
              <w:t>Median follow-up</w:t>
            </w:r>
          </w:p>
          <w:p w14:paraId="73D3DCB9" w14:textId="77777777" w:rsidR="000F233F" w:rsidRPr="00CE427E" w:rsidRDefault="000F233F" w:rsidP="00CE427E">
            <w:pPr>
              <w:keepNext/>
              <w:spacing w:line="240" w:lineRule="auto"/>
              <w:jc w:val="center"/>
              <w:outlineLvl w:val="0"/>
              <w:rPr>
                <w:b/>
                <w:sz w:val="20"/>
                <w:szCs w:val="22"/>
                <w:lang w:val="en-US"/>
              </w:rPr>
            </w:pPr>
            <w:r w:rsidRPr="00CE427E">
              <w:rPr>
                <w:rFonts w:eastAsia="MS Mincho"/>
                <w:b/>
                <w:sz w:val="20"/>
                <w:szCs w:val="22"/>
                <w:lang w:val="en-US" w:eastAsia="en-GB"/>
              </w:rPr>
              <w:t>8 years**</w:t>
            </w:r>
          </w:p>
        </w:tc>
      </w:tr>
      <w:tr w:rsidR="008F6721" w:rsidRPr="006128F6" w14:paraId="6AC14AD0" w14:textId="77777777" w:rsidTr="00CE427E">
        <w:tc>
          <w:tcPr>
            <w:tcW w:w="2977" w:type="dxa"/>
            <w:shd w:val="clear" w:color="auto" w:fill="auto"/>
          </w:tcPr>
          <w:p w14:paraId="02A30496" w14:textId="77777777" w:rsidR="00F95C5D" w:rsidRPr="00CE427E" w:rsidRDefault="000F233F" w:rsidP="00CE427E">
            <w:pPr>
              <w:keepNext/>
              <w:spacing w:line="240" w:lineRule="auto"/>
              <w:outlineLvl w:val="0"/>
              <w:rPr>
                <w:b/>
                <w:sz w:val="20"/>
                <w:lang w:val="en-US"/>
              </w:rPr>
            </w:pPr>
            <w:r w:rsidRPr="00CE427E">
              <w:rPr>
                <w:b/>
                <w:sz w:val="20"/>
                <w:lang w:val="en-US"/>
              </w:rPr>
              <w:t>Parameter</w:t>
            </w:r>
          </w:p>
        </w:tc>
        <w:tc>
          <w:tcPr>
            <w:tcW w:w="1418" w:type="dxa"/>
            <w:tcBorders>
              <w:bottom w:val="single" w:sz="4" w:space="0" w:color="auto"/>
            </w:tcBorders>
            <w:shd w:val="clear" w:color="auto" w:fill="auto"/>
          </w:tcPr>
          <w:p w14:paraId="42F39DFF" w14:textId="77777777" w:rsidR="000F233F" w:rsidRPr="00CE427E" w:rsidRDefault="000F233F" w:rsidP="00CE427E">
            <w:pPr>
              <w:keepNext/>
              <w:tabs>
                <w:tab w:val="clear" w:pos="567"/>
              </w:tabs>
              <w:autoSpaceDE w:val="0"/>
              <w:autoSpaceDN w:val="0"/>
              <w:adjustRightInd w:val="0"/>
              <w:spacing w:line="240" w:lineRule="auto"/>
              <w:jc w:val="center"/>
              <w:rPr>
                <w:rFonts w:eastAsia="MS Mincho"/>
                <w:b/>
                <w:sz w:val="20"/>
                <w:lang w:val="en-US" w:eastAsia="en-GB"/>
              </w:rPr>
            </w:pPr>
            <w:r w:rsidRPr="00CE427E">
              <w:rPr>
                <w:rFonts w:eastAsia="MS Mincho"/>
                <w:b/>
                <w:sz w:val="20"/>
                <w:lang w:val="en-US" w:eastAsia="en-GB"/>
              </w:rPr>
              <w:t>Observation</w:t>
            </w:r>
          </w:p>
          <w:p w14:paraId="17011FA0" w14:textId="67F0EBCA" w:rsidR="00F95C5D" w:rsidRPr="00CE427E" w:rsidRDefault="000F233F" w:rsidP="00CE427E">
            <w:pPr>
              <w:keepNext/>
              <w:spacing w:line="240" w:lineRule="auto"/>
              <w:jc w:val="center"/>
              <w:outlineLvl w:val="0"/>
              <w:rPr>
                <w:b/>
                <w:sz w:val="20"/>
                <w:lang w:val="en-US"/>
              </w:rPr>
            </w:pPr>
            <w:r w:rsidRPr="00CE427E">
              <w:rPr>
                <w:rFonts w:eastAsia="MS Mincho"/>
                <w:b/>
                <w:sz w:val="20"/>
                <w:lang w:val="en-US" w:eastAsia="en-GB"/>
              </w:rPr>
              <w:t>N</w:t>
            </w:r>
            <w:r w:rsidR="002B7BA5" w:rsidRPr="00CE427E">
              <w:rPr>
                <w:rFonts w:eastAsia="MS Mincho"/>
                <w:b/>
                <w:sz w:val="20"/>
                <w:lang w:val="en-US" w:eastAsia="en-GB"/>
              </w:rPr>
              <w:t> </w:t>
            </w:r>
            <w:r w:rsidRPr="00CE427E">
              <w:rPr>
                <w:rFonts w:eastAsia="MS Mincho"/>
                <w:b/>
                <w:sz w:val="20"/>
                <w:lang w:val="en-US" w:eastAsia="en-GB"/>
              </w:rPr>
              <w:t>=</w:t>
            </w:r>
            <w:r w:rsidR="002B7BA5" w:rsidRPr="00CE427E">
              <w:rPr>
                <w:rFonts w:eastAsia="MS Mincho"/>
                <w:b/>
                <w:sz w:val="20"/>
                <w:lang w:val="en-US" w:eastAsia="en-GB"/>
              </w:rPr>
              <w:t> </w:t>
            </w:r>
            <w:r w:rsidRPr="00CE427E">
              <w:rPr>
                <w:rFonts w:eastAsia="MS Mincho"/>
                <w:b/>
                <w:sz w:val="20"/>
                <w:lang w:val="en-US" w:eastAsia="en-GB"/>
              </w:rPr>
              <w:t>1</w:t>
            </w:r>
            <w:r w:rsidR="000B44AA">
              <w:rPr>
                <w:rFonts w:eastAsia="MS Mincho"/>
                <w:b/>
                <w:sz w:val="20"/>
                <w:lang w:val="en-US" w:eastAsia="en-GB"/>
              </w:rPr>
              <w:t> </w:t>
            </w:r>
            <w:r w:rsidRPr="00CE427E">
              <w:rPr>
                <w:rFonts w:eastAsia="MS Mincho"/>
                <w:b/>
                <w:sz w:val="20"/>
                <w:lang w:val="en-US" w:eastAsia="en-GB"/>
              </w:rPr>
              <w:t>693</w:t>
            </w:r>
          </w:p>
        </w:tc>
        <w:tc>
          <w:tcPr>
            <w:tcW w:w="1559" w:type="dxa"/>
            <w:tcBorders>
              <w:bottom w:val="single" w:sz="4" w:space="0" w:color="auto"/>
            </w:tcBorders>
            <w:shd w:val="clear" w:color="auto" w:fill="auto"/>
          </w:tcPr>
          <w:p w14:paraId="2126FB65" w14:textId="77777777" w:rsidR="000F233F" w:rsidRPr="00CE427E" w:rsidRDefault="004F3E6A" w:rsidP="00CE427E">
            <w:pPr>
              <w:keepNext/>
              <w:tabs>
                <w:tab w:val="clear" w:pos="567"/>
              </w:tabs>
              <w:autoSpaceDE w:val="0"/>
              <w:autoSpaceDN w:val="0"/>
              <w:adjustRightInd w:val="0"/>
              <w:spacing w:line="240" w:lineRule="auto"/>
              <w:jc w:val="center"/>
              <w:rPr>
                <w:rFonts w:eastAsia="MS Mincho"/>
                <w:b/>
                <w:sz w:val="20"/>
                <w:lang w:val="en-US" w:eastAsia="en-GB"/>
              </w:rPr>
            </w:pPr>
            <w:r w:rsidRPr="00CE427E">
              <w:rPr>
                <w:rFonts w:eastAsia="MS Mincho"/>
                <w:b/>
                <w:sz w:val="20"/>
                <w:lang w:val="en-US" w:eastAsia="en-GB"/>
              </w:rPr>
              <w:t>Trastuzumab</w:t>
            </w:r>
          </w:p>
          <w:p w14:paraId="6F8702FE" w14:textId="77777777" w:rsidR="000F233F" w:rsidRPr="00CE427E" w:rsidRDefault="000F233F" w:rsidP="00CE427E">
            <w:pPr>
              <w:keepNext/>
              <w:tabs>
                <w:tab w:val="clear" w:pos="567"/>
              </w:tabs>
              <w:autoSpaceDE w:val="0"/>
              <w:autoSpaceDN w:val="0"/>
              <w:adjustRightInd w:val="0"/>
              <w:spacing w:line="240" w:lineRule="auto"/>
              <w:jc w:val="center"/>
              <w:rPr>
                <w:rFonts w:eastAsia="MS Mincho"/>
                <w:b/>
                <w:sz w:val="20"/>
                <w:lang w:val="en-US" w:eastAsia="en-GB"/>
              </w:rPr>
            </w:pPr>
            <w:r w:rsidRPr="00CE427E">
              <w:rPr>
                <w:rFonts w:eastAsia="MS Mincho"/>
                <w:b/>
                <w:sz w:val="20"/>
                <w:lang w:val="en-US" w:eastAsia="en-GB"/>
              </w:rPr>
              <w:t>1 Year</w:t>
            </w:r>
          </w:p>
          <w:p w14:paraId="298AB80C" w14:textId="2092A51D" w:rsidR="00F95C5D" w:rsidRPr="00CE427E" w:rsidRDefault="002B7BA5" w:rsidP="00CE427E">
            <w:pPr>
              <w:keepNext/>
              <w:spacing w:line="240" w:lineRule="auto"/>
              <w:jc w:val="center"/>
              <w:outlineLvl w:val="0"/>
              <w:rPr>
                <w:b/>
                <w:sz w:val="20"/>
                <w:lang w:val="en-US"/>
              </w:rPr>
            </w:pPr>
            <w:r w:rsidRPr="00CE427E">
              <w:rPr>
                <w:rFonts w:eastAsia="MS Mincho"/>
                <w:b/>
                <w:sz w:val="20"/>
                <w:lang w:val="en-US" w:eastAsia="en-GB"/>
              </w:rPr>
              <w:t>N = </w:t>
            </w:r>
            <w:r w:rsidR="000F233F" w:rsidRPr="00CE427E">
              <w:rPr>
                <w:rFonts w:eastAsia="MS Mincho"/>
                <w:b/>
                <w:sz w:val="20"/>
                <w:lang w:val="en-US" w:eastAsia="en-GB"/>
              </w:rPr>
              <w:t>1</w:t>
            </w:r>
            <w:r w:rsidR="000B44AA">
              <w:rPr>
                <w:rFonts w:eastAsia="MS Mincho"/>
                <w:b/>
                <w:sz w:val="20"/>
                <w:lang w:val="en-US" w:eastAsia="en-GB"/>
              </w:rPr>
              <w:t> </w:t>
            </w:r>
            <w:r w:rsidR="000F233F" w:rsidRPr="00CE427E">
              <w:rPr>
                <w:rFonts w:eastAsia="MS Mincho"/>
                <w:b/>
                <w:sz w:val="20"/>
                <w:lang w:val="en-US" w:eastAsia="en-GB"/>
              </w:rPr>
              <w:t>693</w:t>
            </w:r>
          </w:p>
        </w:tc>
        <w:tc>
          <w:tcPr>
            <w:tcW w:w="1417" w:type="dxa"/>
            <w:tcBorders>
              <w:bottom w:val="single" w:sz="4" w:space="0" w:color="auto"/>
            </w:tcBorders>
            <w:shd w:val="clear" w:color="auto" w:fill="auto"/>
          </w:tcPr>
          <w:p w14:paraId="49C35BE2" w14:textId="77777777" w:rsidR="000F233F" w:rsidRPr="00CE427E" w:rsidRDefault="000F233F" w:rsidP="00CE427E">
            <w:pPr>
              <w:keepNext/>
              <w:tabs>
                <w:tab w:val="clear" w:pos="567"/>
              </w:tabs>
              <w:autoSpaceDE w:val="0"/>
              <w:autoSpaceDN w:val="0"/>
              <w:adjustRightInd w:val="0"/>
              <w:spacing w:line="240" w:lineRule="auto"/>
              <w:jc w:val="center"/>
              <w:rPr>
                <w:rFonts w:eastAsia="MS Mincho"/>
                <w:b/>
                <w:sz w:val="20"/>
                <w:lang w:val="en-US" w:eastAsia="en-GB"/>
              </w:rPr>
            </w:pPr>
            <w:r w:rsidRPr="00CE427E">
              <w:rPr>
                <w:rFonts w:eastAsia="MS Mincho"/>
                <w:b/>
                <w:sz w:val="20"/>
                <w:lang w:val="en-US" w:eastAsia="en-GB"/>
              </w:rPr>
              <w:t>Observation</w:t>
            </w:r>
          </w:p>
          <w:p w14:paraId="66A8B76E" w14:textId="34D4FF42" w:rsidR="00F95C5D" w:rsidRPr="00CE427E" w:rsidRDefault="002B7BA5" w:rsidP="00CE427E">
            <w:pPr>
              <w:keepNext/>
              <w:spacing w:line="240" w:lineRule="auto"/>
              <w:jc w:val="center"/>
              <w:outlineLvl w:val="0"/>
              <w:rPr>
                <w:b/>
                <w:sz w:val="20"/>
                <w:lang w:val="en-US"/>
              </w:rPr>
            </w:pPr>
            <w:r w:rsidRPr="00CE427E">
              <w:rPr>
                <w:rFonts w:eastAsia="MS Mincho"/>
                <w:b/>
                <w:sz w:val="20"/>
                <w:lang w:val="en-US" w:eastAsia="en-GB"/>
              </w:rPr>
              <w:t>N = </w:t>
            </w:r>
            <w:r w:rsidR="000F233F" w:rsidRPr="00CE427E">
              <w:rPr>
                <w:rFonts w:eastAsia="MS Mincho"/>
                <w:b/>
                <w:sz w:val="20"/>
                <w:lang w:val="en-US" w:eastAsia="en-GB"/>
              </w:rPr>
              <w:t>1</w:t>
            </w:r>
            <w:r w:rsidR="000B44AA">
              <w:rPr>
                <w:rFonts w:eastAsia="MS Mincho"/>
                <w:b/>
                <w:sz w:val="20"/>
                <w:lang w:val="en-US" w:eastAsia="en-GB"/>
              </w:rPr>
              <w:t> </w:t>
            </w:r>
            <w:r w:rsidR="000F233F" w:rsidRPr="00CE427E">
              <w:rPr>
                <w:rFonts w:eastAsia="MS Mincho"/>
                <w:b/>
                <w:sz w:val="20"/>
                <w:lang w:val="en-US" w:eastAsia="en-GB"/>
              </w:rPr>
              <w:t>697**</w:t>
            </w:r>
            <w:r w:rsidR="00616B64" w:rsidRPr="00CE427E">
              <w:rPr>
                <w:rFonts w:eastAsia="MS Mincho"/>
                <w:b/>
                <w:sz w:val="20"/>
                <w:lang w:val="en-US" w:eastAsia="en-GB"/>
              </w:rPr>
              <w:t>*</w:t>
            </w:r>
          </w:p>
        </w:tc>
        <w:tc>
          <w:tcPr>
            <w:tcW w:w="1560" w:type="dxa"/>
            <w:tcBorders>
              <w:bottom w:val="single" w:sz="4" w:space="0" w:color="auto"/>
            </w:tcBorders>
            <w:shd w:val="clear" w:color="auto" w:fill="auto"/>
          </w:tcPr>
          <w:p w14:paraId="7191D7FE" w14:textId="77777777" w:rsidR="000F233F" w:rsidRPr="00CE427E" w:rsidRDefault="004F3E6A" w:rsidP="00CE427E">
            <w:pPr>
              <w:keepNext/>
              <w:tabs>
                <w:tab w:val="clear" w:pos="567"/>
              </w:tabs>
              <w:autoSpaceDE w:val="0"/>
              <w:autoSpaceDN w:val="0"/>
              <w:adjustRightInd w:val="0"/>
              <w:spacing w:line="240" w:lineRule="auto"/>
              <w:jc w:val="center"/>
              <w:rPr>
                <w:rFonts w:eastAsia="MS Mincho"/>
                <w:b/>
                <w:sz w:val="20"/>
                <w:lang w:val="en-US" w:eastAsia="en-GB"/>
              </w:rPr>
            </w:pPr>
            <w:r w:rsidRPr="00CE427E">
              <w:rPr>
                <w:rFonts w:eastAsia="MS Mincho"/>
                <w:b/>
                <w:sz w:val="20"/>
                <w:lang w:val="en-US" w:eastAsia="en-GB"/>
              </w:rPr>
              <w:t>Trastuzumab</w:t>
            </w:r>
          </w:p>
          <w:p w14:paraId="03180DBC" w14:textId="77777777" w:rsidR="000F233F" w:rsidRPr="00CE427E" w:rsidRDefault="000F233F" w:rsidP="00CE427E">
            <w:pPr>
              <w:keepNext/>
              <w:tabs>
                <w:tab w:val="clear" w:pos="567"/>
              </w:tabs>
              <w:autoSpaceDE w:val="0"/>
              <w:autoSpaceDN w:val="0"/>
              <w:adjustRightInd w:val="0"/>
              <w:spacing w:line="240" w:lineRule="auto"/>
              <w:jc w:val="center"/>
              <w:rPr>
                <w:rFonts w:eastAsia="MS Mincho"/>
                <w:b/>
                <w:sz w:val="20"/>
                <w:lang w:val="en-US" w:eastAsia="en-GB"/>
              </w:rPr>
            </w:pPr>
            <w:r w:rsidRPr="00CE427E">
              <w:rPr>
                <w:rFonts w:eastAsia="MS Mincho"/>
                <w:b/>
                <w:sz w:val="20"/>
                <w:lang w:val="en-US" w:eastAsia="en-GB"/>
              </w:rPr>
              <w:t>1 Year</w:t>
            </w:r>
          </w:p>
          <w:p w14:paraId="4CD38C7C" w14:textId="6A5169E1" w:rsidR="00F95C5D" w:rsidRPr="00CE427E" w:rsidRDefault="000F233F" w:rsidP="00CE427E">
            <w:pPr>
              <w:keepNext/>
              <w:spacing w:line="240" w:lineRule="auto"/>
              <w:jc w:val="center"/>
              <w:outlineLvl w:val="0"/>
              <w:rPr>
                <w:b/>
                <w:sz w:val="20"/>
                <w:lang w:val="en-US"/>
              </w:rPr>
            </w:pPr>
            <w:r w:rsidRPr="00CE427E">
              <w:rPr>
                <w:rFonts w:eastAsia="MS Mincho"/>
                <w:b/>
                <w:sz w:val="20"/>
                <w:lang w:val="en-US" w:eastAsia="en-GB"/>
              </w:rPr>
              <w:t>N</w:t>
            </w:r>
            <w:r w:rsidR="002B7BA5" w:rsidRPr="00CE427E">
              <w:rPr>
                <w:rFonts w:eastAsia="MS Mincho"/>
                <w:b/>
                <w:sz w:val="20"/>
                <w:lang w:val="en-US" w:eastAsia="en-GB"/>
              </w:rPr>
              <w:t> = </w:t>
            </w:r>
            <w:r w:rsidRPr="00CE427E">
              <w:rPr>
                <w:rFonts w:eastAsia="MS Mincho"/>
                <w:b/>
                <w:sz w:val="20"/>
                <w:lang w:val="en-US" w:eastAsia="en-GB"/>
              </w:rPr>
              <w:t>1</w:t>
            </w:r>
            <w:r w:rsidR="000B44AA">
              <w:rPr>
                <w:rFonts w:eastAsia="MS Mincho"/>
                <w:b/>
                <w:sz w:val="20"/>
                <w:lang w:val="en-US" w:eastAsia="en-GB"/>
              </w:rPr>
              <w:t> </w:t>
            </w:r>
            <w:r w:rsidRPr="00CE427E">
              <w:rPr>
                <w:rFonts w:eastAsia="MS Mincho"/>
                <w:b/>
                <w:sz w:val="20"/>
                <w:lang w:val="en-US" w:eastAsia="en-GB"/>
              </w:rPr>
              <w:t>702***</w:t>
            </w:r>
          </w:p>
        </w:tc>
      </w:tr>
      <w:tr w:rsidR="008F6721" w:rsidRPr="006128F6" w14:paraId="0682588D" w14:textId="77777777" w:rsidTr="00CE427E">
        <w:trPr>
          <w:trHeight w:val="727"/>
        </w:trPr>
        <w:tc>
          <w:tcPr>
            <w:tcW w:w="2977" w:type="dxa"/>
            <w:vMerge w:val="restart"/>
            <w:shd w:val="clear" w:color="auto" w:fill="auto"/>
          </w:tcPr>
          <w:p w14:paraId="145FEF46" w14:textId="7407D01F" w:rsidR="00EC4995" w:rsidRPr="00CE427E" w:rsidRDefault="00EC4995" w:rsidP="00CE427E">
            <w:pPr>
              <w:keepNext/>
              <w:tabs>
                <w:tab w:val="clear" w:pos="567"/>
              </w:tabs>
              <w:autoSpaceDE w:val="0"/>
              <w:autoSpaceDN w:val="0"/>
              <w:adjustRightInd w:val="0"/>
              <w:spacing w:line="240" w:lineRule="auto"/>
              <w:rPr>
                <w:rFonts w:eastAsia="MS Mincho"/>
                <w:sz w:val="20"/>
                <w:lang w:val="en-US" w:eastAsia="en-GB"/>
              </w:rPr>
            </w:pPr>
            <w:r w:rsidRPr="00CE427E">
              <w:rPr>
                <w:rFonts w:eastAsia="MS Mincho"/>
                <w:sz w:val="20"/>
                <w:lang w:val="en-US" w:eastAsia="en-GB"/>
              </w:rPr>
              <w:t>Disease-free survival</w:t>
            </w:r>
            <w:r w:rsidR="008B2309">
              <w:rPr>
                <w:rFonts w:eastAsia="MS Mincho"/>
                <w:sz w:val="20"/>
                <w:lang w:val="en-US" w:eastAsia="en-GB"/>
              </w:rPr>
              <w:t xml:space="preserve"> (DFS)</w:t>
            </w:r>
          </w:p>
          <w:p w14:paraId="3F6AFE83" w14:textId="77777777" w:rsidR="00EC4995" w:rsidRPr="00CE427E" w:rsidRDefault="00EC4995" w:rsidP="00CE427E">
            <w:pPr>
              <w:keepNext/>
              <w:spacing w:line="240" w:lineRule="auto"/>
              <w:outlineLvl w:val="0"/>
              <w:rPr>
                <w:sz w:val="20"/>
                <w:lang w:val="en-US"/>
              </w:rPr>
            </w:pPr>
            <w:r w:rsidRPr="00CE427E">
              <w:rPr>
                <w:rFonts w:eastAsia="MS Mincho"/>
                <w:sz w:val="20"/>
                <w:lang w:val="en-US" w:eastAsia="en-GB"/>
              </w:rPr>
              <w:t>- No. patients with event</w:t>
            </w:r>
          </w:p>
          <w:p w14:paraId="06B2B645" w14:textId="77777777" w:rsidR="00EC4995" w:rsidRPr="00CE427E" w:rsidRDefault="00EC4995" w:rsidP="00CE427E">
            <w:pPr>
              <w:keepNext/>
              <w:spacing w:line="240" w:lineRule="auto"/>
              <w:outlineLvl w:val="0"/>
              <w:rPr>
                <w:sz w:val="20"/>
                <w:lang w:val="en-US"/>
              </w:rPr>
            </w:pPr>
            <w:r w:rsidRPr="00CE427E">
              <w:rPr>
                <w:sz w:val="20"/>
                <w:lang w:val="en-US"/>
              </w:rPr>
              <w:t>- No. patients without event</w:t>
            </w:r>
          </w:p>
          <w:p w14:paraId="11071DE8" w14:textId="77777777" w:rsidR="00EC4995" w:rsidRPr="00CE427E" w:rsidRDefault="007D5B08" w:rsidP="00CE427E">
            <w:pPr>
              <w:keepNext/>
              <w:spacing w:line="240" w:lineRule="auto"/>
              <w:outlineLvl w:val="0"/>
              <w:rPr>
                <w:sz w:val="20"/>
                <w:lang w:val="en-US"/>
              </w:rPr>
            </w:pPr>
            <w:r w:rsidRPr="00CE427E">
              <w:rPr>
                <w:sz w:val="20"/>
                <w:lang w:val="en-US"/>
              </w:rPr>
              <w:t>P</w:t>
            </w:r>
            <w:r w:rsidRPr="00CE427E">
              <w:rPr>
                <w:sz w:val="20"/>
                <w:lang w:val="en-US"/>
              </w:rPr>
              <w:noBreakHyphen/>
            </w:r>
            <w:r w:rsidR="00EC4995" w:rsidRPr="00CE427E">
              <w:rPr>
                <w:sz w:val="20"/>
                <w:lang w:val="en-US"/>
              </w:rPr>
              <w:t>value versus Observation</w:t>
            </w:r>
          </w:p>
          <w:p w14:paraId="59130088" w14:textId="5057D3F3" w:rsidR="00EC4995" w:rsidRPr="00CE427E" w:rsidRDefault="00EC4995" w:rsidP="00CE427E">
            <w:pPr>
              <w:keepNext/>
              <w:autoSpaceDE w:val="0"/>
              <w:autoSpaceDN w:val="0"/>
              <w:adjustRightInd w:val="0"/>
              <w:spacing w:line="240" w:lineRule="auto"/>
              <w:rPr>
                <w:sz w:val="20"/>
                <w:lang w:val="en-US"/>
              </w:rPr>
            </w:pPr>
            <w:r w:rsidRPr="00CE427E">
              <w:rPr>
                <w:sz w:val="20"/>
                <w:lang w:val="en-US"/>
              </w:rPr>
              <w:t xml:space="preserve">Hazard </w:t>
            </w:r>
            <w:r w:rsidR="00975B60">
              <w:rPr>
                <w:sz w:val="20"/>
                <w:lang w:val="en-US"/>
              </w:rPr>
              <w:t>r</w:t>
            </w:r>
            <w:r w:rsidRPr="00CE427E">
              <w:rPr>
                <w:sz w:val="20"/>
                <w:lang w:val="en-US"/>
              </w:rPr>
              <w:t xml:space="preserve">atio </w:t>
            </w:r>
            <w:r w:rsidR="008B2309">
              <w:rPr>
                <w:sz w:val="20"/>
                <w:lang w:val="en-US"/>
              </w:rPr>
              <w:t xml:space="preserve">(HR) </w:t>
            </w:r>
            <w:r w:rsidRPr="00CE427E">
              <w:rPr>
                <w:sz w:val="20"/>
                <w:lang w:val="en-US"/>
              </w:rPr>
              <w:t>versus Observation</w:t>
            </w:r>
          </w:p>
        </w:tc>
        <w:tc>
          <w:tcPr>
            <w:tcW w:w="1418" w:type="dxa"/>
            <w:tcBorders>
              <w:bottom w:val="nil"/>
              <w:right w:val="nil"/>
            </w:tcBorders>
            <w:shd w:val="clear" w:color="auto" w:fill="auto"/>
          </w:tcPr>
          <w:p w14:paraId="49084489" w14:textId="77777777" w:rsidR="00EC4995" w:rsidRPr="00CE427E" w:rsidRDefault="00EC4995" w:rsidP="00CE427E">
            <w:pPr>
              <w:keepNext/>
              <w:spacing w:line="240" w:lineRule="auto"/>
              <w:jc w:val="center"/>
              <w:outlineLvl w:val="0"/>
              <w:rPr>
                <w:sz w:val="20"/>
                <w:lang w:val="en-US"/>
              </w:rPr>
            </w:pPr>
          </w:p>
          <w:p w14:paraId="5D3A2185" w14:textId="59439E8E" w:rsidR="00EC4995" w:rsidRPr="00CE427E" w:rsidRDefault="00EC4995" w:rsidP="00CE427E">
            <w:pPr>
              <w:keepNext/>
              <w:spacing w:line="240" w:lineRule="auto"/>
              <w:jc w:val="center"/>
              <w:outlineLvl w:val="0"/>
              <w:rPr>
                <w:sz w:val="20"/>
                <w:lang w:val="en-US"/>
              </w:rPr>
            </w:pPr>
            <w:r w:rsidRPr="00CE427E">
              <w:rPr>
                <w:sz w:val="20"/>
                <w:lang w:val="en-US"/>
              </w:rPr>
              <w:t>219 (12.9</w:t>
            </w:r>
            <w:r w:rsidR="000840CF" w:rsidRPr="00CE427E">
              <w:rPr>
                <w:sz w:val="20"/>
                <w:lang w:val="en-US"/>
              </w:rPr>
              <w:t>%</w:t>
            </w:r>
            <w:r w:rsidRPr="00CE427E">
              <w:rPr>
                <w:sz w:val="20"/>
                <w:lang w:val="en-US"/>
              </w:rPr>
              <w:t>)</w:t>
            </w:r>
          </w:p>
          <w:p w14:paraId="1A24DEC9" w14:textId="546AEABE" w:rsidR="00EC4995" w:rsidRPr="00CE427E" w:rsidRDefault="00EC4995" w:rsidP="00CE427E">
            <w:pPr>
              <w:keepNext/>
              <w:spacing w:line="240" w:lineRule="auto"/>
              <w:jc w:val="center"/>
              <w:outlineLvl w:val="0"/>
              <w:rPr>
                <w:sz w:val="20"/>
                <w:lang w:val="en-US"/>
              </w:rPr>
            </w:pPr>
            <w:r w:rsidRPr="00CE427E">
              <w:rPr>
                <w:sz w:val="20"/>
                <w:lang w:val="en-US"/>
              </w:rPr>
              <w:t>1</w:t>
            </w:r>
            <w:r w:rsidR="000B44AA">
              <w:rPr>
                <w:sz w:val="20"/>
                <w:lang w:val="en-US"/>
              </w:rPr>
              <w:t> </w:t>
            </w:r>
            <w:r w:rsidRPr="00CE427E">
              <w:rPr>
                <w:sz w:val="20"/>
                <w:lang w:val="en-US"/>
              </w:rPr>
              <w:t>474 (87.1</w:t>
            </w:r>
            <w:r w:rsidR="000840CF" w:rsidRPr="00CE427E">
              <w:rPr>
                <w:sz w:val="20"/>
                <w:lang w:val="en-US"/>
              </w:rPr>
              <w:t>%</w:t>
            </w:r>
            <w:r w:rsidRPr="00CE427E">
              <w:rPr>
                <w:sz w:val="20"/>
                <w:lang w:val="en-US"/>
              </w:rPr>
              <w:t>)</w:t>
            </w:r>
          </w:p>
        </w:tc>
        <w:tc>
          <w:tcPr>
            <w:tcW w:w="1559" w:type="dxa"/>
            <w:tcBorders>
              <w:left w:val="nil"/>
              <w:bottom w:val="nil"/>
            </w:tcBorders>
            <w:shd w:val="clear" w:color="auto" w:fill="auto"/>
          </w:tcPr>
          <w:p w14:paraId="138374FA" w14:textId="77777777" w:rsidR="00EC4995" w:rsidRPr="00CE427E" w:rsidRDefault="00EC4995" w:rsidP="00CE427E">
            <w:pPr>
              <w:keepNext/>
              <w:spacing w:line="240" w:lineRule="auto"/>
              <w:jc w:val="center"/>
              <w:outlineLvl w:val="0"/>
              <w:rPr>
                <w:sz w:val="20"/>
                <w:lang w:val="en-US"/>
              </w:rPr>
            </w:pPr>
          </w:p>
          <w:p w14:paraId="352B57E3" w14:textId="2AEEB21D" w:rsidR="00EC4995" w:rsidRPr="00CE427E" w:rsidRDefault="00EC4995" w:rsidP="00CE427E">
            <w:pPr>
              <w:keepNext/>
              <w:spacing w:line="240" w:lineRule="auto"/>
              <w:jc w:val="center"/>
              <w:outlineLvl w:val="0"/>
              <w:rPr>
                <w:sz w:val="20"/>
                <w:lang w:val="en-US"/>
              </w:rPr>
            </w:pPr>
            <w:r w:rsidRPr="00CE427E">
              <w:rPr>
                <w:sz w:val="20"/>
                <w:lang w:val="en-US"/>
              </w:rPr>
              <w:t>127 (7.5</w:t>
            </w:r>
            <w:r w:rsidR="000840CF" w:rsidRPr="00CE427E">
              <w:rPr>
                <w:sz w:val="20"/>
                <w:lang w:val="en-US"/>
              </w:rPr>
              <w:t>%</w:t>
            </w:r>
            <w:r w:rsidRPr="00CE427E">
              <w:rPr>
                <w:sz w:val="20"/>
                <w:lang w:val="en-US"/>
              </w:rPr>
              <w:t>)</w:t>
            </w:r>
          </w:p>
          <w:p w14:paraId="5AD77ABA" w14:textId="24BC5038" w:rsidR="00EC4995" w:rsidRPr="00CE427E" w:rsidRDefault="00EC4995" w:rsidP="00CE427E">
            <w:pPr>
              <w:keepNext/>
              <w:spacing w:line="240" w:lineRule="auto"/>
              <w:jc w:val="center"/>
              <w:outlineLvl w:val="0"/>
              <w:rPr>
                <w:b/>
                <w:sz w:val="20"/>
                <w:lang w:val="en-US"/>
              </w:rPr>
            </w:pPr>
            <w:r w:rsidRPr="00CE427E">
              <w:rPr>
                <w:sz w:val="20"/>
                <w:lang w:val="en-US"/>
              </w:rPr>
              <w:t>1</w:t>
            </w:r>
            <w:r w:rsidR="000B44AA">
              <w:rPr>
                <w:sz w:val="20"/>
                <w:lang w:val="en-US"/>
              </w:rPr>
              <w:t> </w:t>
            </w:r>
            <w:r w:rsidRPr="00CE427E">
              <w:rPr>
                <w:sz w:val="20"/>
                <w:lang w:val="en-US"/>
              </w:rPr>
              <w:t>566 (92.5</w:t>
            </w:r>
            <w:r w:rsidR="000840CF" w:rsidRPr="00CE427E">
              <w:rPr>
                <w:sz w:val="20"/>
                <w:lang w:val="en-US"/>
              </w:rPr>
              <w:t>%</w:t>
            </w:r>
            <w:r w:rsidRPr="00CE427E">
              <w:rPr>
                <w:sz w:val="20"/>
                <w:lang w:val="en-US"/>
              </w:rPr>
              <w:t>)</w:t>
            </w:r>
          </w:p>
        </w:tc>
        <w:tc>
          <w:tcPr>
            <w:tcW w:w="1417" w:type="dxa"/>
            <w:tcBorders>
              <w:bottom w:val="nil"/>
              <w:right w:val="nil"/>
            </w:tcBorders>
            <w:shd w:val="clear" w:color="auto" w:fill="auto"/>
          </w:tcPr>
          <w:p w14:paraId="178C148E" w14:textId="77777777" w:rsidR="00EC4995" w:rsidRPr="00CE427E" w:rsidRDefault="00EC4995" w:rsidP="00CE427E">
            <w:pPr>
              <w:keepNext/>
              <w:spacing w:line="240" w:lineRule="auto"/>
              <w:jc w:val="center"/>
              <w:outlineLvl w:val="0"/>
              <w:rPr>
                <w:sz w:val="20"/>
                <w:lang w:val="en-US"/>
              </w:rPr>
            </w:pPr>
          </w:p>
          <w:p w14:paraId="73FD3D09" w14:textId="60B81595" w:rsidR="00EC4995" w:rsidRPr="00CE427E" w:rsidRDefault="00EC4995" w:rsidP="00CE427E">
            <w:pPr>
              <w:keepNext/>
              <w:spacing w:line="240" w:lineRule="auto"/>
              <w:jc w:val="center"/>
              <w:outlineLvl w:val="0"/>
              <w:rPr>
                <w:sz w:val="20"/>
                <w:lang w:val="en-US"/>
              </w:rPr>
            </w:pPr>
            <w:r w:rsidRPr="00CE427E">
              <w:rPr>
                <w:sz w:val="20"/>
                <w:lang w:val="en-US"/>
              </w:rPr>
              <w:t>570 (33.6</w:t>
            </w:r>
            <w:r w:rsidR="000840CF" w:rsidRPr="00CE427E">
              <w:rPr>
                <w:sz w:val="20"/>
                <w:lang w:val="en-US"/>
              </w:rPr>
              <w:t>%</w:t>
            </w:r>
            <w:r w:rsidRPr="00CE427E">
              <w:rPr>
                <w:sz w:val="20"/>
                <w:lang w:val="en-US"/>
              </w:rPr>
              <w:t>)</w:t>
            </w:r>
          </w:p>
          <w:p w14:paraId="551B7DFA" w14:textId="675E3BF9" w:rsidR="00EC4995" w:rsidRPr="00CE427E" w:rsidRDefault="00EC4995" w:rsidP="00CE427E">
            <w:pPr>
              <w:keepNext/>
              <w:spacing w:line="240" w:lineRule="auto"/>
              <w:jc w:val="center"/>
              <w:outlineLvl w:val="0"/>
              <w:rPr>
                <w:sz w:val="20"/>
                <w:lang w:val="en-US"/>
              </w:rPr>
            </w:pPr>
            <w:r w:rsidRPr="00CE427E">
              <w:rPr>
                <w:sz w:val="20"/>
                <w:lang w:val="en-US"/>
              </w:rPr>
              <w:t>1</w:t>
            </w:r>
            <w:r w:rsidR="000B44AA">
              <w:rPr>
                <w:sz w:val="20"/>
                <w:lang w:val="en-US"/>
              </w:rPr>
              <w:t> </w:t>
            </w:r>
            <w:r w:rsidRPr="00CE427E">
              <w:rPr>
                <w:sz w:val="20"/>
                <w:lang w:val="en-US"/>
              </w:rPr>
              <w:t>127 (66.4</w:t>
            </w:r>
            <w:r w:rsidR="000840CF" w:rsidRPr="00CE427E">
              <w:rPr>
                <w:sz w:val="20"/>
                <w:lang w:val="en-US"/>
              </w:rPr>
              <w:t>%</w:t>
            </w:r>
            <w:r w:rsidRPr="00CE427E">
              <w:rPr>
                <w:sz w:val="20"/>
                <w:lang w:val="en-US"/>
              </w:rPr>
              <w:t>)</w:t>
            </w:r>
          </w:p>
        </w:tc>
        <w:tc>
          <w:tcPr>
            <w:tcW w:w="1560" w:type="dxa"/>
            <w:tcBorders>
              <w:left w:val="nil"/>
              <w:bottom w:val="nil"/>
            </w:tcBorders>
            <w:shd w:val="clear" w:color="auto" w:fill="auto"/>
          </w:tcPr>
          <w:p w14:paraId="1ABCB577" w14:textId="77777777" w:rsidR="00EC4995" w:rsidRPr="00CE427E" w:rsidRDefault="00EC4995" w:rsidP="00CE427E">
            <w:pPr>
              <w:keepNext/>
              <w:spacing w:line="240" w:lineRule="auto"/>
              <w:jc w:val="center"/>
              <w:outlineLvl w:val="0"/>
              <w:rPr>
                <w:sz w:val="20"/>
                <w:lang w:val="en-US"/>
              </w:rPr>
            </w:pPr>
          </w:p>
          <w:p w14:paraId="548A614F" w14:textId="535C51E4" w:rsidR="00EC4995" w:rsidRPr="00CE427E" w:rsidRDefault="00EC4995" w:rsidP="00CE427E">
            <w:pPr>
              <w:keepNext/>
              <w:spacing w:line="240" w:lineRule="auto"/>
              <w:jc w:val="center"/>
              <w:outlineLvl w:val="0"/>
              <w:rPr>
                <w:sz w:val="20"/>
                <w:lang w:val="en-US"/>
              </w:rPr>
            </w:pPr>
            <w:r w:rsidRPr="00CE427E">
              <w:rPr>
                <w:sz w:val="20"/>
                <w:lang w:val="en-US"/>
              </w:rPr>
              <w:t>471 (27.7</w:t>
            </w:r>
            <w:r w:rsidR="000840CF" w:rsidRPr="00CE427E">
              <w:rPr>
                <w:sz w:val="20"/>
                <w:lang w:val="en-US"/>
              </w:rPr>
              <w:t>%</w:t>
            </w:r>
            <w:r w:rsidRPr="00CE427E">
              <w:rPr>
                <w:sz w:val="20"/>
                <w:lang w:val="en-US"/>
              </w:rPr>
              <w:t>)</w:t>
            </w:r>
          </w:p>
          <w:p w14:paraId="5BC3EDB0" w14:textId="252FB22D" w:rsidR="00EC4995" w:rsidRPr="00CE427E" w:rsidRDefault="00EC4995" w:rsidP="00CE427E">
            <w:pPr>
              <w:keepNext/>
              <w:spacing w:line="240" w:lineRule="auto"/>
              <w:jc w:val="center"/>
              <w:outlineLvl w:val="0"/>
              <w:rPr>
                <w:b/>
                <w:sz w:val="20"/>
                <w:lang w:val="en-US"/>
              </w:rPr>
            </w:pPr>
            <w:r w:rsidRPr="00CE427E">
              <w:rPr>
                <w:sz w:val="20"/>
                <w:lang w:val="en-US"/>
              </w:rPr>
              <w:t>1</w:t>
            </w:r>
            <w:r w:rsidR="000B44AA">
              <w:rPr>
                <w:sz w:val="20"/>
                <w:lang w:val="en-US"/>
              </w:rPr>
              <w:t> </w:t>
            </w:r>
            <w:r w:rsidRPr="00CE427E">
              <w:rPr>
                <w:sz w:val="20"/>
                <w:lang w:val="en-US"/>
              </w:rPr>
              <w:t>231 (72.3</w:t>
            </w:r>
            <w:r w:rsidR="000840CF" w:rsidRPr="00CE427E">
              <w:rPr>
                <w:sz w:val="20"/>
                <w:lang w:val="en-US"/>
              </w:rPr>
              <w:t>%</w:t>
            </w:r>
            <w:r w:rsidRPr="00CE427E">
              <w:rPr>
                <w:sz w:val="20"/>
                <w:lang w:val="en-US"/>
              </w:rPr>
              <w:t>)</w:t>
            </w:r>
          </w:p>
        </w:tc>
      </w:tr>
      <w:tr w:rsidR="00EC4995" w:rsidRPr="006128F6" w14:paraId="3AB60377" w14:textId="77777777" w:rsidTr="00CE427E">
        <w:tc>
          <w:tcPr>
            <w:tcW w:w="2977" w:type="dxa"/>
            <w:vMerge/>
            <w:shd w:val="clear" w:color="auto" w:fill="auto"/>
          </w:tcPr>
          <w:p w14:paraId="518BC402" w14:textId="77777777" w:rsidR="00EC4995" w:rsidRPr="00CE427E" w:rsidRDefault="00EC4995" w:rsidP="00CE427E">
            <w:pPr>
              <w:keepNext/>
              <w:tabs>
                <w:tab w:val="clear" w:pos="567"/>
              </w:tabs>
              <w:autoSpaceDE w:val="0"/>
              <w:autoSpaceDN w:val="0"/>
              <w:adjustRightInd w:val="0"/>
              <w:spacing w:line="240" w:lineRule="auto"/>
              <w:rPr>
                <w:rFonts w:eastAsia="MS Mincho"/>
                <w:sz w:val="20"/>
                <w:lang w:val="en-US" w:eastAsia="en-GB"/>
              </w:rPr>
            </w:pPr>
          </w:p>
        </w:tc>
        <w:tc>
          <w:tcPr>
            <w:tcW w:w="2977" w:type="dxa"/>
            <w:gridSpan w:val="2"/>
            <w:tcBorders>
              <w:top w:val="nil"/>
              <w:bottom w:val="single" w:sz="4" w:space="0" w:color="auto"/>
            </w:tcBorders>
            <w:shd w:val="clear" w:color="auto" w:fill="auto"/>
          </w:tcPr>
          <w:p w14:paraId="79EB4FB3" w14:textId="77777777" w:rsidR="00EC4995" w:rsidRPr="00CE427E" w:rsidRDefault="002B7BA5" w:rsidP="00CE427E">
            <w:pPr>
              <w:keepNext/>
              <w:spacing w:line="240" w:lineRule="auto"/>
              <w:jc w:val="center"/>
              <w:outlineLvl w:val="0"/>
              <w:rPr>
                <w:sz w:val="20"/>
                <w:lang w:val="en-US"/>
              </w:rPr>
            </w:pPr>
            <w:r w:rsidRPr="00CE427E">
              <w:rPr>
                <w:sz w:val="20"/>
                <w:lang w:val="en-US"/>
              </w:rPr>
              <w:t>&lt; </w:t>
            </w:r>
            <w:r w:rsidR="00EC4995" w:rsidRPr="00CE427E">
              <w:rPr>
                <w:sz w:val="20"/>
                <w:lang w:val="en-US"/>
              </w:rPr>
              <w:t>0.0001</w:t>
            </w:r>
          </w:p>
          <w:p w14:paraId="535D7119" w14:textId="77777777" w:rsidR="00EC4995" w:rsidRPr="00CE427E" w:rsidRDefault="00EC4995" w:rsidP="00CE427E">
            <w:pPr>
              <w:keepNext/>
              <w:spacing w:line="240" w:lineRule="auto"/>
              <w:jc w:val="center"/>
              <w:outlineLvl w:val="0"/>
              <w:rPr>
                <w:sz w:val="20"/>
                <w:lang w:val="en-US"/>
              </w:rPr>
            </w:pPr>
            <w:r w:rsidRPr="00CE427E">
              <w:rPr>
                <w:sz w:val="20"/>
                <w:lang w:val="en-US"/>
              </w:rPr>
              <w:t>0.54</w:t>
            </w:r>
          </w:p>
        </w:tc>
        <w:tc>
          <w:tcPr>
            <w:tcW w:w="2977" w:type="dxa"/>
            <w:gridSpan w:val="2"/>
            <w:tcBorders>
              <w:top w:val="nil"/>
              <w:bottom w:val="single" w:sz="4" w:space="0" w:color="auto"/>
            </w:tcBorders>
            <w:shd w:val="clear" w:color="auto" w:fill="auto"/>
          </w:tcPr>
          <w:p w14:paraId="42C8BBA7" w14:textId="77777777" w:rsidR="00EC4995" w:rsidRPr="00CE427E" w:rsidRDefault="00124A46" w:rsidP="00CE427E">
            <w:pPr>
              <w:keepNext/>
              <w:spacing w:line="240" w:lineRule="auto"/>
              <w:jc w:val="center"/>
              <w:outlineLvl w:val="0"/>
              <w:rPr>
                <w:sz w:val="20"/>
                <w:lang w:val="en-US"/>
              </w:rPr>
            </w:pPr>
            <w:r w:rsidRPr="00CE427E">
              <w:rPr>
                <w:sz w:val="20"/>
                <w:lang w:val="en-US"/>
              </w:rPr>
              <w:t>&lt; </w:t>
            </w:r>
            <w:r w:rsidR="00EC4995" w:rsidRPr="00CE427E">
              <w:rPr>
                <w:sz w:val="20"/>
                <w:lang w:val="en-US"/>
              </w:rPr>
              <w:t>0.0001</w:t>
            </w:r>
          </w:p>
          <w:p w14:paraId="29D3BAE7" w14:textId="77777777" w:rsidR="00EC4995" w:rsidRPr="00CE427E" w:rsidRDefault="00EC4995" w:rsidP="00CE427E">
            <w:pPr>
              <w:keepNext/>
              <w:spacing w:line="240" w:lineRule="auto"/>
              <w:jc w:val="center"/>
              <w:outlineLvl w:val="0"/>
              <w:rPr>
                <w:sz w:val="20"/>
                <w:lang w:val="en-US"/>
              </w:rPr>
            </w:pPr>
            <w:r w:rsidRPr="00CE427E">
              <w:rPr>
                <w:sz w:val="20"/>
                <w:lang w:val="en-US"/>
              </w:rPr>
              <w:t>0.76</w:t>
            </w:r>
          </w:p>
        </w:tc>
      </w:tr>
      <w:tr w:rsidR="008F6721" w:rsidRPr="006128F6" w14:paraId="4B553D32" w14:textId="77777777" w:rsidTr="00CE427E">
        <w:tc>
          <w:tcPr>
            <w:tcW w:w="2977" w:type="dxa"/>
            <w:vMerge w:val="restart"/>
            <w:shd w:val="clear" w:color="auto" w:fill="auto"/>
          </w:tcPr>
          <w:p w14:paraId="73AFB402" w14:textId="77777777" w:rsidR="00EC4995" w:rsidRPr="00CE427E" w:rsidRDefault="00EC4995" w:rsidP="00CE427E">
            <w:pPr>
              <w:spacing w:line="240" w:lineRule="auto"/>
              <w:outlineLvl w:val="0"/>
              <w:rPr>
                <w:rFonts w:eastAsia="Calibri"/>
                <w:sz w:val="20"/>
                <w:lang w:val="en-US"/>
              </w:rPr>
            </w:pPr>
            <w:r w:rsidRPr="00CE427E">
              <w:rPr>
                <w:rFonts w:eastAsia="Calibri"/>
                <w:sz w:val="20"/>
                <w:lang w:val="en-US"/>
              </w:rPr>
              <w:t>Recurrence-free survival</w:t>
            </w:r>
          </w:p>
          <w:p w14:paraId="3699B161" w14:textId="77777777" w:rsidR="00EC4995" w:rsidRPr="00CE427E" w:rsidRDefault="00EC4995" w:rsidP="00CE427E">
            <w:pPr>
              <w:spacing w:line="240" w:lineRule="auto"/>
              <w:outlineLvl w:val="0"/>
              <w:rPr>
                <w:sz w:val="20"/>
                <w:lang w:val="en-US"/>
              </w:rPr>
            </w:pPr>
            <w:r w:rsidRPr="00CE427E">
              <w:rPr>
                <w:rFonts w:eastAsia="MS Mincho"/>
                <w:sz w:val="20"/>
                <w:lang w:val="en-US" w:eastAsia="en-GB"/>
              </w:rPr>
              <w:t>- No. patients with event</w:t>
            </w:r>
          </w:p>
          <w:p w14:paraId="4136AB6F" w14:textId="77777777" w:rsidR="00EC4995" w:rsidRPr="00CE427E" w:rsidRDefault="00EC4995" w:rsidP="00CE427E">
            <w:pPr>
              <w:spacing w:line="240" w:lineRule="auto"/>
              <w:outlineLvl w:val="0"/>
              <w:rPr>
                <w:sz w:val="20"/>
                <w:lang w:val="en-US"/>
              </w:rPr>
            </w:pPr>
            <w:r w:rsidRPr="00CE427E">
              <w:rPr>
                <w:sz w:val="20"/>
                <w:lang w:val="en-US"/>
              </w:rPr>
              <w:t>- No. patients without event</w:t>
            </w:r>
          </w:p>
          <w:p w14:paraId="695B88F4" w14:textId="77777777" w:rsidR="00EC4995" w:rsidRPr="00CE427E" w:rsidRDefault="007D5B08" w:rsidP="00CE427E">
            <w:pPr>
              <w:spacing w:line="240" w:lineRule="auto"/>
              <w:outlineLvl w:val="0"/>
              <w:rPr>
                <w:sz w:val="20"/>
                <w:lang w:val="en-US"/>
              </w:rPr>
            </w:pPr>
            <w:r w:rsidRPr="00CE427E">
              <w:rPr>
                <w:sz w:val="20"/>
                <w:lang w:val="en-US"/>
              </w:rPr>
              <w:t>P</w:t>
            </w:r>
            <w:r w:rsidRPr="00CE427E">
              <w:rPr>
                <w:sz w:val="20"/>
                <w:lang w:val="en-US"/>
              </w:rPr>
              <w:noBreakHyphen/>
            </w:r>
            <w:r w:rsidR="00EC4995" w:rsidRPr="00CE427E">
              <w:rPr>
                <w:sz w:val="20"/>
                <w:lang w:val="en-US"/>
              </w:rPr>
              <w:t>value versus Observation</w:t>
            </w:r>
          </w:p>
          <w:p w14:paraId="77A1EB5A" w14:textId="31D31F59" w:rsidR="00EC4995" w:rsidRPr="00CE427E" w:rsidRDefault="00EC4995" w:rsidP="00CE427E">
            <w:pPr>
              <w:spacing w:line="240" w:lineRule="auto"/>
              <w:outlineLvl w:val="0"/>
              <w:rPr>
                <w:sz w:val="20"/>
                <w:lang w:val="en-US"/>
              </w:rPr>
            </w:pPr>
            <w:r w:rsidRPr="00CE427E">
              <w:rPr>
                <w:sz w:val="20"/>
                <w:lang w:val="en-US"/>
              </w:rPr>
              <w:t xml:space="preserve">Hazard </w:t>
            </w:r>
            <w:r w:rsidR="00975B60">
              <w:rPr>
                <w:sz w:val="20"/>
                <w:lang w:val="en-US"/>
              </w:rPr>
              <w:t>r</w:t>
            </w:r>
            <w:r w:rsidRPr="00CE427E">
              <w:rPr>
                <w:sz w:val="20"/>
                <w:lang w:val="en-US"/>
              </w:rPr>
              <w:t>atio versus Observation</w:t>
            </w:r>
          </w:p>
        </w:tc>
        <w:tc>
          <w:tcPr>
            <w:tcW w:w="1418" w:type="dxa"/>
            <w:tcBorders>
              <w:bottom w:val="nil"/>
              <w:right w:val="nil"/>
            </w:tcBorders>
            <w:shd w:val="clear" w:color="auto" w:fill="auto"/>
          </w:tcPr>
          <w:p w14:paraId="19CEDF6C" w14:textId="77777777" w:rsidR="00EC4995" w:rsidRPr="00CE427E" w:rsidRDefault="00EC4995" w:rsidP="00CE427E">
            <w:pPr>
              <w:spacing w:line="240" w:lineRule="auto"/>
              <w:jc w:val="center"/>
              <w:outlineLvl w:val="0"/>
              <w:rPr>
                <w:sz w:val="20"/>
                <w:lang w:val="en-US"/>
              </w:rPr>
            </w:pPr>
          </w:p>
          <w:p w14:paraId="305DF24D" w14:textId="521D5412" w:rsidR="00EC4995" w:rsidRPr="00CE427E" w:rsidRDefault="00EC4995" w:rsidP="00CE427E">
            <w:pPr>
              <w:spacing w:line="240" w:lineRule="auto"/>
              <w:jc w:val="center"/>
              <w:outlineLvl w:val="0"/>
              <w:rPr>
                <w:sz w:val="20"/>
                <w:lang w:val="en-US"/>
              </w:rPr>
            </w:pPr>
            <w:r w:rsidRPr="00CE427E">
              <w:rPr>
                <w:sz w:val="20"/>
                <w:lang w:val="en-US"/>
              </w:rPr>
              <w:t>208 (12.3</w:t>
            </w:r>
            <w:r w:rsidR="000840CF" w:rsidRPr="00CE427E">
              <w:rPr>
                <w:sz w:val="20"/>
                <w:lang w:val="en-US"/>
              </w:rPr>
              <w:t>%</w:t>
            </w:r>
            <w:r w:rsidRPr="00CE427E">
              <w:rPr>
                <w:sz w:val="20"/>
                <w:lang w:val="en-US"/>
              </w:rPr>
              <w:t>)</w:t>
            </w:r>
          </w:p>
          <w:p w14:paraId="1F253311" w14:textId="0B665940" w:rsidR="00EC4995" w:rsidRPr="00CE427E" w:rsidRDefault="00124A46" w:rsidP="00CE427E">
            <w:pPr>
              <w:spacing w:line="240" w:lineRule="auto"/>
              <w:jc w:val="center"/>
              <w:outlineLvl w:val="0"/>
              <w:rPr>
                <w:b/>
                <w:sz w:val="20"/>
                <w:lang w:val="en-US"/>
              </w:rPr>
            </w:pPr>
            <w:r w:rsidRPr="00CE427E">
              <w:rPr>
                <w:sz w:val="20"/>
                <w:lang w:val="en-US"/>
              </w:rPr>
              <w:t>1</w:t>
            </w:r>
            <w:r w:rsidR="000B44AA">
              <w:rPr>
                <w:sz w:val="20"/>
                <w:lang w:val="en-US"/>
              </w:rPr>
              <w:t> </w:t>
            </w:r>
            <w:r w:rsidRPr="00CE427E">
              <w:rPr>
                <w:sz w:val="20"/>
                <w:lang w:val="en-US"/>
              </w:rPr>
              <w:t>485 (87.7</w:t>
            </w:r>
            <w:r w:rsidR="000840CF" w:rsidRPr="00CE427E">
              <w:rPr>
                <w:sz w:val="20"/>
                <w:lang w:val="en-US"/>
              </w:rPr>
              <w:t>%</w:t>
            </w:r>
            <w:r w:rsidR="00EC4995" w:rsidRPr="00CE427E">
              <w:rPr>
                <w:sz w:val="20"/>
                <w:lang w:val="en-US"/>
              </w:rPr>
              <w:t>)</w:t>
            </w:r>
          </w:p>
        </w:tc>
        <w:tc>
          <w:tcPr>
            <w:tcW w:w="1559" w:type="dxa"/>
            <w:tcBorders>
              <w:left w:val="nil"/>
              <w:bottom w:val="nil"/>
            </w:tcBorders>
            <w:shd w:val="clear" w:color="auto" w:fill="auto"/>
          </w:tcPr>
          <w:p w14:paraId="7124C467" w14:textId="77777777" w:rsidR="00EC4995" w:rsidRPr="00CE427E" w:rsidRDefault="00EC4995" w:rsidP="00CE427E">
            <w:pPr>
              <w:spacing w:line="240" w:lineRule="auto"/>
              <w:jc w:val="center"/>
              <w:outlineLvl w:val="0"/>
              <w:rPr>
                <w:sz w:val="20"/>
                <w:lang w:val="en-US"/>
              </w:rPr>
            </w:pPr>
          </w:p>
          <w:p w14:paraId="2A8F8A39" w14:textId="2DA136B6" w:rsidR="00EC4995" w:rsidRPr="00CE427E" w:rsidRDefault="00EC4995" w:rsidP="00CE427E">
            <w:pPr>
              <w:spacing w:line="240" w:lineRule="auto"/>
              <w:jc w:val="center"/>
              <w:outlineLvl w:val="0"/>
              <w:rPr>
                <w:sz w:val="20"/>
                <w:lang w:val="en-US"/>
              </w:rPr>
            </w:pPr>
            <w:r w:rsidRPr="00CE427E">
              <w:rPr>
                <w:sz w:val="20"/>
                <w:lang w:val="en-US"/>
              </w:rPr>
              <w:t>113 (6.7</w:t>
            </w:r>
            <w:r w:rsidR="000840CF" w:rsidRPr="00CE427E">
              <w:rPr>
                <w:sz w:val="20"/>
                <w:lang w:val="en-US"/>
              </w:rPr>
              <w:t>%</w:t>
            </w:r>
            <w:r w:rsidRPr="00CE427E">
              <w:rPr>
                <w:sz w:val="20"/>
                <w:lang w:val="en-US"/>
              </w:rPr>
              <w:t>)</w:t>
            </w:r>
          </w:p>
          <w:p w14:paraId="5FB66846" w14:textId="707A9D66" w:rsidR="00EC4995" w:rsidRPr="00CE427E" w:rsidRDefault="00124A46" w:rsidP="00CE427E">
            <w:pPr>
              <w:spacing w:line="240" w:lineRule="auto"/>
              <w:jc w:val="center"/>
              <w:outlineLvl w:val="0"/>
              <w:rPr>
                <w:b/>
                <w:sz w:val="20"/>
                <w:lang w:val="en-US"/>
              </w:rPr>
            </w:pPr>
            <w:r w:rsidRPr="00CE427E">
              <w:rPr>
                <w:sz w:val="20"/>
                <w:lang w:val="en-US"/>
              </w:rPr>
              <w:t>1</w:t>
            </w:r>
            <w:r w:rsidR="000B44AA">
              <w:rPr>
                <w:sz w:val="20"/>
                <w:lang w:val="en-US"/>
              </w:rPr>
              <w:t> </w:t>
            </w:r>
            <w:r w:rsidRPr="00CE427E">
              <w:rPr>
                <w:sz w:val="20"/>
                <w:lang w:val="en-US"/>
              </w:rPr>
              <w:t>580 (93.3</w:t>
            </w:r>
            <w:r w:rsidR="000840CF" w:rsidRPr="00CE427E">
              <w:rPr>
                <w:sz w:val="20"/>
                <w:lang w:val="en-US"/>
              </w:rPr>
              <w:t>%</w:t>
            </w:r>
            <w:r w:rsidR="00EC4995" w:rsidRPr="00CE427E">
              <w:rPr>
                <w:sz w:val="20"/>
                <w:lang w:val="en-US"/>
              </w:rPr>
              <w:t>)</w:t>
            </w:r>
          </w:p>
        </w:tc>
        <w:tc>
          <w:tcPr>
            <w:tcW w:w="1417" w:type="dxa"/>
            <w:tcBorders>
              <w:bottom w:val="nil"/>
              <w:right w:val="nil"/>
            </w:tcBorders>
            <w:shd w:val="clear" w:color="auto" w:fill="auto"/>
          </w:tcPr>
          <w:p w14:paraId="73CB2EC7" w14:textId="77777777" w:rsidR="00EC4995" w:rsidRPr="00CE427E" w:rsidRDefault="00EC4995" w:rsidP="00CE427E">
            <w:pPr>
              <w:spacing w:line="240" w:lineRule="auto"/>
              <w:jc w:val="center"/>
              <w:outlineLvl w:val="0"/>
              <w:rPr>
                <w:sz w:val="20"/>
                <w:lang w:val="en-US"/>
              </w:rPr>
            </w:pPr>
          </w:p>
          <w:p w14:paraId="54CE70F8" w14:textId="71B881E6" w:rsidR="00EC4995" w:rsidRPr="00CE427E" w:rsidRDefault="00EC4995" w:rsidP="00CE427E">
            <w:pPr>
              <w:spacing w:line="240" w:lineRule="auto"/>
              <w:jc w:val="center"/>
              <w:outlineLvl w:val="0"/>
              <w:rPr>
                <w:sz w:val="20"/>
                <w:lang w:val="en-US"/>
              </w:rPr>
            </w:pPr>
            <w:r w:rsidRPr="00CE427E">
              <w:rPr>
                <w:sz w:val="20"/>
                <w:lang w:val="en-US"/>
              </w:rPr>
              <w:t>506 (29.8</w:t>
            </w:r>
            <w:r w:rsidR="000840CF" w:rsidRPr="00CE427E">
              <w:rPr>
                <w:sz w:val="20"/>
                <w:lang w:val="en-US"/>
              </w:rPr>
              <w:t>%</w:t>
            </w:r>
            <w:r w:rsidRPr="00CE427E">
              <w:rPr>
                <w:sz w:val="20"/>
                <w:lang w:val="en-US"/>
              </w:rPr>
              <w:t>)</w:t>
            </w:r>
          </w:p>
          <w:p w14:paraId="0ED0AA7F" w14:textId="2AF55841" w:rsidR="00EC4995" w:rsidRPr="00CE427E" w:rsidRDefault="00124A46" w:rsidP="00CE427E">
            <w:pPr>
              <w:spacing w:line="240" w:lineRule="auto"/>
              <w:jc w:val="center"/>
              <w:outlineLvl w:val="0"/>
              <w:rPr>
                <w:b/>
                <w:sz w:val="20"/>
                <w:lang w:val="en-US"/>
              </w:rPr>
            </w:pPr>
            <w:r w:rsidRPr="00CE427E">
              <w:rPr>
                <w:sz w:val="20"/>
                <w:lang w:val="en-US"/>
              </w:rPr>
              <w:t>1</w:t>
            </w:r>
            <w:r w:rsidR="000B44AA">
              <w:rPr>
                <w:sz w:val="20"/>
                <w:lang w:val="en-US"/>
              </w:rPr>
              <w:t> </w:t>
            </w:r>
            <w:r w:rsidRPr="00CE427E">
              <w:rPr>
                <w:sz w:val="20"/>
                <w:lang w:val="en-US"/>
              </w:rPr>
              <w:t>191 (70.2</w:t>
            </w:r>
            <w:r w:rsidR="000840CF" w:rsidRPr="00CE427E">
              <w:rPr>
                <w:sz w:val="20"/>
                <w:lang w:val="en-US"/>
              </w:rPr>
              <w:t>%</w:t>
            </w:r>
            <w:r w:rsidR="00EC4995" w:rsidRPr="00CE427E">
              <w:rPr>
                <w:sz w:val="20"/>
                <w:lang w:val="en-US"/>
              </w:rPr>
              <w:t>)</w:t>
            </w:r>
          </w:p>
        </w:tc>
        <w:tc>
          <w:tcPr>
            <w:tcW w:w="1560" w:type="dxa"/>
            <w:tcBorders>
              <w:left w:val="nil"/>
              <w:bottom w:val="nil"/>
            </w:tcBorders>
            <w:shd w:val="clear" w:color="auto" w:fill="auto"/>
          </w:tcPr>
          <w:p w14:paraId="762979CA" w14:textId="77777777" w:rsidR="00EC4995" w:rsidRPr="00CE427E" w:rsidRDefault="00EC4995" w:rsidP="00CE427E">
            <w:pPr>
              <w:spacing w:line="240" w:lineRule="auto"/>
              <w:jc w:val="center"/>
              <w:outlineLvl w:val="0"/>
              <w:rPr>
                <w:sz w:val="20"/>
                <w:lang w:val="en-US"/>
              </w:rPr>
            </w:pPr>
          </w:p>
          <w:p w14:paraId="3032284E" w14:textId="6A63262A" w:rsidR="00EC4995" w:rsidRPr="00CE427E" w:rsidRDefault="00124A46" w:rsidP="00CE427E">
            <w:pPr>
              <w:spacing w:line="240" w:lineRule="auto"/>
              <w:jc w:val="center"/>
              <w:outlineLvl w:val="0"/>
              <w:rPr>
                <w:sz w:val="20"/>
                <w:lang w:val="en-US"/>
              </w:rPr>
            </w:pPr>
            <w:r w:rsidRPr="00CE427E">
              <w:rPr>
                <w:sz w:val="20"/>
                <w:lang w:val="en-US"/>
              </w:rPr>
              <w:t>399 (23.4</w:t>
            </w:r>
            <w:r w:rsidR="000840CF" w:rsidRPr="00CE427E">
              <w:rPr>
                <w:sz w:val="20"/>
                <w:lang w:val="en-US"/>
              </w:rPr>
              <w:t>%</w:t>
            </w:r>
            <w:r w:rsidR="00EC4995" w:rsidRPr="00CE427E">
              <w:rPr>
                <w:sz w:val="20"/>
                <w:lang w:val="en-US"/>
              </w:rPr>
              <w:t>)</w:t>
            </w:r>
          </w:p>
          <w:p w14:paraId="0F40FDCC" w14:textId="21477561" w:rsidR="00EC4995" w:rsidRPr="00CE427E" w:rsidRDefault="00124A46" w:rsidP="00CE427E">
            <w:pPr>
              <w:spacing w:line="240" w:lineRule="auto"/>
              <w:jc w:val="center"/>
              <w:outlineLvl w:val="0"/>
              <w:rPr>
                <w:b/>
                <w:sz w:val="20"/>
                <w:lang w:val="en-US"/>
              </w:rPr>
            </w:pPr>
            <w:r w:rsidRPr="00CE427E">
              <w:rPr>
                <w:sz w:val="20"/>
                <w:lang w:val="en-US"/>
              </w:rPr>
              <w:t>1</w:t>
            </w:r>
            <w:r w:rsidR="000B44AA">
              <w:rPr>
                <w:sz w:val="20"/>
                <w:lang w:val="en-US"/>
              </w:rPr>
              <w:t> </w:t>
            </w:r>
            <w:r w:rsidRPr="00CE427E">
              <w:rPr>
                <w:sz w:val="20"/>
                <w:lang w:val="en-US"/>
              </w:rPr>
              <w:t>303 (76.6</w:t>
            </w:r>
            <w:r w:rsidR="000840CF" w:rsidRPr="00CE427E">
              <w:rPr>
                <w:sz w:val="20"/>
                <w:lang w:val="en-US"/>
              </w:rPr>
              <w:t>%</w:t>
            </w:r>
            <w:r w:rsidR="00EC4995" w:rsidRPr="00CE427E">
              <w:rPr>
                <w:sz w:val="20"/>
                <w:lang w:val="en-US"/>
              </w:rPr>
              <w:t>)</w:t>
            </w:r>
          </w:p>
        </w:tc>
      </w:tr>
      <w:tr w:rsidR="00EC4995" w:rsidRPr="006128F6" w14:paraId="39BAD304" w14:textId="77777777" w:rsidTr="00CE427E">
        <w:tc>
          <w:tcPr>
            <w:tcW w:w="2977" w:type="dxa"/>
            <w:vMerge/>
            <w:shd w:val="clear" w:color="auto" w:fill="auto"/>
          </w:tcPr>
          <w:p w14:paraId="201988F3" w14:textId="77777777" w:rsidR="00EC4995" w:rsidRPr="00CE427E" w:rsidRDefault="00EC4995" w:rsidP="00CE427E">
            <w:pPr>
              <w:spacing w:line="240" w:lineRule="auto"/>
              <w:outlineLvl w:val="0"/>
              <w:rPr>
                <w:rFonts w:eastAsia="Calibri"/>
                <w:sz w:val="20"/>
                <w:lang w:val="en-US"/>
              </w:rPr>
            </w:pPr>
          </w:p>
        </w:tc>
        <w:tc>
          <w:tcPr>
            <w:tcW w:w="2977" w:type="dxa"/>
            <w:gridSpan w:val="2"/>
            <w:tcBorders>
              <w:top w:val="nil"/>
              <w:bottom w:val="single" w:sz="4" w:space="0" w:color="auto"/>
            </w:tcBorders>
            <w:shd w:val="clear" w:color="auto" w:fill="auto"/>
          </w:tcPr>
          <w:p w14:paraId="0EA78754" w14:textId="77777777" w:rsidR="00EC4995" w:rsidRPr="00CE427E" w:rsidRDefault="00124A46" w:rsidP="00CE427E">
            <w:pPr>
              <w:spacing w:line="240" w:lineRule="auto"/>
              <w:jc w:val="center"/>
              <w:outlineLvl w:val="0"/>
              <w:rPr>
                <w:sz w:val="20"/>
                <w:lang w:val="en-US"/>
              </w:rPr>
            </w:pPr>
            <w:r w:rsidRPr="00CE427E">
              <w:rPr>
                <w:sz w:val="20"/>
                <w:lang w:val="en-US"/>
              </w:rPr>
              <w:t>&lt; </w:t>
            </w:r>
            <w:r w:rsidR="00EC4995" w:rsidRPr="00CE427E">
              <w:rPr>
                <w:sz w:val="20"/>
                <w:lang w:val="en-US"/>
              </w:rPr>
              <w:t>0.0001</w:t>
            </w:r>
          </w:p>
          <w:p w14:paraId="4BFF6C12" w14:textId="77777777" w:rsidR="00EC4995" w:rsidRPr="00CE427E" w:rsidRDefault="00EC4995" w:rsidP="00CE427E">
            <w:pPr>
              <w:spacing w:line="240" w:lineRule="auto"/>
              <w:jc w:val="center"/>
              <w:outlineLvl w:val="0"/>
              <w:rPr>
                <w:sz w:val="20"/>
                <w:lang w:val="en-US"/>
              </w:rPr>
            </w:pPr>
            <w:r w:rsidRPr="00CE427E">
              <w:rPr>
                <w:sz w:val="20"/>
                <w:lang w:val="en-US"/>
              </w:rPr>
              <w:t>0.51</w:t>
            </w:r>
          </w:p>
        </w:tc>
        <w:tc>
          <w:tcPr>
            <w:tcW w:w="2977" w:type="dxa"/>
            <w:gridSpan w:val="2"/>
            <w:tcBorders>
              <w:top w:val="nil"/>
              <w:bottom w:val="single" w:sz="4" w:space="0" w:color="auto"/>
            </w:tcBorders>
            <w:shd w:val="clear" w:color="auto" w:fill="auto"/>
          </w:tcPr>
          <w:p w14:paraId="20E1BE1D" w14:textId="77777777" w:rsidR="00EC4995" w:rsidRPr="00CE427E" w:rsidRDefault="00124A46" w:rsidP="00CE427E">
            <w:pPr>
              <w:spacing w:line="240" w:lineRule="auto"/>
              <w:jc w:val="center"/>
              <w:outlineLvl w:val="0"/>
              <w:rPr>
                <w:sz w:val="20"/>
                <w:lang w:val="en-US"/>
              </w:rPr>
            </w:pPr>
            <w:r w:rsidRPr="00CE427E">
              <w:rPr>
                <w:sz w:val="20"/>
                <w:lang w:val="en-US"/>
              </w:rPr>
              <w:t>&lt; </w:t>
            </w:r>
            <w:r w:rsidR="00EC4995" w:rsidRPr="00CE427E">
              <w:rPr>
                <w:sz w:val="20"/>
                <w:lang w:val="en-US"/>
              </w:rPr>
              <w:t>0.0001</w:t>
            </w:r>
          </w:p>
          <w:p w14:paraId="0F4734A2" w14:textId="77777777" w:rsidR="00EC4995" w:rsidRPr="00CE427E" w:rsidRDefault="00EC4995" w:rsidP="00CE427E">
            <w:pPr>
              <w:spacing w:line="240" w:lineRule="auto"/>
              <w:jc w:val="center"/>
              <w:outlineLvl w:val="0"/>
              <w:rPr>
                <w:sz w:val="20"/>
                <w:lang w:val="en-US"/>
              </w:rPr>
            </w:pPr>
            <w:r w:rsidRPr="00CE427E">
              <w:rPr>
                <w:sz w:val="20"/>
                <w:lang w:val="en-US"/>
              </w:rPr>
              <w:t>0.73</w:t>
            </w:r>
          </w:p>
        </w:tc>
      </w:tr>
      <w:tr w:rsidR="008F6721" w:rsidRPr="006128F6" w14:paraId="2D78D376" w14:textId="77777777" w:rsidTr="00CE427E">
        <w:tc>
          <w:tcPr>
            <w:tcW w:w="2977" w:type="dxa"/>
            <w:vMerge w:val="restart"/>
            <w:shd w:val="clear" w:color="auto" w:fill="auto"/>
          </w:tcPr>
          <w:p w14:paraId="4F3E01B7" w14:textId="77777777" w:rsidR="007D5B08" w:rsidRPr="00CE427E" w:rsidRDefault="007D5B08" w:rsidP="00CE427E">
            <w:pPr>
              <w:spacing w:line="240" w:lineRule="auto"/>
              <w:outlineLvl w:val="0"/>
              <w:rPr>
                <w:rFonts w:eastAsia="Calibri"/>
                <w:sz w:val="20"/>
                <w:lang w:val="en-US"/>
              </w:rPr>
            </w:pPr>
            <w:r w:rsidRPr="00CE427E">
              <w:rPr>
                <w:rFonts w:eastAsia="Calibri"/>
                <w:sz w:val="20"/>
                <w:lang w:val="en-US"/>
              </w:rPr>
              <w:t>Distant disease-free survival</w:t>
            </w:r>
          </w:p>
          <w:p w14:paraId="18D4AB57" w14:textId="77777777" w:rsidR="007D5B08" w:rsidRPr="00CE427E" w:rsidRDefault="007D5B08" w:rsidP="00CE427E">
            <w:pPr>
              <w:spacing w:line="240" w:lineRule="auto"/>
              <w:outlineLvl w:val="0"/>
              <w:rPr>
                <w:sz w:val="20"/>
                <w:lang w:val="en-US"/>
              </w:rPr>
            </w:pPr>
            <w:r w:rsidRPr="00CE427E">
              <w:rPr>
                <w:rFonts w:eastAsia="MS Mincho"/>
                <w:sz w:val="20"/>
                <w:lang w:val="en-US" w:eastAsia="en-GB"/>
              </w:rPr>
              <w:t>- No. patients with event</w:t>
            </w:r>
          </w:p>
          <w:p w14:paraId="31BDE4A0" w14:textId="77777777" w:rsidR="007D5B08" w:rsidRPr="00CE427E" w:rsidRDefault="007D5B08" w:rsidP="00CE427E">
            <w:pPr>
              <w:spacing w:line="240" w:lineRule="auto"/>
              <w:outlineLvl w:val="0"/>
              <w:rPr>
                <w:sz w:val="20"/>
                <w:lang w:val="en-US"/>
              </w:rPr>
            </w:pPr>
            <w:r w:rsidRPr="00CE427E">
              <w:rPr>
                <w:sz w:val="20"/>
                <w:lang w:val="en-US"/>
              </w:rPr>
              <w:t>- No. patients without event</w:t>
            </w:r>
          </w:p>
          <w:p w14:paraId="5CF8948E" w14:textId="77777777" w:rsidR="007D5B08" w:rsidRPr="00CE427E" w:rsidRDefault="007D5B08" w:rsidP="00CE427E">
            <w:pPr>
              <w:spacing w:line="240" w:lineRule="auto"/>
              <w:outlineLvl w:val="0"/>
              <w:rPr>
                <w:sz w:val="20"/>
                <w:lang w:val="en-US"/>
              </w:rPr>
            </w:pPr>
            <w:r w:rsidRPr="00CE427E">
              <w:rPr>
                <w:sz w:val="20"/>
                <w:lang w:val="en-US"/>
              </w:rPr>
              <w:t>P</w:t>
            </w:r>
            <w:r w:rsidRPr="00CE427E">
              <w:rPr>
                <w:sz w:val="20"/>
                <w:lang w:val="en-US"/>
              </w:rPr>
              <w:noBreakHyphen/>
              <w:t>value versus Observation</w:t>
            </w:r>
          </w:p>
          <w:p w14:paraId="476801E6" w14:textId="4D6ED3D1" w:rsidR="007D5B08" w:rsidRPr="00CE427E" w:rsidRDefault="007D5B08" w:rsidP="00CE427E">
            <w:pPr>
              <w:spacing w:line="240" w:lineRule="auto"/>
              <w:outlineLvl w:val="0"/>
              <w:rPr>
                <w:sz w:val="20"/>
                <w:lang w:val="en-US"/>
              </w:rPr>
            </w:pPr>
            <w:r w:rsidRPr="00CE427E">
              <w:rPr>
                <w:sz w:val="20"/>
                <w:lang w:val="en-US"/>
              </w:rPr>
              <w:t xml:space="preserve">Hazard </w:t>
            </w:r>
            <w:r w:rsidR="00975B60">
              <w:rPr>
                <w:sz w:val="20"/>
                <w:lang w:val="en-US"/>
              </w:rPr>
              <w:t>r</w:t>
            </w:r>
            <w:r w:rsidRPr="00CE427E">
              <w:rPr>
                <w:sz w:val="20"/>
                <w:lang w:val="en-US"/>
              </w:rPr>
              <w:t>atio versus Observation</w:t>
            </w:r>
          </w:p>
        </w:tc>
        <w:tc>
          <w:tcPr>
            <w:tcW w:w="1418" w:type="dxa"/>
            <w:tcBorders>
              <w:bottom w:val="nil"/>
              <w:right w:val="nil"/>
            </w:tcBorders>
            <w:shd w:val="clear" w:color="auto" w:fill="auto"/>
          </w:tcPr>
          <w:p w14:paraId="7C1DA71F" w14:textId="77777777" w:rsidR="007D5B08" w:rsidRPr="00CE427E" w:rsidRDefault="007D5B08" w:rsidP="00CE427E">
            <w:pPr>
              <w:spacing w:line="240" w:lineRule="auto"/>
              <w:jc w:val="center"/>
              <w:outlineLvl w:val="0"/>
              <w:rPr>
                <w:sz w:val="20"/>
                <w:lang w:val="en-US"/>
              </w:rPr>
            </w:pPr>
          </w:p>
          <w:p w14:paraId="18A156E9" w14:textId="4A16CE2F" w:rsidR="007D5B08" w:rsidRPr="00CE427E" w:rsidRDefault="00124A46" w:rsidP="00CE427E">
            <w:pPr>
              <w:spacing w:line="240" w:lineRule="auto"/>
              <w:jc w:val="center"/>
              <w:outlineLvl w:val="0"/>
              <w:rPr>
                <w:sz w:val="20"/>
                <w:lang w:val="en-US"/>
              </w:rPr>
            </w:pPr>
            <w:r w:rsidRPr="00CE427E">
              <w:rPr>
                <w:sz w:val="20"/>
                <w:lang w:val="en-US"/>
              </w:rPr>
              <w:t>184 (10.9</w:t>
            </w:r>
            <w:r w:rsidR="000840CF" w:rsidRPr="00CE427E">
              <w:rPr>
                <w:sz w:val="20"/>
                <w:lang w:val="en-US"/>
              </w:rPr>
              <w:t>%</w:t>
            </w:r>
            <w:r w:rsidR="007D5B08" w:rsidRPr="00CE427E">
              <w:rPr>
                <w:sz w:val="20"/>
                <w:lang w:val="en-US"/>
              </w:rPr>
              <w:t>)</w:t>
            </w:r>
          </w:p>
          <w:p w14:paraId="008FEBDC" w14:textId="2FC0E101" w:rsidR="007D5B08" w:rsidRPr="00CE427E" w:rsidRDefault="00124A46" w:rsidP="00CE427E">
            <w:pPr>
              <w:spacing w:line="240" w:lineRule="auto"/>
              <w:jc w:val="center"/>
              <w:outlineLvl w:val="0"/>
              <w:rPr>
                <w:b/>
                <w:sz w:val="20"/>
                <w:lang w:val="en-US"/>
              </w:rPr>
            </w:pPr>
            <w:r w:rsidRPr="00CE427E">
              <w:rPr>
                <w:sz w:val="20"/>
                <w:lang w:val="en-US"/>
              </w:rPr>
              <w:t>1</w:t>
            </w:r>
            <w:r w:rsidR="000B44AA">
              <w:rPr>
                <w:sz w:val="20"/>
                <w:lang w:val="en-US"/>
              </w:rPr>
              <w:t> </w:t>
            </w:r>
            <w:r w:rsidRPr="00CE427E">
              <w:rPr>
                <w:sz w:val="20"/>
                <w:lang w:val="en-US"/>
              </w:rPr>
              <w:t>508 (89.1</w:t>
            </w:r>
            <w:r w:rsidR="000840CF" w:rsidRPr="00CE427E">
              <w:rPr>
                <w:sz w:val="20"/>
                <w:lang w:val="en-US"/>
              </w:rPr>
              <w:t>%</w:t>
            </w:r>
            <w:r w:rsidR="007D5B08" w:rsidRPr="00CE427E">
              <w:rPr>
                <w:sz w:val="20"/>
                <w:lang w:val="en-US"/>
              </w:rPr>
              <w:t>)</w:t>
            </w:r>
          </w:p>
        </w:tc>
        <w:tc>
          <w:tcPr>
            <w:tcW w:w="1559" w:type="dxa"/>
            <w:tcBorders>
              <w:left w:val="nil"/>
              <w:bottom w:val="nil"/>
            </w:tcBorders>
            <w:shd w:val="clear" w:color="auto" w:fill="auto"/>
          </w:tcPr>
          <w:p w14:paraId="2C5807C7" w14:textId="77777777" w:rsidR="007D5B08" w:rsidRPr="00CE427E" w:rsidRDefault="007D5B08" w:rsidP="00CE427E">
            <w:pPr>
              <w:spacing w:line="240" w:lineRule="auto"/>
              <w:jc w:val="center"/>
              <w:outlineLvl w:val="0"/>
              <w:rPr>
                <w:sz w:val="20"/>
                <w:lang w:val="en-US"/>
              </w:rPr>
            </w:pPr>
          </w:p>
          <w:p w14:paraId="482F2141" w14:textId="4B1A2EF7" w:rsidR="007D5B08" w:rsidRPr="00CE427E" w:rsidRDefault="00124A46" w:rsidP="00CE427E">
            <w:pPr>
              <w:spacing w:line="240" w:lineRule="auto"/>
              <w:jc w:val="center"/>
              <w:outlineLvl w:val="0"/>
              <w:rPr>
                <w:sz w:val="20"/>
                <w:lang w:val="en-US"/>
              </w:rPr>
            </w:pPr>
            <w:r w:rsidRPr="00CE427E">
              <w:rPr>
                <w:sz w:val="20"/>
                <w:lang w:val="en-US"/>
              </w:rPr>
              <w:t>99 (5.8</w:t>
            </w:r>
            <w:r w:rsidR="000840CF" w:rsidRPr="00CE427E">
              <w:rPr>
                <w:sz w:val="20"/>
                <w:lang w:val="en-US"/>
              </w:rPr>
              <w:t>%</w:t>
            </w:r>
            <w:r w:rsidR="007D5B08" w:rsidRPr="00CE427E">
              <w:rPr>
                <w:sz w:val="20"/>
                <w:lang w:val="en-US"/>
              </w:rPr>
              <w:t>)</w:t>
            </w:r>
          </w:p>
          <w:p w14:paraId="531B964A" w14:textId="1584A24E" w:rsidR="007D5B08" w:rsidRPr="00CE427E" w:rsidRDefault="00124A46" w:rsidP="00CE427E">
            <w:pPr>
              <w:spacing w:line="240" w:lineRule="auto"/>
              <w:jc w:val="center"/>
              <w:outlineLvl w:val="0"/>
              <w:rPr>
                <w:b/>
                <w:sz w:val="20"/>
                <w:lang w:val="en-US"/>
              </w:rPr>
            </w:pPr>
            <w:r w:rsidRPr="00CE427E">
              <w:rPr>
                <w:sz w:val="20"/>
                <w:lang w:val="en-US"/>
              </w:rPr>
              <w:t>1</w:t>
            </w:r>
            <w:r w:rsidR="000B44AA">
              <w:rPr>
                <w:sz w:val="20"/>
                <w:lang w:val="en-US"/>
              </w:rPr>
              <w:t> </w:t>
            </w:r>
            <w:r w:rsidRPr="00CE427E">
              <w:rPr>
                <w:sz w:val="20"/>
                <w:lang w:val="en-US"/>
              </w:rPr>
              <w:t>594 (94.6</w:t>
            </w:r>
            <w:r w:rsidR="000840CF" w:rsidRPr="00CE427E">
              <w:rPr>
                <w:sz w:val="20"/>
                <w:lang w:val="en-US"/>
              </w:rPr>
              <w:t>%</w:t>
            </w:r>
            <w:r w:rsidR="007D5B08" w:rsidRPr="00CE427E">
              <w:rPr>
                <w:sz w:val="20"/>
                <w:lang w:val="en-US"/>
              </w:rPr>
              <w:t>)</w:t>
            </w:r>
          </w:p>
        </w:tc>
        <w:tc>
          <w:tcPr>
            <w:tcW w:w="1417" w:type="dxa"/>
            <w:tcBorders>
              <w:bottom w:val="nil"/>
              <w:right w:val="nil"/>
            </w:tcBorders>
            <w:shd w:val="clear" w:color="auto" w:fill="auto"/>
          </w:tcPr>
          <w:p w14:paraId="6461649B" w14:textId="77777777" w:rsidR="007D5B08" w:rsidRPr="00CE427E" w:rsidRDefault="007D5B08" w:rsidP="00CE427E">
            <w:pPr>
              <w:spacing w:line="240" w:lineRule="auto"/>
              <w:jc w:val="center"/>
              <w:outlineLvl w:val="0"/>
              <w:rPr>
                <w:sz w:val="20"/>
                <w:lang w:val="en-US"/>
              </w:rPr>
            </w:pPr>
          </w:p>
          <w:p w14:paraId="075D7257" w14:textId="3C0FA3C2" w:rsidR="007D5B08" w:rsidRPr="00CE427E" w:rsidRDefault="00124A46" w:rsidP="00CE427E">
            <w:pPr>
              <w:spacing w:line="240" w:lineRule="auto"/>
              <w:jc w:val="center"/>
              <w:outlineLvl w:val="0"/>
              <w:rPr>
                <w:sz w:val="20"/>
                <w:lang w:val="en-US"/>
              </w:rPr>
            </w:pPr>
            <w:r w:rsidRPr="00CE427E">
              <w:rPr>
                <w:sz w:val="20"/>
                <w:lang w:val="en-US"/>
              </w:rPr>
              <w:t>488 (28.8</w:t>
            </w:r>
            <w:r w:rsidR="000840CF" w:rsidRPr="00CE427E">
              <w:rPr>
                <w:sz w:val="20"/>
                <w:lang w:val="en-US"/>
              </w:rPr>
              <w:t>%</w:t>
            </w:r>
            <w:r w:rsidR="007D5B08" w:rsidRPr="00CE427E">
              <w:rPr>
                <w:sz w:val="20"/>
                <w:lang w:val="en-US"/>
              </w:rPr>
              <w:t>)</w:t>
            </w:r>
          </w:p>
          <w:p w14:paraId="26F839E4" w14:textId="1C5353FE" w:rsidR="007D5B08" w:rsidRPr="00CE427E" w:rsidRDefault="00124A46" w:rsidP="00CE427E">
            <w:pPr>
              <w:spacing w:line="240" w:lineRule="auto"/>
              <w:jc w:val="center"/>
              <w:outlineLvl w:val="0"/>
              <w:rPr>
                <w:b/>
                <w:sz w:val="20"/>
                <w:lang w:val="en-US"/>
              </w:rPr>
            </w:pPr>
            <w:r w:rsidRPr="00CE427E">
              <w:rPr>
                <w:sz w:val="20"/>
                <w:lang w:val="en-US"/>
              </w:rPr>
              <w:t>1</w:t>
            </w:r>
            <w:r w:rsidR="000B44AA">
              <w:rPr>
                <w:sz w:val="20"/>
                <w:lang w:val="en-US"/>
              </w:rPr>
              <w:t> </w:t>
            </w:r>
            <w:r w:rsidRPr="00CE427E">
              <w:rPr>
                <w:sz w:val="20"/>
                <w:lang w:val="en-US"/>
              </w:rPr>
              <w:t>209 (71.2</w:t>
            </w:r>
            <w:r w:rsidR="000840CF" w:rsidRPr="00CE427E">
              <w:rPr>
                <w:sz w:val="20"/>
                <w:lang w:val="en-US"/>
              </w:rPr>
              <w:t>%</w:t>
            </w:r>
            <w:r w:rsidR="007D5B08" w:rsidRPr="00CE427E">
              <w:rPr>
                <w:sz w:val="20"/>
                <w:lang w:val="en-US"/>
              </w:rPr>
              <w:t>)</w:t>
            </w:r>
          </w:p>
        </w:tc>
        <w:tc>
          <w:tcPr>
            <w:tcW w:w="1560" w:type="dxa"/>
            <w:tcBorders>
              <w:left w:val="nil"/>
              <w:bottom w:val="nil"/>
            </w:tcBorders>
            <w:shd w:val="clear" w:color="auto" w:fill="auto"/>
          </w:tcPr>
          <w:p w14:paraId="1BD1A1D8" w14:textId="77777777" w:rsidR="007D5B08" w:rsidRPr="00CE427E" w:rsidRDefault="007D5B08" w:rsidP="00CE427E">
            <w:pPr>
              <w:spacing w:line="240" w:lineRule="auto"/>
              <w:jc w:val="center"/>
              <w:outlineLvl w:val="0"/>
              <w:rPr>
                <w:sz w:val="20"/>
                <w:lang w:val="en-US"/>
              </w:rPr>
            </w:pPr>
          </w:p>
          <w:p w14:paraId="543A8FEB" w14:textId="13B20799" w:rsidR="007D5B08" w:rsidRPr="00CE427E" w:rsidRDefault="00124A46" w:rsidP="00CE427E">
            <w:pPr>
              <w:spacing w:line="240" w:lineRule="auto"/>
              <w:jc w:val="center"/>
              <w:outlineLvl w:val="0"/>
              <w:rPr>
                <w:sz w:val="20"/>
                <w:lang w:val="en-US"/>
              </w:rPr>
            </w:pPr>
            <w:r w:rsidRPr="00CE427E">
              <w:rPr>
                <w:sz w:val="20"/>
                <w:lang w:val="en-US"/>
              </w:rPr>
              <w:t>399 (23.4</w:t>
            </w:r>
            <w:r w:rsidR="000840CF" w:rsidRPr="00CE427E">
              <w:rPr>
                <w:sz w:val="20"/>
                <w:lang w:val="en-US"/>
              </w:rPr>
              <w:t>%</w:t>
            </w:r>
            <w:r w:rsidR="007D5B08" w:rsidRPr="00CE427E">
              <w:rPr>
                <w:sz w:val="20"/>
                <w:lang w:val="en-US"/>
              </w:rPr>
              <w:t>)</w:t>
            </w:r>
          </w:p>
          <w:p w14:paraId="65B009E7" w14:textId="43C9FFF4" w:rsidR="007D5B08" w:rsidRPr="00CE427E" w:rsidRDefault="00124A46" w:rsidP="00CE427E">
            <w:pPr>
              <w:spacing w:line="240" w:lineRule="auto"/>
              <w:jc w:val="center"/>
              <w:outlineLvl w:val="0"/>
              <w:rPr>
                <w:b/>
                <w:sz w:val="20"/>
                <w:lang w:val="en-US"/>
              </w:rPr>
            </w:pPr>
            <w:r w:rsidRPr="00CE427E">
              <w:rPr>
                <w:sz w:val="20"/>
                <w:lang w:val="en-US"/>
              </w:rPr>
              <w:t>1</w:t>
            </w:r>
            <w:r w:rsidR="000B44AA">
              <w:rPr>
                <w:sz w:val="20"/>
                <w:lang w:val="en-US"/>
              </w:rPr>
              <w:t> </w:t>
            </w:r>
            <w:r w:rsidRPr="00CE427E">
              <w:rPr>
                <w:sz w:val="20"/>
                <w:lang w:val="en-US"/>
              </w:rPr>
              <w:t>303 (76.6</w:t>
            </w:r>
            <w:r w:rsidR="000840CF" w:rsidRPr="00CE427E">
              <w:rPr>
                <w:sz w:val="20"/>
                <w:lang w:val="en-US"/>
              </w:rPr>
              <w:t>%</w:t>
            </w:r>
            <w:r w:rsidR="007D5B08" w:rsidRPr="00CE427E">
              <w:rPr>
                <w:sz w:val="20"/>
                <w:lang w:val="en-US"/>
              </w:rPr>
              <w:t>)</w:t>
            </w:r>
          </w:p>
        </w:tc>
      </w:tr>
      <w:tr w:rsidR="007D5B08" w:rsidRPr="006128F6" w14:paraId="0C5485FF" w14:textId="77777777" w:rsidTr="00CE427E">
        <w:tc>
          <w:tcPr>
            <w:tcW w:w="2977" w:type="dxa"/>
            <w:vMerge/>
            <w:shd w:val="clear" w:color="auto" w:fill="auto"/>
          </w:tcPr>
          <w:p w14:paraId="0F5528F7" w14:textId="77777777" w:rsidR="007D5B08" w:rsidRPr="00CE427E" w:rsidRDefault="007D5B08" w:rsidP="00CE427E">
            <w:pPr>
              <w:spacing w:line="240" w:lineRule="auto"/>
              <w:outlineLvl w:val="0"/>
              <w:rPr>
                <w:rFonts w:eastAsia="Calibri"/>
                <w:sz w:val="20"/>
                <w:lang w:val="en-US"/>
              </w:rPr>
            </w:pPr>
          </w:p>
        </w:tc>
        <w:tc>
          <w:tcPr>
            <w:tcW w:w="2977" w:type="dxa"/>
            <w:gridSpan w:val="2"/>
            <w:tcBorders>
              <w:top w:val="nil"/>
              <w:bottom w:val="single" w:sz="4" w:space="0" w:color="auto"/>
            </w:tcBorders>
            <w:shd w:val="clear" w:color="auto" w:fill="auto"/>
          </w:tcPr>
          <w:p w14:paraId="51115010" w14:textId="77777777" w:rsidR="007D5B08" w:rsidRPr="00CE427E" w:rsidRDefault="00124A46" w:rsidP="00CE427E">
            <w:pPr>
              <w:spacing w:line="240" w:lineRule="auto"/>
              <w:jc w:val="center"/>
              <w:outlineLvl w:val="0"/>
              <w:rPr>
                <w:sz w:val="20"/>
                <w:lang w:val="en-US"/>
              </w:rPr>
            </w:pPr>
            <w:r w:rsidRPr="00CE427E">
              <w:rPr>
                <w:sz w:val="20"/>
                <w:lang w:val="en-US"/>
              </w:rPr>
              <w:t>&lt; </w:t>
            </w:r>
            <w:r w:rsidR="007D5B08" w:rsidRPr="00CE427E">
              <w:rPr>
                <w:sz w:val="20"/>
                <w:lang w:val="en-US"/>
              </w:rPr>
              <w:t>0.0001</w:t>
            </w:r>
          </w:p>
          <w:p w14:paraId="203968D4" w14:textId="77777777" w:rsidR="007D5B08" w:rsidRPr="00CE427E" w:rsidRDefault="007D5B08" w:rsidP="00CE427E">
            <w:pPr>
              <w:spacing w:line="240" w:lineRule="auto"/>
              <w:jc w:val="center"/>
              <w:outlineLvl w:val="0"/>
              <w:rPr>
                <w:sz w:val="20"/>
                <w:lang w:val="en-US"/>
              </w:rPr>
            </w:pPr>
            <w:r w:rsidRPr="00CE427E">
              <w:rPr>
                <w:sz w:val="20"/>
                <w:lang w:val="en-US"/>
              </w:rPr>
              <w:t>0.50</w:t>
            </w:r>
          </w:p>
        </w:tc>
        <w:tc>
          <w:tcPr>
            <w:tcW w:w="2977" w:type="dxa"/>
            <w:gridSpan w:val="2"/>
            <w:tcBorders>
              <w:top w:val="nil"/>
              <w:bottom w:val="single" w:sz="4" w:space="0" w:color="auto"/>
            </w:tcBorders>
            <w:shd w:val="clear" w:color="auto" w:fill="auto"/>
          </w:tcPr>
          <w:p w14:paraId="55775FE3" w14:textId="77777777" w:rsidR="007D5B08" w:rsidRPr="00CE427E" w:rsidRDefault="00124A46" w:rsidP="00CE427E">
            <w:pPr>
              <w:spacing w:line="240" w:lineRule="auto"/>
              <w:jc w:val="center"/>
              <w:outlineLvl w:val="0"/>
              <w:rPr>
                <w:sz w:val="20"/>
                <w:lang w:val="en-US"/>
              </w:rPr>
            </w:pPr>
            <w:r w:rsidRPr="00CE427E">
              <w:rPr>
                <w:sz w:val="20"/>
                <w:lang w:val="en-US"/>
              </w:rPr>
              <w:t>&lt; </w:t>
            </w:r>
            <w:r w:rsidR="007D5B08" w:rsidRPr="00CE427E">
              <w:rPr>
                <w:sz w:val="20"/>
                <w:lang w:val="en-US"/>
              </w:rPr>
              <w:t>0.0001</w:t>
            </w:r>
          </w:p>
          <w:p w14:paraId="5FA65D42" w14:textId="77777777" w:rsidR="007D5B08" w:rsidRPr="00CE427E" w:rsidRDefault="007D5B08" w:rsidP="00CE427E">
            <w:pPr>
              <w:spacing w:line="240" w:lineRule="auto"/>
              <w:jc w:val="center"/>
              <w:outlineLvl w:val="0"/>
              <w:rPr>
                <w:sz w:val="20"/>
                <w:lang w:val="en-US"/>
              </w:rPr>
            </w:pPr>
            <w:r w:rsidRPr="00CE427E">
              <w:rPr>
                <w:sz w:val="20"/>
                <w:lang w:val="en-US"/>
              </w:rPr>
              <w:t>0.76</w:t>
            </w:r>
          </w:p>
        </w:tc>
      </w:tr>
      <w:tr w:rsidR="008F6721" w:rsidRPr="006128F6" w14:paraId="7FC9D0E9" w14:textId="77777777" w:rsidTr="00CE427E">
        <w:tc>
          <w:tcPr>
            <w:tcW w:w="2977" w:type="dxa"/>
            <w:vMerge w:val="restart"/>
            <w:shd w:val="clear" w:color="auto" w:fill="auto"/>
          </w:tcPr>
          <w:p w14:paraId="21A53306" w14:textId="13A15F88" w:rsidR="007D5B08" w:rsidRPr="00CE427E" w:rsidRDefault="007D5B08" w:rsidP="00CE427E">
            <w:pPr>
              <w:spacing w:line="240" w:lineRule="auto"/>
              <w:outlineLvl w:val="0"/>
              <w:rPr>
                <w:rFonts w:eastAsia="Calibri"/>
                <w:sz w:val="20"/>
                <w:lang w:val="en-US"/>
              </w:rPr>
            </w:pPr>
            <w:r w:rsidRPr="00CE427E">
              <w:rPr>
                <w:rFonts w:eastAsia="Calibri"/>
                <w:sz w:val="20"/>
                <w:lang w:val="en-US"/>
              </w:rPr>
              <w:t xml:space="preserve">Overall survival </w:t>
            </w:r>
            <w:r w:rsidR="008B2309">
              <w:rPr>
                <w:rFonts w:eastAsia="Calibri"/>
                <w:sz w:val="20"/>
                <w:lang w:val="en-US"/>
              </w:rPr>
              <w:t xml:space="preserve">(OS) </w:t>
            </w:r>
            <w:r w:rsidRPr="00CE427E">
              <w:rPr>
                <w:rFonts w:eastAsia="Calibri"/>
                <w:sz w:val="20"/>
                <w:lang w:val="en-US"/>
              </w:rPr>
              <w:t>(death)</w:t>
            </w:r>
          </w:p>
          <w:p w14:paraId="59A3272C" w14:textId="77777777" w:rsidR="007D5B08" w:rsidRPr="00CE427E" w:rsidRDefault="007D5B08" w:rsidP="00CE427E">
            <w:pPr>
              <w:spacing w:line="240" w:lineRule="auto"/>
              <w:outlineLvl w:val="0"/>
              <w:rPr>
                <w:sz w:val="20"/>
                <w:lang w:val="en-US"/>
              </w:rPr>
            </w:pPr>
            <w:r w:rsidRPr="00CE427E">
              <w:rPr>
                <w:rFonts w:eastAsia="MS Mincho"/>
                <w:sz w:val="20"/>
                <w:lang w:val="en-US" w:eastAsia="en-GB"/>
              </w:rPr>
              <w:t>- No. patients with event</w:t>
            </w:r>
          </w:p>
          <w:p w14:paraId="6322B373" w14:textId="77777777" w:rsidR="007D5B08" w:rsidRPr="00CE427E" w:rsidRDefault="007D5B08" w:rsidP="00CE427E">
            <w:pPr>
              <w:spacing w:line="240" w:lineRule="auto"/>
              <w:outlineLvl w:val="0"/>
              <w:rPr>
                <w:sz w:val="20"/>
                <w:lang w:val="en-US"/>
              </w:rPr>
            </w:pPr>
            <w:r w:rsidRPr="00CE427E">
              <w:rPr>
                <w:sz w:val="20"/>
                <w:lang w:val="en-US"/>
              </w:rPr>
              <w:t>- No. patients without event</w:t>
            </w:r>
          </w:p>
          <w:p w14:paraId="454B3545" w14:textId="77777777" w:rsidR="007D5B08" w:rsidRPr="00CE427E" w:rsidRDefault="007D5B08" w:rsidP="00CE427E">
            <w:pPr>
              <w:spacing w:line="240" w:lineRule="auto"/>
              <w:outlineLvl w:val="0"/>
              <w:rPr>
                <w:sz w:val="20"/>
                <w:lang w:val="en-US"/>
              </w:rPr>
            </w:pPr>
            <w:r w:rsidRPr="00CE427E">
              <w:rPr>
                <w:sz w:val="20"/>
                <w:lang w:val="en-US"/>
              </w:rPr>
              <w:t>P</w:t>
            </w:r>
            <w:r w:rsidRPr="00CE427E">
              <w:rPr>
                <w:sz w:val="20"/>
                <w:lang w:val="en-US"/>
              </w:rPr>
              <w:noBreakHyphen/>
              <w:t>value versus Observation</w:t>
            </w:r>
          </w:p>
          <w:p w14:paraId="71476085" w14:textId="376D14D3" w:rsidR="007D5B08" w:rsidRPr="00CE427E" w:rsidRDefault="007D5B08" w:rsidP="00CE427E">
            <w:pPr>
              <w:spacing w:line="240" w:lineRule="auto"/>
              <w:outlineLvl w:val="0"/>
              <w:rPr>
                <w:b/>
                <w:sz w:val="20"/>
                <w:lang w:val="en-US"/>
              </w:rPr>
            </w:pPr>
            <w:r w:rsidRPr="00CE427E">
              <w:rPr>
                <w:sz w:val="20"/>
                <w:lang w:val="en-US"/>
              </w:rPr>
              <w:t xml:space="preserve">Hazard </w:t>
            </w:r>
            <w:r w:rsidR="00975B60">
              <w:rPr>
                <w:sz w:val="20"/>
                <w:lang w:val="en-US"/>
              </w:rPr>
              <w:t>r</w:t>
            </w:r>
            <w:r w:rsidRPr="00CE427E">
              <w:rPr>
                <w:sz w:val="20"/>
                <w:lang w:val="en-US"/>
              </w:rPr>
              <w:t>atio versus Observation</w:t>
            </w:r>
          </w:p>
        </w:tc>
        <w:tc>
          <w:tcPr>
            <w:tcW w:w="1418" w:type="dxa"/>
            <w:tcBorders>
              <w:bottom w:val="nil"/>
              <w:right w:val="nil"/>
            </w:tcBorders>
            <w:shd w:val="clear" w:color="auto" w:fill="auto"/>
          </w:tcPr>
          <w:p w14:paraId="5A4EC0F5" w14:textId="77777777" w:rsidR="007D5B08" w:rsidRPr="00CE427E" w:rsidRDefault="007D5B08" w:rsidP="00CE427E">
            <w:pPr>
              <w:spacing w:line="240" w:lineRule="auto"/>
              <w:jc w:val="center"/>
              <w:outlineLvl w:val="0"/>
              <w:rPr>
                <w:sz w:val="20"/>
                <w:lang w:val="en-US"/>
              </w:rPr>
            </w:pPr>
          </w:p>
          <w:p w14:paraId="1A4D4D8C" w14:textId="6C59EE9E" w:rsidR="007D5B08" w:rsidRPr="00CE427E" w:rsidRDefault="00124A46" w:rsidP="00CE427E">
            <w:pPr>
              <w:spacing w:line="240" w:lineRule="auto"/>
              <w:jc w:val="center"/>
              <w:outlineLvl w:val="0"/>
              <w:rPr>
                <w:sz w:val="20"/>
                <w:lang w:val="en-US"/>
              </w:rPr>
            </w:pPr>
            <w:r w:rsidRPr="00CE427E">
              <w:rPr>
                <w:sz w:val="20"/>
                <w:lang w:val="en-US"/>
              </w:rPr>
              <w:t>40 (2.4</w:t>
            </w:r>
            <w:r w:rsidR="000840CF" w:rsidRPr="00CE427E">
              <w:rPr>
                <w:sz w:val="20"/>
                <w:lang w:val="en-US"/>
              </w:rPr>
              <w:t>%</w:t>
            </w:r>
            <w:r w:rsidR="007D5B08" w:rsidRPr="00CE427E">
              <w:rPr>
                <w:sz w:val="20"/>
                <w:lang w:val="en-US"/>
              </w:rPr>
              <w:t>)</w:t>
            </w:r>
          </w:p>
          <w:p w14:paraId="22A4C5D5" w14:textId="6EC4ACAE" w:rsidR="007D5B08" w:rsidRPr="00CE427E" w:rsidRDefault="00124A46" w:rsidP="00CE427E">
            <w:pPr>
              <w:spacing w:line="240" w:lineRule="auto"/>
              <w:jc w:val="center"/>
              <w:outlineLvl w:val="0"/>
              <w:rPr>
                <w:b/>
                <w:sz w:val="20"/>
                <w:lang w:val="en-US"/>
              </w:rPr>
            </w:pPr>
            <w:r w:rsidRPr="00CE427E">
              <w:rPr>
                <w:sz w:val="20"/>
                <w:lang w:val="en-US"/>
              </w:rPr>
              <w:t>1</w:t>
            </w:r>
            <w:r w:rsidR="000B44AA">
              <w:rPr>
                <w:sz w:val="20"/>
                <w:lang w:val="en-US"/>
              </w:rPr>
              <w:t> </w:t>
            </w:r>
            <w:r w:rsidRPr="00CE427E">
              <w:rPr>
                <w:sz w:val="20"/>
                <w:lang w:val="en-US"/>
              </w:rPr>
              <w:t>653 (97.6</w:t>
            </w:r>
            <w:r w:rsidR="000840CF" w:rsidRPr="00CE427E">
              <w:rPr>
                <w:sz w:val="20"/>
                <w:lang w:val="en-US"/>
              </w:rPr>
              <w:t>%</w:t>
            </w:r>
            <w:r w:rsidR="007D5B08" w:rsidRPr="00CE427E">
              <w:rPr>
                <w:sz w:val="20"/>
                <w:lang w:val="en-US"/>
              </w:rPr>
              <w:t>)</w:t>
            </w:r>
          </w:p>
        </w:tc>
        <w:tc>
          <w:tcPr>
            <w:tcW w:w="1559" w:type="dxa"/>
            <w:tcBorders>
              <w:left w:val="nil"/>
              <w:bottom w:val="nil"/>
            </w:tcBorders>
            <w:shd w:val="clear" w:color="auto" w:fill="auto"/>
          </w:tcPr>
          <w:p w14:paraId="26464B48" w14:textId="77777777" w:rsidR="007D5B08" w:rsidRPr="00CE427E" w:rsidRDefault="007D5B08" w:rsidP="00CE427E">
            <w:pPr>
              <w:spacing w:line="240" w:lineRule="auto"/>
              <w:jc w:val="center"/>
              <w:outlineLvl w:val="0"/>
              <w:rPr>
                <w:sz w:val="20"/>
                <w:lang w:val="en-US"/>
              </w:rPr>
            </w:pPr>
          </w:p>
          <w:p w14:paraId="71C2C6E5" w14:textId="023F6D54" w:rsidR="007D5B08" w:rsidRPr="00CE427E" w:rsidRDefault="00124A46" w:rsidP="00CE427E">
            <w:pPr>
              <w:spacing w:line="240" w:lineRule="auto"/>
              <w:jc w:val="center"/>
              <w:outlineLvl w:val="0"/>
              <w:rPr>
                <w:sz w:val="20"/>
                <w:lang w:val="en-US"/>
              </w:rPr>
            </w:pPr>
            <w:r w:rsidRPr="00CE427E">
              <w:rPr>
                <w:sz w:val="20"/>
                <w:lang w:val="en-US"/>
              </w:rPr>
              <w:t>31 (1.8</w:t>
            </w:r>
            <w:r w:rsidR="000840CF" w:rsidRPr="00CE427E">
              <w:rPr>
                <w:sz w:val="20"/>
                <w:lang w:val="en-US"/>
              </w:rPr>
              <w:t>%</w:t>
            </w:r>
            <w:r w:rsidR="007D5B08" w:rsidRPr="00CE427E">
              <w:rPr>
                <w:sz w:val="20"/>
                <w:lang w:val="en-US"/>
              </w:rPr>
              <w:t>)</w:t>
            </w:r>
          </w:p>
          <w:p w14:paraId="585532CE" w14:textId="0A217ABD" w:rsidR="007D5B08" w:rsidRPr="00CE427E" w:rsidRDefault="007D5B08" w:rsidP="00CE427E">
            <w:pPr>
              <w:spacing w:line="240" w:lineRule="auto"/>
              <w:jc w:val="center"/>
              <w:outlineLvl w:val="0"/>
              <w:rPr>
                <w:b/>
                <w:sz w:val="20"/>
                <w:lang w:val="en-US"/>
              </w:rPr>
            </w:pPr>
            <w:r w:rsidRPr="00CE427E">
              <w:rPr>
                <w:sz w:val="20"/>
                <w:lang w:val="en-US"/>
              </w:rPr>
              <w:t>1</w:t>
            </w:r>
            <w:r w:rsidR="000B44AA">
              <w:rPr>
                <w:sz w:val="20"/>
                <w:lang w:val="en-US"/>
              </w:rPr>
              <w:t> </w:t>
            </w:r>
            <w:r w:rsidRPr="00CE427E">
              <w:rPr>
                <w:sz w:val="20"/>
                <w:lang w:val="en-US"/>
              </w:rPr>
              <w:t>66</w:t>
            </w:r>
            <w:r w:rsidR="00124A46" w:rsidRPr="00CE427E">
              <w:rPr>
                <w:sz w:val="20"/>
                <w:lang w:val="en-US"/>
              </w:rPr>
              <w:t>2 (98.2</w:t>
            </w:r>
            <w:r w:rsidR="000840CF" w:rsidRPr="00CE427E">
              <w:rPr>
                <w:sz w:val="20"/>
                <w:lang w:val="en-US"/>
              </w:rPr>
              <w:t>%</w:t>
            </w:r>
            <w:r w:rsidRPr="00CE427E">
              <w:rPr>
                <w:sz w:val="20"/>
                <w:lang w:val="en-US"/>
              </w:rPr>
              <w:t>)</w:t>
            </w:r>
          </w:p>
        </w:tc>
        <w:tc>
          <w:tcPr>
            <w:tcW w:w="1417" w:type="dxa"/>
            <w:tcBorders>
              <w:bottom w:val="nil"/>
              <w:right w:val="nil"/>
            </w:tcBorders>
            <w:shd w:val="clear" w:color="auto" w:fill="auto"/>
          </w:tcPr>
          <w:p w14:paraId="578AED2A" w14:textId="77777777" w:rsidR="007D5B08" w:rsidRPr="00CE427E" w:rsidRDefault="007D5B08" w:rsidP="00CE427E">
            <w:pPr>
              <w:spacing w:line="240" w:lineRule="auto"/>
              <w:jc w:val="center"/>
              <w:outlineLvl w:val="0"/>
              <w:rPr>
                <w:sz w:val="20"/>
                <w:lang w:val="en-US"/>
              </w:rPr>
            </w:pPr>
          </w:p>
          <w:p w14:paraId="07B9466B" w14:textId="61637013" w:rsidR="007D5B08" w:rsidRPr="00CE427E" w:rsidRDefault="00124A46" w:rsidP="00CE427E">
            <w:pPr>
              <w:spacing w:line="240" w:lineRule="auto"/>
              <w:jc w:val="center"/>
              <w:outlineLvl w:val="0"/>
              <w:rPr>
                <w:sz w:val="20"/>
                <w:lang w:val="en-US"/>
              </w:rPr>
            </w:pPr>
            <w:r w:rsidRPr="00CE427E">
              <w:rPr>
                <w:sz w:val="20"/>
                <w:lang w:val="en-US"/>
              </w:rPr>
              <w:t>350 (20.6</w:t>
            </w:r>
            <w:r w:rsidR="000840CF" w:rsidRPr="00CE427E">
              <w:rPr>
                <w:sz w:val="20"/>
                <w:lang w:val="en-US"/>
              </w:rPr>
              <w:t>%</w:t>
            </w:r>
            <w:r w:rsidR="007D5B08" w:rsidRPr="00CE427E">
              <w:rPr>
                <w:sz w:val="20"/>
                <w:lang w:val="en-US"/>
              </w:rPr>
              <w:t>)</w:t>
            </w:r>
          </w:p>
          <w:p w14:paraId="69CF2865" w14:textId="416E4AF3" w:rsidR="007D5B08" w:rsidRPr="00CE427E" w:rsidRDefault="00124A46" w:rsidP="00CE427E">
            <w:pPr>
              <w:spacing w:line="240" w:lineRule="auto"/>
              <w:jc w:val="center"/>
              <w:outlineLvl w:val="0"/>
              <w:rPr>
                <w:b/>
                <w:sz w:val="20"/>
                <w:lang w:val="en-US"/>
              </w:rPr>
            </w:pPr>
            <w:r w:rsidRPr="00CE427E">
              <w:rPr>
                <w:sz w:val="20"/>
                <w:lang w:val="en-US"/>
              </w:rPr>
              <w:t>1</w:t>
            </w:r>
            <w:r w:rsidR="000B44AA">
              <w:rPr>
                <w:sz w:val="20"/>
                <w:lang w:val="en-US"/>
              </w:rPr>
              <w:t> </w:t>
            </w:r>
            <w:r w:rsidRPr="00CE427E">
              <w:rPr>
                <w:sz w:val="20"/>
                <w:lang w:val="en-US"/>
              </w:rPr>
              <w:t>347 (79.4</w:t>
            </w:r>
            <w:r w:rsidR="000840CF" w:rsidRPr="00CE427E">
              <w:rPr>
                <w:sz w:val="20"/>
                <w:lang w:val="en-US"/>
              </w:rPr>
              <w:t>%</w:t>
            </w:r>
            <w:r w:rsidR="007D5B08" w:rsidRPr="00CE427E">
              <w:rPr>
                <w:sz w:val="20"/>
                <w:lang w:val="en-US"/>
              </w:rPr>
              <w:t>)</w:t>
            </w:r>
          </w:p>
        </w:tc>
        <w:tc>
          <w:tcPr>
            <w:tcW w:w="1560" w:type="dxa"/>
            <w:tcBorders>
              <w:left w:val="nil"/>
              <w:bottom w:val="nil"/>
            </w:tcBorders>
            <w:shd w:val="clear" w:color="auto" w:fill="auto"/>
          </w:tcPr>
          <w:p w14:paraId="4B4DAD5E" w14:textId="77777777" w:rsidR="007D5B08" w:rsidRPr="00CE427E" w:rsidRDefault="007D5B08" w:rsidP="00CE427E">
            <w:pPr>
              <w:spacing w:line="240" w:lineRule="auto"/>
              <w:jc w:val="center"/>
              <w:outlineLvl w:val="0"/>
              <w:rPr>
                <w:sz w:val="20"/>
                <w:lang w:val="en-US"/>
              </w:rPr>
            </w:pPr>
          </w:p>
          <w:p w14:paraId="7E00C098" w14:textId="1C96ACC7" w:rsidR="007D5B08" w:rsidRPr="00CE427E" w:rsidRDefault="00124A46" w:rsidP="00CE427E">
            <w:pPr>
              <w:spacing w:line="240" w:lineRule="auto"/>
              <w:jc w:val="center"/>
              <w:outlineLvl w:val="0"/>
              <w:rPr>
                <w:sz w:val="20"/>
                <w:lang w:val="en-US"/>
              </w:rPr>
            </w:pPr>
            <w:r w:rsidRPr="00CE427E">
              <w:rPr>
                <w:sz w:val="20"/>
                <w:lang w:val="en-US"/>
              </w:rPr>
              <w:t>278 (16.3</w:t>
            </w:r>
            <w:r w:rsidR="000840CF" w:rsidRPr="00CE427E">
              <w:rPr>
                <w:sz w:val="20"/>
                <w:lang w:val="en-US"/>
              </w:rPr>
              <w:t>%</w:t>
            </w:r>
            <w:r w:rsidR="007D5B08" w:rsidRPr="00CE427E">
              <w:rPr>
                <w:sz w:val="20"/>
                <w:lang w:val="en-US"/>
              </w:rPr>
              <w:t>)</w:t>
            </w:r>
          </w:p>
          <w:p w14:paraId="7DE97210" w14:textId="3F3E1F26" w:rsidR="007D5B08" w:rsidRPr="00CE427E" w:rsidRDefault="00124A46" w:rsidP="00CE427E">
            <w:pPr>
              <w:spacing w:line="240" w:lineRule="auto"/>
              <w:jc w:val="center"/>
              <w:outlineLvl w:val="0"/>
              <w:rPr>
                <w:b/>
                <w:sz w:val="20"/>
                <w:lang w:val="en-US"/>
              </w:rPr>
            </w:pPr>
            <w:r w:rsidRPr="00CE427E">
              <w:rPr>
                <w:sz w:val="20"/>
                <w:lang w:val="en-US"/>
              </w:rPr>
              <w:t>1</w:t>
            </w:r>
            <w:r w:rsidR="000B44AA">
              <w:rPr>
                <w:sz w:val="20"/>
                <w:lang w:val="en-US"/>
              </w:rPr>
              <w:t> </w:t>
            </w:r>
            <w:r w:rsidRPr="00CE427E">
              <w:rPr>
                <w:sz w:val="20"/>
                <w:lang w:val="en-US"/>
              </w:rPr>
              <w:t>424 (83.7</w:t>
            </w:r>
            <w:r w:rsidR="000840CF" w:rsidRPr="00CE427E">
              <w:rPr>
                <w:sz w:val="20"/>
                <w:lang w:val="en-US"/>
              </w:rPr>
              <w:t>%</w:t>
            </w:r>
            <w:r w:rsidR="007D5B08" w:rsidRPr="00CE427E">
              <w:rPr>
                <w:sz w:val="20"/>
                <w:lang w:val="en-US"/>
              </w:rPr>
              <w:t>)</w:t>
            </w:r>
          </w:p>
        </w:tc>
      </w:tr>
      <w:tr w:rsidR="007D5B08" w:rsidRPr="006128F6" w14:paraId="78EC04F7" w14:textId="77777777" w:rsidTr="00CE427E">
        <w:tc>
          <w:tcPr>
            <w:tcW w:w="2977" w:type="dxa"/>
            <w:vMerge/>
            <w:shd w:val="clear" w:color="auto" w:fill="auto"/>
          </w:tcPr>
          <w:p w14:paraId="7C6079A5" w14:textId="77777777" w:rsidR="007D5B08" w:rsidRPr="00CE427E" w:rsidRDefault="007D5B08" w:rsidP="00CE427E">
            <w:pPr>
              <w:spacing w:line="240" w:lineRule="auto"/>
              <w:outlineLvl w:val="0"/>
              <w:rPr>
                <w:rFonts w:eastAsia="Calibri"/>
                <w:sz w:val="20"/>
                <w:lang w:val="en-US"/>
              </w:rPr>
            </w:pPr>
          </w:p>
        </w:tc>
        <w:tc>
          <w:tcPr>
            <w:tcW w:w="2977" w:type="dxa"/>
            <w:gridSpan w:val="2"/>
            <w:tcBorders>
              <w:top w:val="nil"/>
            </w:tcBorders>
            <w:shd w:val="clear" w:color="auto" w:fill="auto"/>
          </w:tcPr>
          <w:p w14:paraId="1C27AAA7" w14:textId="77777777" w:rsidR="007D5B08" w:rsidRPr="00CE427E" w:rsidRDefault="007D5B08" w:rsidP="00CE427E">
            <w:pPr>
              <w:spacing w:line="240" w:lineRule="auto"/>
              <w:jc w:val="center"/>
              <w:outlineLvl w:val="0"/>
              <w:rPr>
                <w:sz w:val="20"/>
                <w:lang w:val="en-US"/>
              </w:rPr>
            </w:pPr>
            <w:r w:rsidRPr="00CE427E">
              <w:rPr>
                <w:sz w:val="20"/>
                <w:lang w:val="en-US"/>
              </w:rPr>
              <w:t>0.24</w:t>
            </w:r>
          </w:p>
          <w:p w14:paraId="38CA77F3" w14:textId="77777777" w:rsidR="007D5B08" w:rsidRPr="00CE427E" w:rsidRDefault="007D5B08" w:rsidP="00CE427E">
            <w:pPr>
              <w:spacing w:line="240" w:lineRule="auto"/>
              <w:jc w:val="center"/>
              <w:outlineLvl w:val="0"/>
              <w:rPr>
                <w:b/>
                <w:sz w:val="20"/>
                <w:lang w:val="en-US"/>
              </w:rPr>
            </w:pPr>
            <w:r w:rsidRPr="00CE427E">
              <w:rPr>
                <w:sz w:val="20"/>
                <w:lang w:val="en-US"/>
              </w:rPr>
              <w:t>0.75</w:t>
            </w:r>
          </w:p>
        </w:tc>
        <w:tc>
          <w:tcPr>
            <w:tcW w:w="2977" w:type="dxa"/>
            <w:gridSpan w:val="2"/>
            <w:tcBorders>
              <w:top w:val="nil"/>
            </w:tcBorders>
            <w:shd w:val="clear" w:color="auto" w:fill="auto"/>
          </w:tcPr>
          <w:p w14:paraId="4A68705B" w14:textId="77777777" w:rsidR="007D5B08" w:rsidRPr="00CE427E" w:rsidRDefault="007D5B08" w:rsidP="00CE427E">
            <w:pPr>
              <w:spacing w:line="240" w:lineRule="auto"/>
              <w:jc w:val="center"/>
              <w:outlineLvl w:val="0"/>
              <w:rPr>
                <w:sz w:val="20"/>
                <w:lang w:val="en-US"/>
              </w:rPr>
            </w:pPr>
            <w:r w:rsidRPr="00CE427E">
              <w:rPr>
                <w:sz w:val="20"/>
                <w:lang w:val="en-US"/>
              </w:rPr>
              <w:t>0.0005</w:t>
            </w:r>
          </w:p>
          <w:p w14:paraId="23AB2D0D" w14:textId="77777777" w:rsidR="007D5B08" w:rsidRPr="00CE427E" w:rsidRDefault="007D5B08" w:rsidP="00CE427E">
            <w:pPr>
              <w:spacing w:line="240" w:lineRule="auto"/>
              <w:jc w:val="center"/>
              <w:outlineLvl w:val="0"/>
              <w:rPr>
                <w:b/>
                <w:sz w:val="20"/>
                <w:lang w:val="en-US"/>
              </w:rPr>
            </w:pPr>
            <w:r w:rsidRPr="00CE427E">
              <w:rPr>
                <w:sz w:val="20"/>
                <w:lang w:val="en-US"/>
              </w:rPr>
              <w:t>0.76</w:t>
            </w:r>
          </w:p>
        </w:tc>
      </w:tr>
    </w:tbl>
    <w:p w14:paraId="11876F3F" w14:textId="4DAB2325" w:rsidR="007147B1" w:rsidRPr="00CE427E" w:rsidRDefault="007147B1" w:rsidP="006128F6">
      <w:pPr>
        <w:tabs>
          <w:tab w:val="clear" w:pos="567"/>
        </w:tabs>
        <w:autoSpaceDE w:val="0"/>
        <w:autoSpaceDN w:val="0"/>
        <w:adjustRightInd w:val="0"/>
        <w:spacing w:line="240" w:lineRule="auto"/>
        <w:rPr>
          <w:rFonts w:eastAsia="Calibri"/>
          <w:sz w:val="18"/>
          <w:szCs w:val="18"/>
        </w:rPr>
      </w:pPr>
      <w:r w:rsidRPr="00CE427E">
        <w:rPr>
          <w:rFonts w:eastAsia="Calibri"/>
          <w:sz w:val="18"/>
          <w:szCs w:val="18"/>
        </w:rPr>
        <w:t>*Co</w:t>
      </w:r>
      <w:r w:rsidRPr="00CE427E">
        <w:rPr>
          <w:rFonts w:eastAsia="Calibri"/>
          <w:sz w:val="18"/>
          <w:szCs w:val="18"/>
        </w:rPr>
        <w:noBreakHyphen/>
        <w:t>primary endpoint of DFS of 1 year versus observation met the pre</w:t>
      </w:r>
      <w:r w:rsidRPr="00CE427E">
        <w:rPr>
          <w:rFonts w:eastAsia="Calibri"/>
          <w:sz w:val="18"/>
          <w:szCs w:val="18"/>
        </w:rPr>
        <w:noBreakHyphen/>
        <w:t>defined statistical boundary</w:t>
      </w:r>
    </w:p>
    <w:p w14:paraId="13C36C93" w14:textId="734CC19B" w:rsidR="007147B1" w:rsidRPr="00CE427E" w:rsidRDefault="007147B1" w:rsidP="006128F6">
      <w:pPr>
        <w:tabs>
          <w:tab w:val="clear" w:pos="567"/>
        </w:tabs>
        <w:autoSpaceDE w:val="0"/>
        <w:autoSpaceDN w:val="0"/>
        <w:adjustRightInd w:val="0"/>
        <w:spacing w:line="240" w:lineRule="auto"/>
        <w:rPr>
          <w:rFonts w:eastAsia="Calibri"/>
          <w:sz w:val="18"/>
          <w:szCs w:val="18"/>
        </w:rPr>
      </w:pPr>
      <w:r w:rsidRPr="00CE427E">
        <w:rPr>
          <w:rFonts w:eastAsia="Calibri"/>
          <w:sz w:val="18"/>
          <w:szCs w:val="18"/>
        </w:rPr>
        <w:t>**Final analysis (including cross</w:t>
      </w:r>
      <w:r w:rsidR="00F14465" w:rsidRPr="00CE427E">
        <w:rPr>
          <w:rFonts w:eastAsia="Calibri"/>
          <w:sz w:val="18"/>
          <w:szCs w:val="18"/>
        </w:rPr>
        <w:t>-</w:t>
      </w:r>
      <w:r w:rsidRPr="00CE427E">
        <w:rPr>
          <w:rFonts w:eastAsia="Calibri"/>
          <w:sz w:val="18"/>
          <w:szCs w:val="18"/>
        </w:rPr>
        <w:t>over of 52</w:t>
      </w:r>
      <w:r w:rsidR="000840CF" w:rsidRPr="00CE427E">
        <w:rPr>
          <w:rFonts w:eastAsia="Calibri"/>
          <w:sz w:val="18"/>
          <w:szCs w:val="18"/>
        </w:rPr>
        <w:t>%</w:t>
      </w:r>
      <w:r w:rsidRPr="00CE427E">
        <w:rPr>
          <w:rFonts w:eastAsia="Calibri"/>
          <w:sz w:val="18"/>
          <w:szCs w:val="18"/>
        </w:rPr>
        <w:t xml:space="preserve"> of patients from the observation arm to </w:t>
      </w:r>
      <w:r w:rsidR="004F3E6A" w:rsidRPr="00CE427E">
        <w:rPr>
          <w:rFonts w:eastAsia="Calibri"/>
          <w:sz w:val="18"/>
          <w:szCs w:val="18"/>
        </w:rPr>
        <w:t>trastuzumab</w:t>
      </w:r>
      <w:r w:rsidRPr="00CE427E">
        <w:rPr>
          <w:rFonts w:eastAsia="Calibri"/>
          <w:sz w:val="18"/>
          <w:szCs w:val="18"/>
        </w:rPr>
        <w:t>)</w:t>
      </w:r>
    </w:p>
    <w:p w14:paraId="4B290F14" w14:textId="77777777" w:rsidR="007147B1" w:rsidRPr="00CE427E" w:rsidRDefault="007147B1" w:rsidP="006128F6">
      <w:pPr>
        <w:tabs>
          <w:tab w:val="clear" w:pos="567"/>
        </w:tabs>
        <w:autoSpaceDE w:val="0"/>
        <w:autoSpaceDN w:val="0"/>
        <w:adjustRightInd w:val="0"/>
        <w:spacing w:line="240" w:lineRule="auto"/>
        <w:rPr>
          <w:rFonts w:eastAsia="Calibri"/>
          <w:sz w:val="18"/>
          <w:szCs w:val="18"/>
        </w:rPr>
      </w:pPr>
      <w:r w:rsidRPr="00CE427E">
        <w:rPr>
          <w:rFonts w:eastAsia="Calibri"/>
          <w:sz w:val="18"/>
          <w:szCs w:val="18"/>
        </w:rPr>
        <w:t>***There is a discrepancy in the overall sample size due to a small number of patients who were randomised after the cut</w:t>
      </w:r>
      <w:r w:rsidRPr="00CE427E">
        <w:rPr>
          <w:rFonts w:eastAsia="Calibri"/>
          <w:sz w:val="18"/>
          <w:szCs w:val="18"/>
        </w:rPr>
        <w:noBreakHyphen/>
        <w:t>off date for the 12</w:t>
      </w:r>
      <w:r w:rsidRPr="00CE427E">
        <w:rPr>
          <w:rFonts w:eastAsia="Calibri"/>
          <w:sz w:val="18"/>
          <w:szCs w:val="18"/>
        </w:rPr>
        <w:noBreakHyphen/>
        <w:t>month median follow-up analysis</w:t>
      </w:r>
    </w:p>
    <w:p w14:paraId="01345DA4" w14:textId="77777777" w:rsidR="007147B1" w:rsidRPr="00CE427E" w:rsidRDefault="007147B1" w:rsidP="006128F6">
      <w:pPr>
        <w:tabs>
          <w:tab w:val="clear" w:pos="567"/>
        </w:tabs>
        <w:autoSpaceDE w:val="0"/>
        <w:autoSpaceDN w:val="0"/>
        <w:adjustRightInd w:val="0"/>
        <w:spacing w:line="240" w:lineRule="auto"/>
        <w:rPr>
          <w:rFonts w:eastAsia="Calibri"/>
          <w:szCs w:val="22"/>
        </w:rPr>
      </w:pPr>
    </w:p>
    <w:p w14:paraId="50F91B38" w14:textId="56E952E2" w:rsidR="007147B1" w:rsidRPr="00CE427E" w:rsidRDefault="007147B1" w:rsidP="006128F6">
      <w:pPr>
        <w:tabs>
          <w:tab w:val="clear" w:pos="567"/>
        </w:tabs>
        <w:autoSpaceDE w:val="0"/>
        <w:autoSpaceDN w:val="0"/>
        <w:adjustRightInd w:val="0"/>
        <w:spacing w:line="240" w:lineRule="auto"/>
        <w:rPr>
          <w:rFonts w:eastAsia="Calibri"/>
          <w:szCs w:val="22"/>
        </w:rPr>
      </w:pPr>
      <w:r w:rsidRPr="00CE427E">
        <w:rPr>
          <w:rFonts w:eastAsia="Calibri"/>
          <w:szCs w:val="22"/>
        </w:rPr>
        <w:t>The efficacy results from the interim efficacy analysis crossed the protocol pre-specified statistical b</w:t>
      </w:r>
      <w:r w:rsidR="00223279" w:rsidRPr="00CE427E">
        <w:rPr>
          <w:rFonts w:eastAsia="Calibri"/>
          <w:szCs w:val="22"/>
        </w:rPr>
        <w:t>oundary for the comparison of 1</w:t>
      </w:r>
      <w:r w:rsidR="00223279" w:rsidRPr="00CE427E">
        <w:rPr>
          <w:rFonts w:eastAsia="Calibri"/>
          <w:szCs w:val="22"/>
        </w:rPr>
        <w:noBreakHyphen/>
      </w:r>
      <w:r w:rsidRPr="00CE427E">
        <w:rPr>
          <w:rFonts w:eastAsia="Calibri"/>
          <w:szCs w:val="22"/>
        </w:rPr>
        <w:t xml:space="preserve">year of </w:t>
      </w:r>
      <w:r w:rsidR="004F3E6A" w:rsidRPr="00CE427E">
        <w:rPr>
          <w:rFonts w:eastAsia="Calibri"/>
          <w:szCs w:val="22"/>
        </w:rPr>
        <w:t>trastuzumab</w:t>
      </w:r>
      <w:r w:rsidRPr="00CE427E">
        <w:rPr>
          <w:rFonts w:eastAsia="Calibri"/>
          <w:szCs w:val="22"/>
        </w:rPr>
        <w:t xml:space="preserve"> versus observation. After a median follow-up of 12 months, the HR for DFS was 0.54 (95</w:t>
      </w:r>
      <w:r w:rsidR="000840CF" w:rsidRPr="00CE427E">
        <w:rPr>
          <w:rFonts w:eastAsia="Calibri"/>
          <w:szCs w:val="22"/>
        </w:rPr>
        <w:t>%</w:t>
      </w:r>
      <w:r w:rsidRPr="00CE427E">
        <w:rPr>
          <w:rFonts w:eastAsia="Calibri"/>
          <w:szCs w:val="22"/>
        </w:rPr>
        <w:t xml:space="preserve"> CI</w:t>
      </w:r>
      <w:r w:rsidR="00AE0CEF" w:rsidRPr="00CE427E">
        <w:rPr>
          <w:rFonts w:eastAsia="Calibri"/>
          <w:szCs w:val="22"/>
        </w:rPr>
        <w:t>:</w:t>
      </w:r>
      <w:r w:rsidRPr="00CE427E">
        <w:rPr>
          <w:rFonts w:eastAsia="Calibri"/>
          <w:szCs w:val="22"/>
        </w:rPr>
        <w:t xml:space="preserve"> 0.44, 0.67) which translates into an absolute benefit, in terms of a 2</w:t>
      </w:r>
      <w:r w:rsidRPr="00CE427E">
        <w:rPr>
          <w:rFonts w:eastAsia="Calibri"/>
          <w:szCs w:val="22"/>
        </w:rPr>
        <w:noBreakHyphen/>
        <w:t>year disease-free survival rate, of 7.6 percentage points (85.8</w:t>
      </w:r>
      <w:r w:rsidR="000840CF" w:rsidRPr="00CE427E">
        <w:rPr>
          <w:rFonts w:eastAsia="Calibri"/>
          <w:szCs w:val="22"/>
        </w:rPr>
        <w:t>%</w:t>
      </w:r>
      <w:r w:rsidRPr="00CE427E">
        <w:rPr>
          <w:rFonts w:eastAsia="Calibri"/>
          <w:szCs w:val="22"/>
        </w:rPr>
        <w:t xml:space="preserve"> versus 78.2</w:t>
      </w:r>
      <w:r w:rsidR="000840CF" w:rsidRPr="00CE427E">
        <w:rPr>
          <w:rFonts w:eastAsia="Calibri"/>
          <w:szCs w:val="22"/>
        </w:rPr>
        <w:t>%</w:t>
      </w:r>
      <w:r w:rsidRPr="00CE427E">
        <w:rPr>
          <w:rFonts w:eastAsia="Calibri"/>
          <w:szCs w:val="22"/>
        </w:rPr>
        <w:t xml:space="preserve">) in favour of the </w:t>
      </w:r>
      <w:r w:rsidR="004F3E6A" w:rsidRPr="00CE427E">
        <w:rPr>
          <w:rFonts w:eastAsia="Calibri"/>
          <w:szCs w:val="22"/>
        </w:rPr>
        <w:t>trastuzumab</w:t>
      </w:r>
      <w:r w:rsidRPr="00CE427E">
        <w:rPr>
          <w:rFonts w:eastAsia="Calibri"/>
          <w:szCs w:val="22"/>
        </w:rPr>
        <w:t xml:space="preserve"> arm.</w:t>
      </w:r>
    </w:p>
    <w:p w14:paraId="7F96077C" w14:textId="77777777" w:rsidR="007147B1" w:rsidRPr="00CE427E" w:rsidRDefault="007147B1" w:rsidP="006128F6">
      <w:pPr>
        <w:tabs>
          <w:tab w:val="clear" w:pos="567"/>
        </w:tabs>
        <w:autoSpaceDE w:val="0"/>
        <w:autoSpaceDN w:val="0"/>
        <w:adjustRightInd w:val="0"/>
        <w:spacing w:line="240" w:lineRule="auto"/>
        <w:rPr>
          <w:rFonts w:eastAsia="Calibri"/>
          <w:szCs w:val="22"/>
        </w:rPr>
      </w:pPr>
    </w:p>
    <w:p w14:paraId="39AA2B0A" w14:textId="501D9DE3" w:rsidR="007147B1" w:rsidRPr="00CE427E" w:rsidRDefault="007147B1" w:rsidP="006128F6">
      <w:pPr>
        <w:tabs>
          <w:tab w:val="clear" w:pos="567"/>
        </w:tabs>
        <w:autoSpaceDE w:val="0"/>
        <w:autoSpaceDN w:val="0"/>
        <w:adjustRightInd w:val="0"/>
        <w:spacing w:line="240" w:lineRule="auto"/>
        <w:rPr>
          <w:rFonts w:eastAsia="Calibri"/>
          <w:szCs w:val="22"/>
        </w:rPr>
      </w:pPr>
      <w:r w:rsidRPr="00CE427E">
        <w:rPr>
          <w:rFonts w:eastAsia="Calibri"/>
          <w:szCs w:val="22"/>
        </w:rPr>
        <w:t>A final analysis was performed after a median follow</w:t>
      </w:r>
      <w:r w:rsidRPr="00CE427E">
        <w:rPr>
          <w:rFonts w:eastAsia="Calibri"/>
          <w:szCs w:val="22"/>
        </w:rPr>
        <w:noBreakHyphen/>
        <w:t>up of 8 years, which showed that 1</w:t>
      </w:r>
      <w:r w:rsidR="00975B60">
        <w:rPr>
          <w:rFonts w:eastAsia="Calibri"/>
          <w:szCs w:val="22"/>
        </w:rPr>
        <w:t> </w:t>
      </w:r>
      <w:r w:rsidRPr="00CE427E">
        <w:rPr>
          <w:rFonts w:eastAsia="Calibri"/>
          <w:szCs w:val="22"/>
        </w:rPr>
        <w:t xml:space="preserve">year </w:t>
      </w:r>
      <w:r w:rsidR="004F3E6A" w:rsidRPr="00CE427E">
        <w:rPr>
          <w:rFonts w:eastAsia="Calibri"/>
          <w:szCs w:val="22"/>
        </w:rPr>
        <w:t>trastuzumab</w:t>
      </w:r>
      <w:r w:rsidRPr="00CE427E">
        <w:rPr>
          <w:rFonts w:eastAsia="Calibri"/>
          <w:szCs w:val="22"/>
        </w:rPr>
        <w:t xml:space="preserve"> treatment is associated with a 24% risk reduction compared to observation only (HR</w:t>
      </w:r>
      <w:r w:rsidR="002B7BA5" w:rsidRPr="00CE427E">
        <w:rPr>
          <w:rFonts w:eastAsia="Calibri"/>
          <w:szCs w:val="22"/>
        </w:rPr>
        <w:t> </w:t>
      </w:r>
      <w:r w:rsidRPr="00CE427E">
        <w:rPr>
          <w:rFonts w:eastAsia="Calibri"/>
          <w:szCs w:val="22"/>
        </w:rPr>
        <w:t>=</w:t>
      </w:r>
      <w:r w:rsidR="002B7BA5" w:rsidRPr="00CE427E">
        <w:rPr>
          <w:rFonts w:eastAsia="Calibri"/>
          <w:szCs w:val="22"/>
        </w:rPr>
        <w:t> </w:t>
      </w:r>
      <w:r w:rsidRPr="00CE427E">
        <w:rPr>
          <w:rFonts w:eastAsia="Calibri"/>
          <w:szCs w:val="22"/>
        </w:rPr>
        <w:t>0.76, 95</w:t>
      </w:r>
      <w:r w:rsidR="000840CF" w:rsidRPr="00CE427E">
        <w:rPr>
          <w:rFonts w:eastAsia="Calibri"/>
          <w:szCs w:val="22"/>
        </w:rPr>
        <w:t>%</w:t>
      </w:r>
      <w:r w:rsidRPr="00CE427E">
        <w:rPr>
          <w:rFonts w:eastAsia="Calibri"/>
          <w:szCs w:val="22"/>
        </w:rPr>
        <w:t xml:space="preserve"> CI</w:t>
      </w:r>
      <w:r w:rsidR="00AE0CEF" w:rsidRPr="00CE427E">
        <w:rPr>
          <w:rFonts w:eastAsia="Calibri"/>
          <w:szCs w:val="22"/>
        </w:rPr>
        <w:t>:</w:t>
      </w:r>
      <w:r w:rsidRPr="00CE427E">
        <w:rPr>
          <w:rFonts w:eastAsia="Calibri"/>
          <w:szCs w:val="22"/>
        </w:rPr>
        <w:t xml:space="preserve"> 0.67, 0.86). This translates into an absolute benefit in terms of an 8 year disease</w:t>
      </w:r>
      <w:r w:rsidR="00931930" w:rsidRPr="00CE427E">
        <w:rPr>
          <w:rFonts w:eastAsia="Calibri"/>
          <w:szCs w:val="22"/>
        </w:rPr>
        <w:noBreakHyphen/>
      </w:r>
      <w:r w:rsidRPr="00CE427E">
        <w:rPr>
          <w:rFonts w:eastAsia="Calibri"/>
          <w:szCs w:val="22"/>
        </w:rPr>
        <w:t xml:space="preserve">free survival rate of 6.4 percentage points in favour of 1 year </w:t>
      </w:r>
      <w:r w:rsidR="004F3E6A" w:rsidRPr="00CE427E">
        <w:rPr>
          <w:rFonts w:eastAsia="Calibri"/>
          <w:szCs w:val="22"/>
        </w:rPr>
        <w:t>trastuzumab</w:t>
      </w:r>
      <w:r w:rsidRPr="00CE427E">
        <w:rPr>
          <w:rFonts w:eastAsia="Calibri"/>
          <w:szCs w:val="22"/>
        </w:rPr>
        <w:t xml:space="preserve"> treatment.</w:t>
      </w:r>
    </w:p>
    <w:p w14:paraId="5041F660" w14:textId="77777777" w:rsidR="007147B1" w:rsidRPr="00CE427E" w:rsidRDefault="007147B1" w:rsidP="006128F6">
      <w:pPr>
        <w:tabs>
          <w:tab w:val="clear" w:pos="567"/>
        </w:tabs>
        <w:autoSpaceDE w:val="0"/>
        <w:autoSpaceDN w:val="0"/>
        <w:adjustRightInd w:val="0"/>
        <w:spacing w:line="240" w:lineRule="auto"/>
        <w:rPr>
          <w:rFonts w:eastAsia="Calibri"/>
          <w:szCs w:val="22"/>
        </w:rPr>
      </w:pPr>
    </w:p>
    <w:p w14:paraId="0D958F41" w14:textId="7477CD3C" w:rsidR="008B4720" w:rsidRPr="00CE427E" w:rsidRDefault="007147B1" w:rsidP="006128F6">
      <w:pPr>
        <w:tabs>
          <w:tab w:val="clear" w:pos="567"/>
        </w:tabs>
        <w:autoSpaceDE w:val="0"/>
        <w:autoSpaceDN w:val="0"/>
        <w:adjustRightInd w:val="0"/>
        <w:spacing w:line="240" w:lineRule="auto"/>
        <w:rPr>
          <w:rFonts w:eastAsia="Calibri"/>
          <w:szCs w:val="22"/>
        </w:rPr>
      </w:pPr>
      <w:r w:rsidRPr="00CE427E">
        <w:rPr>
          <w:rFonts w:eastAsia="Calibri"/>
          <w:szCs w:val="22"/>
        </w:rPr>
        <w:t xml:space="preserve">In this final analysis, extending </w:t>
      </w:r>
      <w:r w:rsidR="004F3E6A" w:rsidRPr="00CE427E">
        <w:rPr>
          <w:rFonts w:eastAsia="Calibri"/>
          <w:szCs w:val="22"/>
        </w:rPr>
        <w:t>trastuzumab</w:t>
      </w:r>
      <w:r w:rsidRPr="00CE427E">
        <w:rPr>
          <w:rFonts w:eastAsia="Calibri"/>
          <w:szCs w:val="22"/>
        </w:rPr>
        <w:t xml:space="preserve"> treatment for a duration of two years did not show additional benefit over treatment for 1 year [DFS HR in the intent to treat (ITT) population of 2 years versus 1 year</w:t>
      </w:r>
      <w:r w:rsidR="00553CE2" w:rsidRPr="00CE427E">
        <w:rPr>
          <w:rFonts w:eastAsia="Calibri"/>
          <w:szCs w:val="22"/>
        </w:rPr>
        <w:t> </w:t>
      </w:r>
      <w:r w:rsidRPr="00CE427E">
        <w:rPr>
          <w:rFonts w:eastAsia="Calibri"/>
          <w:szCs w:val="22"/>
        </w:rPr>
        <w:t>=</w:t>
      </w:r>
      <w:r w:rsidR="00553CE2" w:rsidRPr="00CE427E">
        <w:rPr>
          <w:rFonts w:eastAsia="Calibri"/>
          <w:szCs w:val="22"/>
        </w:rPr>
        <w:t> </w:t>
      </w:r>
      <w:r w:rsidRPr="00CE427E">
        <w:rPr>
          <w:rFonts w:eastAsia="Calibri"/>
          <w:szCs w:val="22"/>
        </w:rPr>
        <w:t>0.99 (95</w:t>
      </w:r>
      <w:r w:rsidR="000840CF" w:rsidRPr="00CE427E">
        <w:rPr>
          <w:rFonts w:eastAsia="Calibri"/>
          <w:szCs w:val="22"/>
        </w:rPr>
        <w:t>%</w:t>
      </w:r>
      <w:r w:rsidRPr="00CE427E">
        <w:rPr>
          <w:rFonts w:eastAsia="Calibri"/>
          <w:szCs w:val="22"/>
        </w:rPr>
        <w:t xml:space="preserve"> CI</w:t>
      </w:r>
      <w:r w:rsidR="00AE0CEF" w:rsidRPr="00CE427E">
        <w:rPr>
          <w:rFonts w:eastAsia="Calibri"/>
          <w:szCs w:val="22"/>
        </w:rPr>
        <w:t>:</w:t>
      </w:r>
      <w:r w:rsidRPr="00CE427E">
        <w:rPr>
          <w:rFonts w:eastAsia="Calibri"/>
          <w:szCs w:val="22"/>
        </w:rPr>
        <w:t xml:space="preserve"> 0.87, 1.13), p</w:t>
      </w:r>
      <w:r w:rsidRPr="00CE427E">
        <w:rPr>
          <w:rFonts w:eastAsia="Calibri"/>
          <w:szCs w:val="22"/>
        </w:rPr>
        <w:noBreakHyphen/>
        <w:t>value</w:t>
      </w:r>
      <w:r w:rsidR="002B7BA5" w:rsidRPr="00CE427E">
        <w:rPr>
          <w:rFonts w:eastAsia="Calibri"/>
          <w:szCs w:val="22"/>
        </w:rPr>
        <w:t> </w:t>
      </w:r>
      <w:r w:rsidRPr="00CE427E">
        <w:rPr>
          <w:rFonts w:eastAsia="Calibri"/>
          <w:szCs w:val="22"/>
        </w:rPr>
        <w:t>=</w:t>
      </w:r>
      <w:r w:rsidR="002B7BA5" w:rsidRPr="00CE427E">
        <w:rPr>
          <w:rFonts w:eastAsia="Calibri"/>
          <w:szCs w:val="22"/>
        </w:rPr>
        <w:t> </w:t>
      </w:r>
      <w:r w:rsidRPr="00CE427E">
        <w:rPr>
          <w:rFonts w:eastAsia="Calibri"/>
          <w:szCs w:val="22"/>
        </w:rPr>
        <w:t>0.90 and OS HR</w:t>
      </w:r>
      <w:r w:rsidR="002B7BA5" w:rsidRPr="00CE427E">
        <w:rPr>
          <w:rFonts w:eastAsia="Calibri"/>
          <w:szCs w:val="22"/>
        </w:rPr>
        <w:t> </w:t>
      </w:r>
      <w:r w:rsidRPr="00CE427E">
        <w:rPr>
          <w:rFonts w:eastAsia="Calibri"/>
          <w:szCs w:val="22"/>
        </w:rPr>
        <w:t>=</w:t>
      </w:r>
      <w:r w:rsidR="002B7BA5" w:rsidRPr="00CE427E">
        <w:rPr>
          <w:rFonts w:eastAsia="Calibri"/>
          <w:szCs w:val="22"/>
        </w:rPr>
        <w:t> </w:t>
      </w:r>
      <w:r w:rsidRPr="00CE427E">
        <w:rPr>
          <w:rFonts w:eastAsia="Calibri"/>
          <w:szCs w:val="22"/>
        </w:rPr>
        <w:t>0.9</w:t>
      </w:r>
      <w:r w:rsidR="008B4720" w:rsidRPr="00CE427E">
        <w:rPr>
          <w:rFonts w:eastAsia="Calibri"/>
          <w:szCs w:val="22"/>
        </w:rPr>
        <w:t>8 (0.83, 1.15); p</w:t>
      </w:r>
      <w:r w:rsidR="00853048" w:rsidRPr="00CE427E">
        <w:rPr>
          <w:rFonts w:eastAsia="Calibri"/>
          <w:szCs w:val="22"/>
        </w:rPr>
        <w:noBreakHyphen/>
      </w:r>
      <w:r w:rsidR="008B4720" w:rsidRPr="00CE427E">
        <w:rPr>
          <w:rFonts w:eastAsia="Calibri"/>
          <w:szCs w:val="22"/>
        </w:rPr>
        <w:t>value</w:t>
      </w:r>
      <w:r w:rsidR="002B7BA5" w:rsidRPr="00CE427E">
        <w:rPr>
          <w:rFonts w:eastAsia="Calibri"/>
          <w:szCs w:val="22"/>
        </w:rPr>
        <w:t> = </w:t>
      </w:r>
      <w:r w:rsidR="008B4720" w:rsidRPr="00CE427E">
        <w:rPr>
          <w:rFonts w:eastAsia="Calibri"/>
          <w:szCs w:val="22"/>
        </w:rPr>
        <w:t xml:space="preserve">0.78]. </w:t>
      </w:r>
      <w:r w:rsidRPr="00CE427E">
        <w:rPr>
          <w:rFonts w:eastAsia="Calibri"/>
          <w:szCs w:val="22"/>
        </w:rPr>
        <w:t>The rate of asymptomatic cardiac dysfunction was increased in the 2</w:t>
      </w:r>
      <w:r w:rsidR="008B4720" w:rsidRPr="00CE427E">
        <w:rPr>
          <w:rFonts w:eastAsia="Calibri"/>
          <w:szCs w:val="22"/>
        </w:rPr>
        <w:noBreakHyphen/>
      </w:r>
      <w:r w:rsidRPr="00CE427E">
        <w:rPr>
          <w:rFonts w:eastAsia="Calibri"/>
          <w:szCs w:val="22"/>
        </w:rPr>
        <w:t>year treatment arm (8.1</w:t>
      </w:r>
      <w:r w:rsidR="000840CF" w:rsidRPr="00CE427E">
        <w:rPr>
          <w:rFonts w:eastAsia="Calibri"/>
          <w:szCs w:val="22"/>
        </w:rPr>
        <w:t>%</w:t>
      </w:r>
      <w:r w:rsidR="008B4720" w:rsidRPr="00CE427E">
        <w:rPr>
          <w:rFonts w:eastAsia="Calibri"/>
          <w:szCs w:val="22"/>
        </w:rPr>
        <w:t xml:space="preserve"> versus </w:t>
      </w:r>
      <w:r w:rsidRPr="00CE427E">
        <w:rPr>
          <w:rFonts w:eastAsia="Calibri"/>
          <w:szCs w:val="22"/>
        </w:rPr>
        <w:t>4.6</w:t>
      </w:r>
      <w:r w:rsidR="000840CF" w:rsidRPr="00CE427E">
        <w:rPr>
          <w:rFonts w:eastAsia="Calibri"/>
          <w:szCs w:val="22"/>
        </w:rPr>
        <w:t>%</w:t>
      </w:r>
      <w:r w:rsidRPr="00CE427E">
        <w:rPr>
          <w:rFonts w:eastAsia="Calibri"/>
          <w:szCs w:val="22"/>
        </w:rPr>
        <w:t xml:space="preserve"> in the 1</w:t>
      </w:r>
      <w:r w:rsidR="008B4720" w:rsidRPr="00CE427E">
        <w:rPr>
          <w:rFonts w:eastAsia="Calibri"/>
          <w:szCs w:val="22"/>
        </w:rPr>
        <w:noBreakHyphen/>
      </w:r>
      <w:r w:rsidRPr="00CE427E">
        <w:rPr>
          <w:rFonts w:eastAsia="Calibri"/>
          <w:szCs w:val="22"/>
        </w:rPr>
        <w:t>year treatment arm). More patients experienced at least one grade</w:t>
      </w:r>
      <w:r w:rsidR="008B4720" w:rsidRPr="00CE427E">
        <w:rPr>
          <w:rFonts w:eastAsia="Calibri"/>
          <w:szCs w:val="22"/>
        </w:rPr>
        <w:t> </w:t>
      </w:r>
      <w:r w:rsidRPr="00CE427E">
        <w:rPr>
          <w:rFonts w:eastAsia="Calibri"/>
          <w:szCs w:val="22"/>
        </w:rPr>
        <w:t xml:space="preserve">3 or 4 adverse </w:t>
      </w:r>
      <w:r w:rsidR="001B633B" w:rsidRPr="00CE427E">
        <w:rPr>
          <w:rFonts w:eastAsia="Calibri"/>
          <w:szCs w:val="22"/>
        </w:rPr>
        <w:t xml:space="preserve">event </w:t>
      </w:r>
      <w:r w:rsidRPr="00CE427E">
        <w:rPr>
          <w:rFonts w:eastAsia="Calibri"/>
          <w:szCs w:val="22"/>
        </w:rPr>
        <w:t>in the 2</w:t>
      </w:r>
      <w:r w:rsidR="008B4720" w:rsidRPr="00CE427E">
        <w:rPr>
          <w:rFonts w:eastAsia="Calibri"/>
          <w:szCs w:val="22"/>
        </w:rPr>
        <w:noBreakHyphen/>
      </w:r>
      <w:r w:rsidRPr="00CE427E">
        <w:rPr>
          <w:rFonts w:eastAsia="Calibri"/>
          <w:szCs w:val="22"/>
        </w:rPr>
        <w:t>year treatment arm (20.4</w:t>
      </w:r>
      <w:r w:rsidR="000840CF" w:rsidRPr="00CE427E">
        <w:rPr>
          <w:rFonts w:eastAsia="Calibri"/>
          <w:szCs w:val="22"/>
        </w:rPr>
        <w:t>%</w:t>
      </w:r>
      <w:r w:rsidRPr="00CE427E">
        <w:rPr>
          <w:rFonts w:eastAsia="Calibri"/>
          <w:szCs w:val="22"/>
        </w:rPr>
        <w:t>) compared with the 1</w:t>
      </w:r>
      <w:r w:rsidR="008B4720" w:rsidRPr="00CE427E">
        <w:rPr>
          <w:rFonts w:eastAsia="Calibri"/>
          <w:szCs w:val="22"/>
        </w:rPr>
        <w:noBreakHyphen/>
      </w:r>
      <w:r w:rsidRPr="00CE427E">
        <w:rPr>
          <w:rFonts w:eastAsia="Calibri"/>
          <w:szCs w:val="22"/>
        </w:rPr>
        <w:t>year treatment arm (16.3</w:t>
      </w:r>
      <w:r w:rsidR="000840CF" w:rsidRPr="00CE427E">
        <w:rPr>
          <w:rFonts w:eastAsia="Calibri"/>
          <w:szCs w:val="22"/>
        </w:rPr>
        <w:t>%</w:t>
      </w:r>
      <w:r w:rsidR="008B4720" w:rsidRPr="00CE427E">
        <w:rPr>
          <w:rFonts w:eastAsia="Calibri"/>
          <w:szCs w:val="22"/>
        </w:rPr>
        <w:t xml:space="preserve">). </w:t>
      </w:r>
    </w:p>
    <w:p w14:paraId="3DA563F1" w14:textId="77777777" w:rsidR="008B4720" w:rsidRPr="00CE427E" w:rsidRDefault="008B4720" w:rsidP="006128F6">
      <w:pPr>
        <w:tabs>
          <w:tab w:val="clear" w:pos="567"/>
        </w:tabs>
        <w:autoSpaceDE w:val="0"/>
        <w:autoSpaceDN w:val="0"/>
        <w:adjustRightInd w:val="0"/>
        <w:spacing w:line="240" w:lineRule="auto"/>
        <w:rPr>
          <w:rFonts w:eastAsia="Calibri"/>
          <w:szCs w:val="22"/>
        </w:rPr>
      </w:pPr>
    </w:p>
    <w:p w14:paraId="0CF7D84A" w14:textId="77777777" w:rsidR="007147B1" w:rsidRPr="00CE427E" w:rsidRDefault="007147B1" w:rsidP="006128F6">
      <w:pPr>
        <w:tabs>
          <w:tab w:val="clear" w:pos="567"/>
        </w:tabs>
        <w:autoSpaceDE w:val="0"/>
        <w:autoSpaceDN w:val="0"/>
        <w:adjustRightInd w:val="0"/>
        <w:spacing w:line="240" w:lineRule="auto"/>
        <w:rPr>
          <w:rFonts w:eastAsia="Calibri"/>
          <w:szCs w:val="22"/>
        </w:rPr>
      </w:pPr>
      <w:r w:rsidRPr="00CE427E">
        <w:rPr>
          <w:rFonts w:eastAsia="Calibri"/>
          <w:szCs w:val="22"/>
        </w:rPr>
        <w:t>In the NSABP B</w:t>
      </w:r>
      <w:r w:rsidR="008B4720" w:rsidRPr="00CE427E">
        <w:rPr>
          <w:rFonts w:eastAsia="Calibri"/>
          <w:szCs w:val="22"/>
        </w:rPr>
        <w:noBreakHyphen/>
      </w:r>
      <w:r w:rsidRPr="00CE427E">
        <w:rPr>
          <w:rFonts w:eastAsia="Calibri"/>
          <w:szCs w:val="22"/>
        </w:rPr>
        <w:t xml:space="preserve">31 and NCCTG N9831 studies </w:t>
      </w:r>
      <w:r w:rsidR="004F3E6A" w:rsidRPr="00CE427E">
        <w:rPr>
          <w:rFonts w:eastAsia="Calibri"/>
          <w:szCs w:val="22"/>
        </w:rPr>
        <w:t>trastuzumab</w:t>
      </w:r>
      <w:r w:rsidRPr="00CE427E">
        <w:rPr>
          <w:rFonts w:eastAsia="Calibri"/>
          <w:szCs w:val="22"/>
        </w:rPr>
        <w:t xml:space="preserve"> was a</w:t>
      </w:r>
      <w:r w:rsidR="008B4720" w:rsidRPr="00CE427E">
        <w:rPr>
          <w:rFonts w:eastAsia="Calibri"/>
          <w:szCs w:val="22"/>
        </w:rPr>
        <w:t xml:space="preserve">dministered in combination with </w:t>
      </w:r>
      <w:r w:rsidRPr="00CE427E">
        <w:rPr>
          <w:rFonts w:eastAsia="Calibri"/>
          <w:szCs w:val="22"/>
        </w:rPr>
        <w:t>paclitaxel, following AC chemotherapy.</w:t>
      </w:r>
    </w:p>
    <w:p w14:paraId="1B314A27" w14:textId="77777777" w:rsidR="008B4720" w:rsidRPr="00CE427E" w:rsidRDefault="008B4720" w:rsidP="006128F6">
      <w:pPr>
        <w:tabs>
          <w:tab w:val="clear" w:pos="567"/>
        </w:tabs>
        <w:autoSpaceDE w:val="0"/>
        <w:autoSpaceDN w:val="0"/>
        <w:adjustRightInd w:val="0"/>
        <w:spacing w:line="240" w:lineRule="auto"/>
        <w:rPr>
          <w:rFonts w:eastAsia="Calibri"/>
          <w:szCs w:val="22"/>
        </w:rPr>
      </w:pPr>
    </w:p>
    <w:p w14:paraId="4CF687A5" w14:textId="77777777" w:rsidR="007147B1" w:rsidRPr="00CE427E" w:rsidRDefault="007147B1" w:rsidP="006128F6">
      <w:pPr>
        <w:tabs>
          <w:tab w:val="clear" w:pos="567"/>
        </w:tabs>
        <w:autoSpaceDE w:val="0"/>
        <w:autoSpaceDN w:val="0"/>
        <w:adjustRightInd w:val="0"/>
        <w:spacing w:line="240" w:lineRule="auto"/>
        <w:ind w:left="567" w:hanging="567"/>
        <w:rPr>
          <w:rFonts w:eastAsia="Calibri"/>
          <w:szCs w:val="22"/>
        </w:rPr>
      </w:pPr>
      <w:r w:rsidRPr="00CE427E">
        <w:rPr>
          <w:rFonts w:eastAsia="Calibri"/>
          <w:szCs w:val="22"/>
        </w:rPr>
        <w:lastRenderedPageBreak/>
        <w:t>Doxorubicin and cyclophosphamide were administered concurrently as follows:</w:t>
      </w:r>
    </w:p>
    <w:p w14:paraId="28BE97BD" w14:textId="77777777" w:rsidR="008B4720" w:rsidRPr="00CE427E" w:rsidRDefault="008B4720" w:rsidP="006128F6">
      <w:pPr>
        <w:tabs>
          <w:tab w:val="clear" w:pos="567"/>
        </w:tabs>
        <w:autoSpaceDE w:val="0"/>
        <w:autoSpaceDN w:val="0"/>
        <w:adjustRightInd w:val="0"/>
        <w:spacing w:line="240" w:lineRule="auto"/>
        <w:ind w:left="567" w:hanging="567"/>
        <w:rPr>
          <w:rFonts w:eastAsia="Calibri"/>
          <w:szCs w:val="22"/>
        </w:rPr>
      </w:pPr>
    </w:p>
    <w:p w14:paraId="32CFFC7C" w14:textId="77777777" w:rsidR="007147B1" w:rsidRPr="00CE427E" w:rsidRDefault="007147B1" w:rsidP="006128F6">
      <w:pPr>
        <w:pStyle w:val="ListParagraph"/>
        <w:numPr>
          <w:ilvl w:val="0"/>
          <w:numId w:val="13"/>
        </w:numPr>
        <w:tabs>
          <w:tab w:val="clear" w:pos="567"/>
        </w:tabs>
        <w:autoSpaceDE w:val="0"/>
        <w:autoSpaceDN w:val="0"/>
        <w:adjustRightInd w:val="0"/>
        <w:spacing w:line="240" w:lineRule="auto"/>
        <w:ind w:left="567" w:hanging="567"/>
        <w:rPr>
          <w:rFonts w:eastAsia="Calibri"/>
          <w:szCs w:val="22"/>
        </w:rPr>
      </w:pPr>
      <w:r w:rsidRPr="00CE427E">
        <w:rPr>
          <w:rFonts w:eastAsia="Calibri"/>
          <w:szCs w:val="22"/>
        </w:rPr>
        <w:t>intravenous push doxorubicin, at 60</w:t>
      </w:r>
      <w:r w:rsidR="008B4720" w:rsidRPr="00CE427E">
        <w:rPr>
          <w:rFonts w:eastAsia="Calibri"/>
          <w:szCs w:val="22"/>
        </w:rPr>
        <w:t> </w:t>
      </w:r>
      <w:r w:rsidR="00004652" w:rsidRPr="00CE427E">
        <w:rPr>
          <w:rFonts w:eastAsia="Calibri"/>
          <w:szCs w:val="22"/>
        </w:rPr>
        <w:t>mg/</w:t>
      </w:r>
      <w:r w:rsidRPr="00CE427E">
        <w:rPr>
          <w:rFonts w:eastAsia="Calibri"/>
          <w:szCs w:val="22"/>
        </w:rPr>
        <w:t>m</w:t>
      </w:r>
      <w:r w:rsidRPr="00CE427E">
        <w:rPr>
          <w:rFonts w:eastAsia="Calibri"/>
          <w:szCs w:val="22"/>
          <w:vertAlign w:val="superscript"/>
        </w:rPr>
        <w:t>2</w:t>
      </w:r>
      <w:r w:rsidRPr="00CE427E">
        <w:rPr>
          <w:rFonts w:eastAsia="Calibri"/>
          <w:szCs w:val="22"/>
        </w:rPr>
        <w:t>, given every 3</w:t>
      </w:r>
      <w:r w:rsidR="008B4720" w:rsidRPr="00CE427E">
        <w:rPr>
          <w:rFonts w:eastAsia="Calibri"/>
          <w:szCs w:val="22"/>
        </w:rPr>
        <w:t> </w:t>
      </w:r>
      <w:r w:rsidRPr="00CE427E">
        <w:rPr>
          <w:rFonts w:eastAsia="Calibri"/>
          <w:szCs w:val="22"/>
        </w:rPr>
        <w:t>weeks for 4</w:t>
      </w:r>
      <w:r w:rsidR="008B4720" w:rsidRPr="00CE427E">
        <w:rPr>
          <w:rFonts w:eastAsia="Calibri"/>
          <w:szCs w:val="22"/>
        </w:rPr>
        <w:t> </w:t>
      </w:r>
      <w:r w:rsidRPr="00CE427E">
        <w:rPr>
          <w:rFonts w:eastAsia="Calibri"/>
          <w:szCs w:val="22"/>
        </w:rPr>
        <w:t>cycles.</w:t>
      </w:r>
    </w:p>
    <w:p w14:paraId="7015FE2E" w14:textId="77777777" w:rsidR="00004652" w:rsidRPr="00CE427E" w:rsidRDefault="00004652" w:rsidP="006128F6">
      <w:pPr>
        <w:tabs>
          <w:tab w:val="clear" w:pos="567"/>
        </w:tabs>
        <w:autoSpaceDE w:val="0"/>
        <w:autoSpaceDN w:val="0"/>
        <w:adjustRightInd w:val="0"/>
        <w:spacing w:line="240" w:lineRule="auto"/>
        <w:rPr>
          <w:rFonts w:eastAsia="Calibri"/>
          <w:szCs w:val="22"/>
        </w:rPr>
      </w:pPr>
    </w:p>
    <w:p w14:paraId="16C52273" w14:textId="567969AE" w:rsidR="007147B1" w:rsidRPr="00CE427E" w:rsidRDefault="007147B1" w:rsidP="006128F6">
      <w:pPr>
        <w:pStyle w:val="ListParagraph"/>
        <w:numPr>
          <w:ilvl w:val="0"/>
          <w:numId w:val="13"/>
        </w:numPr>
        <w:tabs>
          <w:tab w:val="clear" w:pos="567"/>
        </w:tabs>
        <w:autoSpaceDE w:val="0"/>
        <w:autoSpaceDN w:val="0"/>
        <w:adjustRightInd w:val="0"/>
        <w:spacing w:line="240" w:lineRule="auto"/>
        <w:ind w:left="567" w:hanging="567"/>
        <w:rPr>
          <w:rFonts w:eastAsia="Calibri"/>
          <w:szCs w:val="22"/>
        </w:rPr>
      </w:pPr>
      <w:r w:rsidRPr="00CE427E">
        <w:rPr>
          <w:rFonts w:eastAsia="Calibri"/>
          <w:szCs w:val="22"/>
        </w:rPr>
        <w:t>intravenous cyclophosphamide, at 600</w:t>
      </w:r>
      <w:r w:rsidR="008B4720" w:rsidRPr="00CE427E">
        <w:rPr>
          <w:rFonts w:eastAsia="Calibri"/>
          <w:szCs w:val="22"/>
        </w:rPr>
        <w:t> </w:t>
      </w:r>
      <w:r w:rsidRPr="00CE427E">
        <w:rPr>
          <w:rFonts w:eastAsia="Calibri"/>
          <w:szCs w:val="22"/>
        </w:rPr>
        <w:t>mg/</w:t>
      </w:r>
      <w:r w:rsidR="00004652" w:rsidRPr="00CE427E">
        <w:rPr>
          <w:rFonts w:eastAsia="Calibri"/>
          <w:szCs w:val="22"/>
        </w:rPr>
        <w:t>m</w:t>
      </w:r>
      <w:r w:rsidR="00004652" w:rsidRPr="00CE427E">
        <w:rPr>
          <w:rFonts w:eastAsia="Calibri"/>
          <w:szCs w:val="22"/>
          <w:vertAlign w:val="superscript"/>
        </w:rPr>
        <w:t>2</w:t>
      </w:r>
      <w:r w:rsidRPr="00CE427E">
        <w:rPr>
          <w:rFonts w:eastAsia="Calibri"/>
          <w:szCs w:val="22"/>
        </w:rPr>
        <w:t xml:space="preserve"> over 30</w:t>
      </w:r>
      <w:r w:rsidR="008B4720" w:rsidRPr="00CE427E">
        <w:rPr>
          <w:rFonts w:eastAsia="Calibri"/>
          <w:szCs w:val="22"/>
        </w:rPr>
        <w:t> </w:t>
      </w:r>
      <w:r w:rsidRPr="00CE427E">
        <w:rPr>
          <w:rFonts w:eastAsia="Calibri"/>
          <w:szCs w:val="22"/>
        </w:rPr>
        <w:t>minutes, given every 3</w:t>
      </w:r>
      <w:r w:rsidR="008B4720" w:rsidRPr="00CE427E">
        <w:rPr>
          <w:rFonts w:eastAsia="Calibri"/>
          <w:szCs w:val="22"/>
        </w:rPr>
        <w:t> </w:t>
      </w:r>
      <w:r w:rsidRPr="00CE427E">
        <w:rPr>
          <w:rFonts w:eastAsia="Calibri"/>
          <w:szCs w:val="22"/>
        </w:rPr>
        <w:t>weeks for 4</w:t>
      </w:r>
      <w:r w:rsidR="008B4720" w:rsidRPr="00CE427E">
        <w:rPr>
          <w:rFonts w:eastAsia="Calibri"/>
          <w:szCs w:val="22"/>
        </w:rPr>
        <w:t> </w:t>
      </w:r>
      <w:r w:rsidRPr="00CE427E">
        <w:rPr>
          <w:rFonts w:eastAsia="Calibri"/>
          <w:szCs w:val="22"/>
        </w:rPr>
        <w:t>cycles.</w:t>
      </w:r>
    </w:p>
    <w:p w14:paraId="23C75372" w14:textId="77777777" w:rsidR="008B4720" w:rsidRPr="00CE427E" w:rsidRDefault="008B4720" w:rsidP="006128F6">
      <w:pPr>
        <w:tabs>
          <w:tab w:val="clear" w:pos="567"/>
        </w:tabs>
        <w:autoSpaceDE w:val="0"/>
        <w:autoSpaceDN w:val="0"/>
        <w:adjustRightInd w:val="0"/>
        <w:spacing w:line="240" w:lineRule="auto"/>
        <w:rPr>
          <w:rFonts w:eastAsia="Calibri"/>
          <w:szCs w:val="22"/>
        </w:rPr>
      </w:pPr>
    </w:p>
    <w:p w14:paraId="30D902B3" w14:textId="77777777" w:rsidR="007147B1" w:rsidRPr="00CE427E" w:rsidRDefault="007147B1" w:rsidP="006128F6">
      <w:pPr>
        <w:tabs>
          <w:tab w:val="clear" w:pos="567"/>
        </w:tabs>
        <w:autoSpaceDE w:val="0"/>
        <w:autoSpaceDN w:val="0"/>
        <w:adjustRightInd w:val="0"/>
        <w:spacing w:line="240" w:lineRule="auto"/>
        <w:ind w:left="567" w:hanging="567"/>
        <w:rPr>
          <w:rFonts w:eastAsia="Calibri"/>
          <w:szCs w:val="22"/>
        </w:rPr>
      </w:pPr>
      <w:r w:rsidRPr="00CE427E">
        <w:rPr>
          <w:rFonts w:eastAsia="Calibri"/>
          <w:szCs w:val="22"/>
        </w:rPr>
        <w:t xml:space="preserve">Paclitaxel, in combination with </w:t>
      </w:r>
      <w:r w:rsidR="004F3E6A" w:rsidRPr="00CE427E">
        <w:rPr>
          <w:rFonts w:eastAsia="Calibri"/>
          <w:szCs w:val="22"/>
        </w:rPr>
        <w:t>trastuzumab</w:t>
      </w:r>
      <w:r w:rsidRPr="00CE427E">
        <w:rPr>
          <w:rFonts w:eastAsia="Calibri"/>
          <w:szCs w:val="22"/>
        </w:rPr>
        <w:t>, was administered as follows:</w:t>
      </w:r>
    </w:p>
    <w:p w14:paraId="10494F0B" w14:textId="77777777" w:rsidR="00004652" w:rsidRPr="00CE427E" w:rsidRDefault="00004652" w:rsidP="006128F6">
      <w:pPr>
        <w:tabs>
          <w:tab w:val="clear" w:pos="567"/>
        </w:tabs>
        <w:autoSpaceDE w:val="0"/>
        <w:autoSpaceDN w:val="0"/>
        <w:adjustRightInd w:val="0"/>
        <w:spacing w:line="240" w:lineRule="auto"/>
        <w:ind w:left="567" w:hanging="567"/>
        <w:rPr>
          <w:rFonts w:eastAsia="Calibri"/>
          <w:szCs w:val="22"/>
        </w:rPr>
      </w:pPr>
    </w:p>
    <w:p w14:paraId="676A0D72" w14:textId="77777777" w:rsidR="007147B1" w:rsidRPr="00CE427E" w:rsidRDefault="008B4720" w:rsidP="006128F6">
      <w:pPr>
        <w:pStyle w:val="ListParagraph"/>
        <w:numPr>
          <w:ilvl w:val="0"/>
          <w:numId w:val="13"/>
        </w:numPr>
        <w:tabs>
          <w:tab w:val="clear" w:pos="567"/>
        </w:tabs>
        <w:autoSpaceDE w:val="0"/>
        <w:autoSpaceDN w:val="0"/>
        <w:adjustRightInd w:val="0"/>
        <w:spacing w:line="240" w:lineRule="auto"/>
        <w:ind w:left="567" w:hanging="567"/>
        <w:rPr>
          <w:rFonts w:eastAsia="Calibri"/>
          <w:szCs w:val="22"/>
        </w:rPr>
      </w:pPr>
      <w:r w:rsidRPr="00CE427E">
        <w:rPr>
          <w:rFonts w:eastAsia="Calibri"/>
          <w:szCs w:val="22"/>
        </w:rPr>
        <w:t>intravenous paclitaxel – 80 </w:t>
      </w:r>
      <w:r w:rsidR="007147B1" w:rsidRPr="00CE427E">
        <w:rPr>
          <w:rFonts w:eastAsia="Calibri"/>
          <w:szCs w:val="22"/>
        </w:rPr>
        <w:t>mg/m</w:t>
      </w:r>
      <w:r w:rsidR="007147B1" w:rsidRPr="00CE427E">
        <w:rPr>
          <w:rFonts w:eastAsia="Calibri"/>
          <w:szCs w:val="22"/>
          <w:vertAlign w:val="superscript"/>
        </w:rPr>
        <w:t>2</w:t>
      </w:r>
      <w:r w:rsidR="007147B1" w:rsidRPr="00CE427E">
        <w:rPr>
          <w:rFonts w:eastAsia="Calibri"/>
          <w:szCs w:val="22"/>
        </w:rPr>
        <w:t xml:space="preserve"> as a continuous intravenous infusion, given every week</w:t>
      </w:r>
      <w:r w:rsidRPr="00CE427E">
        <w:rPr>
          <w:rFonts w:eastAsia="Calibri"/>
          <w:szCs w:val="22"/>
        </w:rPr>
        <w:t xml:space="preserve"> </w:t>
      </w:r>
      <w:r w:rsidR="00223279" w:rsidRPr="00CE427E">
        <w:rPr>
          <w:rFonts w:eastAsia="Calibri"/>
          <w:szCs w:val="22"/>
        </w:rPr>
        <w:t>for 12 </w:t>
      </w:r>
      <w:r w:rsidR="007147B1" w:rsidRPr="00CE427E">
        <w:rPr>
          <w:rFonts w:eastAsia="Calibri"/>
          <w:szCs w:val="22"/>
        </w:rPr>
        <w:t>weeks.</w:t>
      </w:r>
    </w:p>
    <w:p w14:paraId="6A92ADF2" w14:textId="77777777" w:rsidR="007147B1" w:rsidRPr="00CE427E" w:rsidRDefault="007147B1" w:rsidP="006128F6">
      <w:pPr>
        <w:tabs>
          <w:tab w:val="clear" w:pos="567"/>
        </w:tabs>
        <w:autoSpaceDE w:val="0"/>
        <w:autoSpaceDN w:val="0"/>
        <w:adjustRightInd w:val="0"/>
        <w:spacing w:line="240" w:lineRule="auto"/>
        <w:ind w:left="567" w:hanging="567"/>
        <w:rPr>
          <w:rFonts w:eastAsia="Calibri"/>
          <w:szCs w:val="22"/>
        </w:rPr>
      </w:pPr>
      <w:r w:rsidRPr="00CE427E">
        <w:rPr>
          <w:rFonts w:eastAsia="Calibri"/>
          <w:szCs w:val="22"/>
        </w:rPr>
        <w:t>or</w:t>
      </w:r>
    </w:p>
    <w:p w14:paraId="18280D76" w14:textId="77777777" w:rsidR="007147B1" w:rsidRPr="00CE427E" w:rsidRDefault="007147B1" w:rsidP="006128F6">
      <w:pPr>
        <w:pStyle w:val="ListParagraph"/>
        <w:numPr>
          <w:ilvl w:val="0"/>
          <w:numId w:val="15"/>
        </w:numPr>
        <w:tabs>
          <w:tab w:val="clear" w:pos="567"/>
        </w:tabs>
        <w:autoSpaceDE w:val="0"/>
        <w:autoSpaceDN w:val="0"/>
        <w:adjustRightInd w:val="0"/>
        <w:spacing w:line="240" w:lineRule="auto"/>
        <w:ind w:left="567" w:hanging="567"/>
        <w:rPr>
          <w:rFonts w:eastAsia="Calibri"/>
          <w:szCs w:val="22"/>
        </w:rPr>
      </w:pPr>
      <w:r w:rsidRPr="00CE427E">
        <w:rPr>
          <w:rFonts w:eastAsia="Calibri"/>
          <w:szCs w:val="22"/>
        </w:rPr>
        <w:t xml:space="preserve">intravenous paclitaxel </w:t>
      </w:r>
      <w:r w:rsidR="008B4720" w:rsidRPr="00CE427E">
        <w:rPr>
          <w:rFonts w:eastAsia="Calibri"/>
          <w:szCs w:val="22"/>
        </w:rPr>
        <w:t>–</w:t>
      </w:r>
      <w:r w:rsidRPr="00CE427E">
        <w:rPr>
          <w:rFonts w:eastAsia="Calibri"/>
          <w:szCs w:val="22"/>
        </w:rPr>
        <w:t xml:space="preserve"> 175</w:t>
      </w:r>
      <w:r w:rsidR="008B4720" w:rsidRPr="00CE427E">
        <w:rPr>
          <w:rFonts w:eastAsia="Calibri"/>
          <w:szCs w:val="22"/>
        </w:rPr>
        <w:t> </w:t>
      </w:r>
      <w:r w:rsidRPr="00CE427E">
        <w:rPr>
          <w:rFonts w:eastAsia="Calibri"/>
          <w:szCs w:val="22"/>
        </w:rPr>
        <w:t>mg/m</w:t>
      </w:r>
      <w:r w:rsidRPr="00CE427E">
        <w:rPr>
          <w:rFonts w:eastAsia="Calibri"/>
          <w:szCs w:val="22"/>
          <w:vertAlign w:val="superscript"/>
        </w:rPr>
        <w:t>2</w:t>
      </w:r>
      <w:r w:rsidRPr="00CE427E">
        <w:rPr>
          <w:rFonts w:eastAsia="Calibri"/>
          <w:szCs w:val="22"/>
        </w:rPr>
        <w:t xml:space="preserve"> as a continuous intravenous infusion, given every 3</w:t>
      </w:r>
      <w:r w:rsidR="008B4720" w:rsidRPr="00CE427E">
        <w:rPr>
          <w:rFonts w:eastAsia="Calibri"/>
          <w:szCs w:val="22"/>
        </w:rPr>
        <w:t> </w:t>
      </w:r>
      <w:r w:rsidRPr="00CE427E">
        <w:rPr>
          <w:rFonts w:eastAsia="Calibri"/>
          <w:szCs w:val="22"/>
        </w:rPr>
        <w:t>weeks for 4</w:t>
      </w:r>
      <w:r w:rsidR="008B4720" w:rsidRPr="00CE427E">
        <w:rPr>
          <w:rFonts w:eastAsia="Calibri"/>
          <w:szCs w:val="22"/>
        </w:rPr>
        <w:t> </w:t>
      </w:r>
      <w:r w:rsidRPr="00CE427E">
        <w:rPr>
          <w:rFonts w:eastAsia="Calibri"/>
          <w:szCs w:val="22"/>
        </w:rPr>
        <w:t>cycles (day</w:t>
      </w:r>
      <w:r w:rsidR="008B4720" w:rsidRPr="00CE427E">
        <w:rPr>
          <w:rFonts w:eastAsia="Calibri"/>
          <w:szCs w:val="22"/>
        </w:rPr>
        <w:t> </w:t>
      </w:r>
      <w:r w:rsidRPr="00CE427E">
        <w:rPr>
          <w:rFonts w:eastAsia="Calibri"/>
          <w:szCs w:val="22"/>
        </w:rPr>
        <w:t>1 of each cycle).</w:t>
      </w:r>
    </w:p>
    <w:p w14:paraId="53991499" w14:textId="77777777" w:rsidR="008B4720" w:rsidRPr="00CE427E" w:rsidRDefault="008B4720" w:rsidP="006128F6">
      <w:pPr>
        <w:tabs>
          <w:tab w:val="clear" w:pos="567"/>
        </w:tabs>
        <w:autoSpaceDE w:val="0"/>
        <w:autoSpaceDN w:val="0"/>
        <w:adjustRightInd w:val="0"/>
        <w:spacing w:line="240" w:lineRule="auto"/>
        <w:rPr>
          <w:rFonts w:eastAsia="Calibri"/>
          <w:szCs w:val="22"/>
        </w:rPr>
      </w:pPr>
    </w:p>
    <w:p w14:paraId="32B81C48" w14:textId="1B3EFBFD" w:rsidR="007147B1" w:rsidRPr="00CE427E" w:rsidRDefault="007147B1" w:rsidP="006128F6">
      <w:pPr>
        <w:tabs>
          <w:tab w:val="clear" w:pos="567"/>
        </w:tabs>
        <w:autoSpaceDE w:val="0"/>
        <w:autoSpaceDN w:val="0"/>
        <w:adjustRightInd w:val="0"/>
        <w:spacing w:line="240" w:lineRule="auto"/>
        <w:rPr>
          <w:rFonts w:eastAsia="Calibri"/>
          <w:szCs w:val="22"/>
        </w:rPr>
      </w:pPr>
      <w:r w:rsidRPr="00CE427E">
        <w:rPr>
          <w:rFonts w:eastAsia="Calibri"/>
          <w:szCs w:val="22"/>
        </w:rPr>
        <w:t>The efficacy results from the joint analysis of the NSABP B</w:t>
      </w:r>
      <w:r w:rsidR="008B4720" w:rsidRPr="00CE427E">
        <w:rPr>
          <w:rFonts w:eastAsia="Calibri"/>
          <w:szCs w:val="22"/>
        </w:rPr>
        <w:noBreakHyphen/>
      </w:r>
      <w:r w:rsidRPr="00CE427E">
        <w:rPr>
          <w:rFonts w:eastAsia="Calibri"/>
          <w:szCs w:val="22"/>
        </w:rPr>
        <w:t>31 and N</w:t>
      </w:r>
      <w:r w:rsidR="008B4720" w:rsidRPr="00CE427E">
        <w:rPr>
          <w:rFonts w:eastAsia="Calibri"/>
          <w:szCs w:val="22"/>
        </w:rPr>
        <w:t xml:space="preserve">CCTG </w:t>
      </w:r>
      <w:r w:rsidR="006C726C" w:rsidRPr="008C65EB">
        <w:rPr>
          <w:rFonts w:eastAsia="Calibri"/>
          <w:szCs w:val="22"/>
        </w:rPr>
        <w:t>N9831</w:t>
      </w:r>
      <w:r w:rsidR="008B4720" w:rsidRPr="00CE427E">
        <w:rPr>
          <w:rFonts w:eastAsia="Calibri"/>
          <w:szCs w:val="22"/>
        </w:rPr>
        <w:t xml:space="preserve"> </w:t>
      </w:r>
      <w:r w:rsidR="004A5EE5">
        <w:rPr>
          <w:rFonts w:eastAsia="Calibri"/>
          <w:szCs w:val="22"/>
        </w:rPr>
        <w:t>studie</w:t>
      </w:r>
      <w:r w:rsidR="008B4720" w:rsidRPr="00CE427E">
        <w:rPr>
          <w:rFonts w:eastAsia="Calibri"/>
          <w:szCs w:val="22"/>
        </w:rPr>
        <w:t xml:space="preserve">s at the time of </w:t>
      </w:r>
      <w:r w:rsidRPr="00CE427E">
        <w:rPr>
          <w:rFonts w:eastAsia="Calibri"/>
          <w:szCs w:val="22"/>
        </w:rPr>
        <w:t>the definitive analysis of DFS</w:t>
      </w:r>
      <w:r w:rsidR="00004652" w:rsidRPr="00CE427E">
        <w:rPr>
          <w:rFonts w:eastAsia="Calibri"/>
          <w:szCs w:val="22"/>
          <w:vertAlign w:val="superscript"/>
        </w:rPr>
        <w:t>*</w:t>
      </w:r>
      <w:r w:rsidRPr="00CE427E">
        <w:rPr>
          <w:rFonts w:eastAsia="Calibri"/>
          <w:sz w:val="14"/>
          <w:szCs w:val="14"/>
        </w:rPr>
        <w:t xml:space="preserve"> </w:t>
      </w:r>
      <w:r w:rsidRPr="00CE427E">
        <w:rPr>
          <w:rFonts w:eastAsia="Calibri"/>
          <w:szCs w:val="22"/>
        </w:rPr>
        <w:t>are summari</w:t>
      </w:r>
      <w:r w:rsidR="008B4720" w:rsidRPr="00CE427E">
        <w:rPr>
          <w:rFonts w:eastAsia="Calibri"/>
          <w:szCs w:val="22"/>
        </w:rPr>
        <w:t>s</w:t>
      </w:r>
      <w:r w:rsidRPr="00CE427E">
        <w:rPr>
          <w:rFonts w:eastAsia="Calibri"/>
          <w:szCs w:val="22"/>
        </w:rPr>
        <w:t>ed in Table</w:t>
      </w:r>
      <w:r w:rsidR="00223279" w:rsidRPr="00CE427E">
        <w:rPr>
          <w:rFonts w:eastAsia="Calibri"/>
          <w:szCs w:val="22"/>
        </w:rPr>
        <w:t> </w:t>
      </w:r>
      <w:r w:rsidRPr="00CE427E">
        <w:rPr>
          <w:rFonts w:eastAsia="Calibri"/>
          <w:szCs w:val="22"/>
        </w:rPr>
        <w:t>7. The media</w:t>
      </w:r>
      <w:r w:rsidR="008B4720" w:rsidRPr="00CE427E">
        <w:rPr>
          <w:rFonts w:eastAsia="Calibri"/>
          <w:szCs w:val="22"/>
        </w:rPr>
        <w:t>n duration of follow</w:t>
      </w:r>
      <w:r w:rsidR="005A5F46" w:rsidRPr="00CE427E">
        <w:rPr>
          <w:rFonts w:eastAsia="Calibri"/>
          <w:szCs w:val="22"/>
        </w:rPr>
        <w:t>-</w:t>
      </w:r>
      <w:r w:rsidR="008B4720" w:rsidRPr="00CE427E">
        <w:rPr>
          <w:rFonts w:eastAsia="Calibri"/>
          <w:szCs w:val="22"/>
        </w:rPr>
        <w:t>up was 1.8 </w:t>
      </w:r>
      <w:r w:rsidRPr="00CE427E">
        <w:rPr>
          <w:rFonts w:eastAsia="Calibri"/>
          <w:szCs w:val="22"/>
        </w:rPr>
        <w:t>years for the patients in the AC</w:t>
      </w:r>
      <w:r w:rsidRPr="006128F6">
        <w:rPr>
          <w:rFonts w:eastAsia="TimesNewRomanPSMT"/>
          <w:szCs w:val="22"/>
        </w:rPr>
        <w:t>→</w:t>
      </w:r>
      <w:r w:rsidR="008B4720" w:rsidRPr="00CE427E">
        <w:rPr>
          <w:rFonts w:eastAsia="Calibri"/>
          <w:szCs w:val="22"/>
        </w:rPr>
        <w:t>P arm and 2.0 </w:t>
      </w:r>
      <w:r w:rsidRPr="00CE427E">
        <w:rPr>
          <w:rFonts w:eastAsia="Calibri"/>
          <w:szCs w:val="22"/>
        </w:rPr>
        <w:t>years for patients in the AC</w:t>
      </w:r>
      <w:r w:rsidRPr="006128F6">
        <w:rPr>
          <w:rFonts w:eastAsia="TimesNewRomanPSMT"/>
          <w:szCs w:val="22"/>
        </w:rPr>
        <w:t>→</w:t>
      </w:r>
      <w:r w:rsidRPr="00CE427E">
        <w:rPr>
          <w:rFonts w:eastAsia="Calibri"/>
          <w:szCs w:val="22"/>
        </w:rPr>
        <w:t>PH arm.</w:t>
      </w:r>
    </w:p>
    <w:p w14:paraId="5C21C2CE" w14:textId="77777777" w:rsidR="008B4720" w:rsidRPr="00CE427E" w:rsidRDefault="008B4720" w:rsidP="006128F6">
      <w:pPr>
        <w:tabs>
          <w:tab w:val="clear" w:pos="567"/>
        </w:tabs>
        <w:autoSpaceDE w:val="0"/>
        <w:autoSpaceDN w:val="0"/>
        <w:adjustRightInd w:val="0"/>
        <w:spacing w:line="240" w:lineRule="auto"/>
        <w:rPr>
          <w:rFonts w:eastAsia="Calibri"/>
          <w:szCs w:val="22"/>
        </w:rPr>
      </w:pPr>
    </w:p>
    <w:p w14:paraId="163B5213" w14:textId="5A55C950" w:rsidR="00DE3936" w:rsidRPr="00CE427E" w:rsidRDefault="007147B1" w:rsidP="006128F6">
      <w:pPr>
        <w:tabs>
          <w:tab w:val="clear" w:pos="567"/>
        </w:tabs>
        <w:autoSpaceDE w:val="0"/>
        <w:autoSpaceDN w:val="0"/>
        <w:adjustRightInd w:val="0"/>
        <w:spacing w:line="240" w:lineRule="auto"/>
        <w:rPr>
          <w:rFonts w:eastAsia="Calibri"/>
          <w:b/>
          <w:szCs w:val="22"/>
        </w:rPr>
      </w:pPr>
      <w:r w:rsidRPr="00CE427E">
        <w:rPr>
          <w:rFonts w:eastAsia="Calibri"/>
          <w:b/>
          <w:szCs w:val="22"/>
        </w:rPr>
        <w:t xml:space="preserve">Table 7 Summary of </w:t>
      </w:r>
      <w:r w:rsidR="008B4720" w:rsidRPr="00CE427E">
        <w:rPr>
          <w:rFonts w:eastAsia="Calibri"/>
          <w:b/>
          <w:szCs w:val="22"/>
        </w:rPr>
        <w:t>e</w:t>
      </w:r>
      <w:r w:rsidRPr="00CE427E">
        <w:rPr>
          <w:rFonts w:eastAsia="Calibri"/>
          <w:b/>
          <w:szCs w:val="22"/>
        </w:rPr>
        <w:t>fficacy results from the joint analysis of</w:t>
      </w:r>
      <w:r w:rsidR="008B4720" w:rsidRPr="00CE427E">
        <w:rPr>
          <w:rFonts w:eastAsia="Calibri"/>
          <w:b/>
          <w:szCs w:val="22"/>
        </w:rPr>
        <w:t xml:space="preserve"> the NSABP B-31 and NCCTG N9831</w:t>
      </w:r>
      <w:r w:rsidR="003761D4" w:rsidRPr="00CE427E">
        <w:rPr>
          <w:rFonts w:eastAsia="Calibri"/>
          <w:b/>
          <w:szCs w:val="22"/>
        </w:rPr>
        <w:t xml:space="preserve"> </w:t>
      </w:r>
      <w:r w:rsidR="004A5EE5">
        <w:rPr>
          <w:rFonts w:eastAsia="Calibri"/>
          <w:b/>
          <w:szCs w:val="22"/>
        </w:rPr>
        <w:t>studie</w:t>
      </w:r>
      <w:r w:rsidRPr="00CE427E">
        <w:rPr>
          <w:rFonts w:eastAsia="Calibri"/>
          <w:b/>
          <w:szCs w:val="22"/>
        </w:rPr>
        <w:t>s at the time of the definitive DFS analysis*</w:t>
      </w:r>
    </w:p>
    <w:p w14:paraId="7CC85254" w14:textId="77777777" w:rsidR="00DE3936" w:rsidRPr="006128F6" w:rsidRDefault="00DE3936" w:rsidP="006128F6">
      <w:pPr>
        <w:spacing w:line="240" w:lineRule="auto"/>
        <w:ind w:left="561" w:hanging="561"/>
        <w:outlineLvl w:val="0"/>
        <w:rPr>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117"/>
        <w:gridCol w:w="1709"/>
        <w:gridCol w:w="2376"/>
      </w:tblGrid>
      <w:tr w:rsidR="00F95C5D" w:rsidRPr="006128F6" w14:paraId="1090054B" w14:textId="77777777" w:rsidTr="007519ED">
        <w:trPr>
          <w:trHeight w:val="300"/>
        </w:trPr>
        <w:tc>
          <w:tcPr>
            <w:tcW w:w="1661" w:type="pct"/>
            <w:shd w:val="clear" w:color="auto" w:fill="auto"/>
            <w:noWrap/>
          </w:tcPr>
          <w:p w14:paraId="2C0B5FE5" w14:textId="77777777" w:rsidR="00F95C5D" w:rsidRPr="006128F6" w:rsidRDefault="00F95C5D" w:rsidP="006128F6">
            <w:pPr>
              <w:tabs>
                <w:tab w:val="clear" w:pos="567"/>
              </w:tabs>
              <w:spacing w:line="240" w:lineRule="auto"/>
              <w:jc w:val="center"/>
              <w:rPr>
                <w:b/>
                <w:color w:val="000000"/>
                <w:szCs w:val="22"/>
                <w:lang w:eastAsia="en-GB"/>
              </w:rPr>
            </w:pPr>
            <w:r w:rsidRPr="006128F6">
              <w:rPr>
                <w:b/>
              </w:rPr>
              <w:t>Parameter</w:t>
            </w:r>
          </w:p>
        </w:tc>
        <w:tc>
          <w:tcPr>
            <w:tcW w:w="1140" w:type="pct"/>
            <w:shd w:val="clear" w:color="auto" w:fill="auto"/>
            <w:noWrap/>
          </w:tcPr>
          <w:p w14:paraId="4B6AA5F0" w14:textId="77777777" w:rsidR="00F95C5D" w:rsidRPr="00CE427E" w:rsidRDefault="00F95C5D" w:rsidP="006128F6">
            <w:pPr>
              <w:tabs>
                <w:tab w:val="clear" w:pos="567"/>
              </w:tabs>
              <w:autoSpaceDE w:val="0"/>
              <w:autoSpaceDN w:val="0"/>
              <w:adjustRightInd w:val="0"/>
              <w:spacing w:line="240" w:lineRule="auto"/>
              <w:jc w:val="center"/>
              <w:rPr>
                <w:rFonts w:eastAsia="Calibri"/>
                <w:b/>
                <w:szCs w:val="22"/>
              </w:rPr>
            </w:pPr>
            <w:r w:rsidRPr="00CE427E">
              <w:rPr>
                <w:rFonts w:eastAsia="Calibri"/>
                <w:b/>
                <w:szCs w:val="22"/>
              </w:rPr>
              <w:t>AC</w:t>
            </w:r>
            <w:r w:rsidRPr="006128F6">
              <w:rPr>
                <w:rFonts w:eastAsia="TimesNewRomanPSMT"/>
                <w:b/>
                <w:szCs w:val="22"/>
              </w:rPr>
              <w:t>→</w:t>
            </w:r>
            <w:r w:rsidRPr="00CE427E">
              <w:rPr>
                <w:rFonts w:eastAsia="Calibri"/>
                <w:b/>
                <w:szCs w:val="22"/>
              </w:rPr>
              <w:t>P</w:t>
            </w:r>
          </w:p>
          <w:p w14:paraId="556CC88B" w14:textId="2818E8F1" w:rsidR="00F95C5D" w:rsidRPr="006128F6" w:rsidRDefault="00F95C5D" w:rsidP="006128F6">
            <w:pPr>
              <w:tabs>
                <w:tab w:val="clear" w:pos="567"/>
              </w:tabs>
              <w:spacing w:line="240" w:lineRule="auto"/>
              <w:jc w:val="center"/>
              <w:rPr>
                <w:b/>
                <w:color w:val="000000"/>
                <w:szCs w:val="22"/>
                <w:lang w:eastAsia="en-GB"/>
              </w:rPr>
            </w:pPr>
            <w:r w:rsidRPr="00CE427E">
              <w:rPr>
                <w:rFonts w:eastAsia="Calibri"/>
                <w:b/>
                <w:szCs w:val="22"/>
              </w:rPr>
              <w:t>(n</w:t>
            </w:r>
            <w:r w:rsidR="002B7BA5" w:rsidRPr="00CE427E">
              <w:rPr>
                <w:rFonts w:eastAsia="Calibri"/>
                <w:b/>
                <w:szCs w:val="22"/>
              </w:rPr>
              <w:t> </w:t>
            </w:r>
            <w:r w:rsidRPr="00CE427E">
              <w:rPr>
                <w:rFonts w:eastAsia="Calibri"/>
                <w:b/>
                <w:szCs w:val="22"/>
              </w:rPr>
              <w:t>=</w:t>
            </w:r>
            <w:r w:rsidR="002B7BA5" w:rsidRPr="00CE427E">
              <w:rPr>
                <w:rFonts w:eastAsia="Calibri"/>
                <w:b/>
                <w:szCs w:val="22"/>
              </w:rPr>
              <w:t> </w:t>
            </w:r>
            <w:r w:rsidRPr="00CE427E">
              <w:rPr>
                <w:rFonts w:eastAsia="Calibri"/>
                <w:b/>
                <w:szCs w:val="22"/>
              </w:rPr>
              <w:t>1</w:t>
            </w:r>
            <w:r w:rsidR="000B44AA">
              <w:rPr>
                <w:rFonts w:eastAsia="Calibri"/>
                <w:b/>
                <w:szCs w:val="22"/>
              </w:rPr>
              <w:t> </w:t>
            </w:r>
            <w:r w:rsidRPr="00CE427E">
              <w:rPr>
                <w:rFonts w:eastAsia="Calibri"/>
                <w:b/>
                <w:szCs w:val="22"/>
              </w:rPr>
              <w:t>679)</w:t>
            </w:r>
          </w:p>
        </w:tc>
        <w:tc>
          <w:tcPr>
            <w:tcW w:w="920" w:type="pct"/>
            <w:shd w:val="clear" w:color="auto" w:fill="auto"/>
            <w:noWrap/>
          </w:tcPr>
          <w:p w14:paraId="49566CF7" w14:textId="77777777" w:rsidR="00F95C5D" w:rsidRPr="00CE427E" w:rsidRDefault="00F95C5D" w:rsidP="006128F6">
            <w:pPr>
              <w:tabs>
                <w:tab w:val="clear" w:pos="567"/>
              </w:tabs>
              <w:autoSpaceDE w:val="0"/>
              <w:autoSpaceDN w:val="0"/>
              <w:adjustRightInd w:val="0"/>
              <w:spacing w:line="240" w:lineRule="auto"/>
              <w:jc w:val="center"/>
              <w:rPr>
                <w:rFonts w:eastAsia="MS Mincho"/>
                <w:b/>
                <w:szCs w:val="22"/>
                <w:lang w:eastAsia="en-GB"/>
              </w:rPr>
            </w:pPr>
            <w:r w:rsidRPr="00CE427E">
              <w:rPr>
                <w:rFonts w:eastAsia="MS Mincho"/>
                <w:b/>
                <w:szCs w:val="22"/>
                <w:lang w:eastAsia="en-GB"/>
              </w:rPr>
              <w:t>AC</w:t>
            </w:r>
            <w:r w:rsidRPr="006128F6">
              <w:rPr>
                <w:rFonts w:eastAsia="TimesNewRomanPSMT"/>
                <w:b/>
                <w:szCs w:val="22"/>
                <w:lang w:eastAsia="en-GB"/>
              </w:rPr>
              <w:t>→</w:t>
            </w:r>
            <w:r w:rsidRPr="00CE427E">
              <w:rPr>
                <w:rFonts w:eastAsia="MS Mincho"/>
                <w:b/>
                <w:szCs w:val="22"/>
                <w:lang w:eastAsia="en-GB"/>
              </w:rPr>
              <w:t>PH</w:t>
            </w:r>
          </w:p>
          <w:p w14:paraId="139F0BDC" w14:textId="5EAD2816" w:rsidR="00F95C5D" w:rsidRPr="006128F6" w:rsidRDefault="00F95C5D" w:rsidP="006128F6">
            <w:pPr>
              <w:tabs>
                <w:tab w:val="clear" w:pos="567"/>
              </w:tabs>
              <w:spacing w:line="240" w:lineRule="auto"/>
              <w:jc w:val="center"/>
              <w:rPr>
                <w:b/>
                <w:color w:val="000000"/>
                <w:szCs w:val="22"/>
                <w:lang w:eastAsia="en-GB"/>
              </w:rPr>
            </w:pPr>
            <w:r w:rsidRPr="00CE427E">
              <w:rPr>
                <w:rFonts w:eastAsia="MS Mincho"/>
                <w:b/>
                <w:szCs w:val="22"/>
                <w:lang w:eastAsia="en-GB"/>
              </w:rPr>
              <w:t>(n</w:t>
            </w:r>
            <w:r w:rsidR="002B7BA5" w:rsidRPr="00CE427E">
              <w:rPr>
                <w:rFonts w:eastAsia="MS Mincho"/>
                <w:b/>
                <w:szCs w:val="22"/>
                <w:lang w:eastAsia="en-GB"/>
              </w:rPr>
              <w:t> </w:t>
            </w:r>
            <w:r w:rsidRPr="00CE427E">
              <w:rPr>
                <w:rFonts w:eastAsia="MS Mincho"/>
                <w:b/>
                <w:szCs w:val="22"/>
                <w:lang w:eastAsia="en-GB"/>
              </w:rPr>
              <w:t>=</w:t>
            </w:r>
            <w:r w:rsidR="002B7BA5" w:rsidRPr="00CE427E">
              <w:rPr>
                <w:rFonts w:eastAsia="MS Mincho"/>
                <w:b/>
                <w:szCs w:val="22"/>
                <w:lang w:eastAsia="en-GB"/>
              </w:rPr>
              <w:t> </w:t>
            </w:r>
            <w:r w:rsidRPr="00CE427E">
              <w:rPr>
                <w:rFonts w:eastAsia="MS Mincho"/>
                <w:b/>
                <w:szCs w:val="22"/>
                <w:lang w:eastAsia="en-GB"/>
              </w:rPr>
              <w:t>1</w:t>
            </w:r>
            <w:r w:rsidR="000B44AA">
              <w:rPr>
                <w:rFonts w:eastAsia="MS Mincho"/>
                <w:b/>
                <w:szCs w:val="22"/>
                <w:lang w:eastAsia="en-GB"/>
              </w:rPr>
              <w:t> </w:t>
            </w:r>
            <w:r w:rsidRPr="00CE427E">
              <w:rPr>
                <w:rFonts w:eastAsia="MS Mincho"/>
                <w:b/>
                <w:szCs w:val="22"/>
                <w:lang w:eastAsia="en-GB"/>
              </w:rPr>
              <w:t>672)</w:t>
            </w:r>
          </w:p>
        </w:tc>
        <w:tc>
          <w:tcPr>
            <w:tcW w:w="1279" w:type="pct"/>
            <w:shd w:val="clear" w:color="auto" w:fill="auto"/>
            <w:noWrap/>
          </w:tcPr>
          <w:p w14:paraId="5796BF60" w14:textId="33E7B939" w:rsidR="00F95C5D" w:rsidRPr="00B607F6" w:rsidRDefault="00F95C5D" w:rsidP="006128F6">
            <w:pPr>
              <w:tabs>
                <w:tab w:val="clear" w:pos="567"/>
              </w:tabs>
              <w:autoSpaceDE w:val="0"/>
              <w:autoSpaceDN w:val="0"/>
              <w:adjustRightInd w:val="0"/>
              <w:spacing w:line="240" w:lineRule="auto"/>
              <w:jc w:val="center"/>
              <w:rPr>
                <w:rFonts w:eastAsia="MS Mincho"/>
                <w:b/>
                <w:szCs w:val="22"/>
                <w:lang w:eastAsia="en-GB"/>
              </w:rPr>
            </w:pPr>
            <w:r w:rsidRPr="00B607F6">
              <w:rPr>
                <w:rFonts w:eastAsia="MS Mincho"/>
                <w:b/>
                <w:szCs w:val="22"/>
                <w:lang w:eastAsia="en-GB"/>
              </w:rPr>
              <w:t xml:space="preserve">Hazard </w:t>
            </w:r>
            <w:r w:rsidR="003B0E50">
              <w:rPr>
                <w:rFonts w:eastAsia="MS Mincho"/>
                <w:b/>
                <w:szCs w:val="22"/>
                <w:lang w:eastAsia="en-GB"/>
              </w:rPr>
              <w:t>r</w:t>
            </w:r>
            <w:r w:rsidRPr="00B607F6">
              <w:rPr>
                <w:rFonts w:eastAsia="MS Mincho"/>
                <w:b/>
                <w:szCs w:val="22"/>
                <w:lang w:eastAsia="en-GB"/>
              </w:rPr>
              <w:t>atio vs</w:t>
            </w:r>
          </w:p>
          <w:p w14:paraId="4D38B884" w14:textId="77777777" w:rsidR="00F95C5D" w:rsidRPr="00B607F6" w:rsidRDefault="00F95C5D" w:rsidP="006128F6">
            <w:pPr>
              <w:tabs>
                <w:tab w:val="clear" w:pos="567"/>
              </w:tabs>
              <w:autoSpaceDE w:val="0"/>
              <w:autoSpaceDN w:val="0"/>
              <w:adjustRightInd w:val="0"/>
              <w:spacing w:line="240" w:lineRule="auto"/>
              <w:jc w:val="center"/>
              <w:rPr>
                <w:rFonts w:eastAsia="MS Mincho"/>
                <w:b/>
                <w:szCs w:val="22"/>
                <w:lang w:eastAsia="en-GB"/>
              </w:rPr>
            </w:pPr>
            <w:r w:rsidRPr="00B607F6">
              <w:rPr>
                <w:rFonts w:eastAsia="MS Mincho"/>
                <w:b/>
                <w:szCs w:val="22"/>
                <w:lang w:eastAsia="en-GB"/>
              </w:rPr>
              <w:t>AC</w:t>
            </w:r>
            <w:r w:rsidRPr="00B607F6">
              <w:rPr>
                <w:rFonts w:eastAsia="TimesNewRomanPSMT"/>
                <w:b/>
                <w:szCs w:val="22"/>
                <w:lang w:eastAsia="en-GB"/>
              </w:rPr>
              <w:t>→</w:t>
            </w:r>
            <w:r w:rsidRPr="00B607F6">
              <w:rPr>
                <w:rFonts w:eastAsia="MS Mincho"/>
                <w:b/>
                <w:szCs w:val="22"/>
                <w:lang w:eastAsia="en-GB"/>
              </w:rPr>
              <w:t>P</w:t>
            </w:r>
          </w:p>
          <w:p w14:paraId="140B7659" w14:textId="4BCEE6DD" w:rsidR="00F95C5D" w:rsidRPr="00B607F6" w:rsidRDefault="00F95C5D" w:rsidP="006128F6">
            <w:pPr>
              <w:tabs>
                <w:tab w:val="clear" w:pos="567"/>
              </w:tabs>
              <w:autoSpaceDE w:val="0"/>
              <w:autoSpaceDN w:val="0"/>
              <w:adjustRightInd w:val="0"/>
              <w:spacing w:line="240" w:lineRule="auto"/>
              <w:jc w:val="center"/>
              <w:rPr>
                <w:rFonts w:eastAsia="MS Mincho"/>
                <w:b/>
                <w:szCs w:val="22"/>
                <w:lang w:eastAsia="en-GB"/>
              </w:rPr>
            </w:pPr>
            <w:r w:rsidRPr="00B607F6">
              <w:rPr>
                <w:rFonts w:eastAsia="MS Mincho"/>
                <w:b/>
                <w:szCs w:val="22"/>
                <w:lang w:eastAsia="en-GB"/>
              </w:rPr>
              <w:t>(95</w:t>
            </w:r>
            <w:r w:rsidR="000840CF" w:rsidRPr="00B607F6">
              <w:rPr>
                <w:rFonts w:eastAsia="MS Mincho"/>
                <w:b/>
                <w:szCs w:val="22"/>
                <w:lang w:eastAsia="en-GB"/>
              </w:rPr>
              <w:t>%</w:t>
            </w:r>
            <w:r w:rsidRPr="00B607F6">
              <w:rPr>
                <w:rFonts w:eastAsia="MS Mincho"/>
                <w:b/>
                <w:szCs w:val="22"/>
                <w:lang w:eastAsia="en-GB"/>
              </w:rPr>
              <w:t xml:space="preserve"> CI)</w:t>
            </w:r>
          </w:p>
          <w:p w14:paraId="16C7F85F" w14:textId="77777777" w:rsidR="00F95C5D" w:rsidRPr="006128F6" w:rsidRDefault="00F95C5D" w:rsidP="006128F6">
            <w:pPr>
              <w:tabs>
                <w:tab w:val="clear" w:pos="567"/>
              </w:tabs>
              <w:spacing w:line="240" w:lineRule="auto"/>
              <w:jc w:val="center"/>
              <w:rPr>
                <w:b/>
                <w:color w:val="000000"/>
                <w:szCs w:val="22"/>
                <w:lang w:eastAsia="en-GB"/>
              </w:rPr>
            </w:pPr>
            <w:r w:rsidRPr="00CE427E">
              <w:rPr>
                <w:rFonts w:eastAsia="MS Mincho"/>
                <w:b/>
                <w:szCs w:val="22"/>
                <w:lang w:eastAsia="en-GB"/>
              </w:rPr>
              <w:t>p-value</w:t>
            </w:r>
          </w:p>
        </w:tc>
      </w:tr>
      <w:tr w:rsidR="00F95C5D" w:rsidRPr="006128F6" w14:paraId="27722375" w14:textId="77777777" w:rsidTr="007519ED">
        <w:trPr>
          <w:trHeight w:val="300"/>
        </w:trPr>
        <w:tc>
          <w:tcPr>
            <w:tcW w:w="1661" w:type="pct"/>
            <w:shd w:val="clear" w:color="auto" w:fill="auto"/>
            <w:noWrap/>
          </w:tcPr>
          <w:p w14:paraId="0027CB3E" w14:textId="77777777" w:rsidR="00F95C5D" w:rsidRPr="00CE427E" w:rsidRDefault="00F95C5D" w:rsidP="006128F6">
            <w:pPr>
              <w:tabs>
                <w:tab w:val="clear" w:pos="567"/>
              </w:tabs>
              <w:autoSpaceDE w:val="0"/>
              <w:autoSpaceDN w:val="0"/>
              <w:adjustRightInd w:val="0"/>
              <w:spacing w:line="240" w:lineRule="auto"/>
              <w:rPr>
                <w:rFonts w:eastAsia="MS Mincho"/>
                <w:szCs w:val="22"/>
                <w:lang w:eastAsia="en-GB"/>
              </w:rPr>
            </w:pPr>
            <w:r w:rsidRPr="00CE427E">
              <w:rPr>
                <w:rFonts w:eastAsia="MS Mincho"/>
                <w:szCs w:val="22"/>
                <w:lang w:eastAsia="en-GB"/>
              </w:rPr>
              <w:t>Disease-free survival</w:t>
            </w:r>
          </w:p>
          <w:p w14:paraId="11ACB775" w14:textId="77777777" w:rsidR="00F95C5D" w:rsidRPr="00CE427E" w:rsidRDefault="00F95C5D" w:rsidP="006128F6">
            <w:pPr>
              <w:tabs>
                <w:tab w:val="clear" w:pos="567"/>
              </w:tabs>
              <w:spacing w:line="240" w:lineRule="auto"/>
              <w:rPr>
                <w:rFonts w:eastAsia="MS Mincho"/>
                <w:szCs w:val="22"/>
                <w:lang w:eastAsia="en-GB"/>
              </w:rPr>
            </w:pPr>
            <w:r w:rsidRPr="00CE427E">
              <w:rPr>
                <w:rFonts w:eastAsia="MS Mincho"/>
                <w:szCs w:val="22"/>
                <w:lang w:eastAsia="en-GB"/>
              </w:rPr>
              <w:t>No. patients with event (%)</w:t>
            </w:r>
          </w:p>
          <w:p w14:paraId="2A06C43F" w14:textId="77777777" w:rsidR="00F95C5D" w:rsidRPr="00CE427E" w:rsidRDefault="00F95C5D" w:rsidP="006128F6">
            <w:pPr>
              <w:tabs>
                <w:tab w:val="clear" w:pos="567"/>
              </w:tabs>
              <w:spacing w:line="240" w:lineRule="auto"/>
              <w:rPr>
                <w:rFonts w:eastAsia="MS Mincho"/>
                <w:szCs w:val="22"/>
                <w:lang w:eastAsia="en-GB"/>
              </w:rPr>
            </w:pPr>
          </w:p>
          <w:p w14:paraId="60A36455" w14:textId="77777777" w:rsidR="00F95C5D" w:rsidRPr="00CE427E" w:rsidRDefault="00F95C5D" w:rsidP="006128F6">
            <w:pPr>
              <w:tabs>
                <w:tab w:val="clear" w:pos="567"/>
              </w:tabs>
              <w:autoSpaceDE w:val="0"/>
              <w:autoSpaceDN w:val="0"/>
              <w:adjustRightInd w:val="0"/>
              <w:spacing w:line="240" w:lineRule="auto"/>
              <w:rPr>
                <w:rFonts w:eastAsia="MS Mincho"/>
                <w:szCs w:val="22"/>
                <w:lang w:eastAsia="en-GB"/>
              </w:rPr>
            </w:pPr>
            <w:r w:rsidRPr="00CE427E">
              <w:rPr>
                <w:rFonts w:eastAsia="MS Mincho"/>
                <w:szCs w:val="22"/>
                <w:lang w:eastAsia="en-GB"/>
              </w:rPr>
              <w:t xml:space="preserve">Distant </w:t>
            </w:r>
            <w:r w:rsidR="00E57B11" w:rsidRPr="00CE427E">
              <w:rPr>
                <w:rFonts w:eastAsia="MS Mincho"/>
                <w:szCs w:val="22"/>
                <w:lang w:eastAsia="en-GB"/>
              </w:rPr>
              <w:t>r</w:t>
            </w:r>
            <w:r w:rsidRPr="00CE427E">
              <w:rPr>
                <w:rFonts w:eastAsia="MS Mincho"/>
                <w:szCs w:val="22"/>
                <w:lang w:eastAsia="en-GB"/>
              </w:rPr>
              <w:t>ecurrence</w:t>
            </w:r>
          </w:p>
          <w:p w14:paraId="774CECD0" w14:textId="77777777" w:rsidR="00F95C5D" w:rsidRPr="00CE427E" w:rsidRDefault="00F95C5D" w:rsidP="006128F6">
            <w:pPr>
              <w:tabs>
                <w:tab w:val="clear" w:pos="567"/>
              </w:tabs>
              <w:spacing w:line="240" w:lineRule="auto"/>
              <w:rPr>
                <w:rFonts w:eastAsia="MS Mincho"/>
                <w:szCs w:val="22"/>
                <w:lang w:eastAsia="en-GB"/>
              </w:rPr>
            </w:pPr>
            <w:r w:rsidRPr="00CE427E">
              <w:rPr>
                <w:rFonts w:eastAsia="MS Mincho"/>
                <w:szCs w:val="22"/>
                <w:lang w:eastAsia="en-GB"/>
              </w:rPr>
              <w:t>No. patients with event</w:t>
            </w:r>
          </w:p>
          <w:p w14:paraId="5D25E2E5" w14:textId="77777777" w:rsidR="00F95C5D" w:rsidRPr="00CE427E" w:rsidRDefault="00F95C5D" w:rsidP="006128F6">
            <w:pPr>
              <w:tabs>
                <w:tab w:val="clear" w:pos="567"/>
              </w:tabs>
              <w:spacing w:line="240" w:lineRule="auto"/>
              <w:rPr>
                <w:rFonts w:eastAsia="MS Mincho"/>
                <w:szCs w:val="22"/>
                <w:lang w:eastAsia="en-GB"/>
              </w:rPr>
            </w:pPr>
          </w:p>
          <w:p w14:paraId="117E446F" w14:textId="2AC474EF" w:rsidR="00F95C5D" w:rsidRPr="00CE427E" w:rsidRDefault="000840CF" w:rsidP="006128F6">
            <w:pPr>
              <w:tabs>
                <w:tab w:val="clear" w:pos="567"/>
              </w:tabs>
              <w:autoSpaceDE w:val="0"/>
              <w:autoSpaceDN w:val="0"/>
              <w:adjustRightInd w:val="0"/>
              <w:spacing w:line="240" w:lineRule="auto"/>
              <w:rPr>
                <w:rFonts w:eastAsia="MS Mincho"/>
                <w:szCs w:val="22"/>
                <w:lang w:eastAsia="en-GB"/>
              </w:rPr>
            </w:pPr>
            <w:r w:rsidRPr="00CE427E">
              <w:rPr>
                <w:rFonts w:eastAsia="MS Mincho"/>
                <w:szCs w:val="22"/>
                <w:lang w:eastAsia="en-GB"/>
              </w:rPr>
              <w:t>Death (OS event)</w:t>
            </w:r>
          </w:p>
          <w:p w14:paraId="3414169D" w14:textId="77777777" w:rsidR="00F95C5D" w:rsidRPr="00CE427E" w:rsidRDefault="00F95C5D" w:rsidP="006128F6">
            <w:pPr>
              <w:tabs>
                <w:tab w:val="clear" w:pos="567"/>
              </w:tabs>
              <w:spacing w:line="240" w:lineRule="auto"/>
              <w:rPr>
                <w:rFonts w:eastAsia="MS Mincho"/>
                <w:szCs w:val="22"/>
                <w:lang w:eastAsia="en-GB"/>
              </w:rPr>
            </w:pPr>
            <w:r w:rsidRPr="00CE427E">
              <w:rPr>
                <w:rFonts w:eastAsia="MS Mincho"/>
                <w:szCs w:val="22"/>
                <w:lang w:eastAsia="en-GB"/>
              </w:rPr>
              <w:t>No. patients with event</w:t>
            </w:r>
          </w:p>
        </w:tc>
        <w:tc>
          <w:tcPr>
            <w:tcW w:w="1140" w:type="pct"/>
            <w:shd w:val="clear" w:color="auto" w:fill="auto"/>
            <w:noWrap/>
          </w:tcPr>
          <w:p w14:paraId="01B45909" w14:textId="77777777" w:rsidR="00F95C5D" w:rsidRPr="006128F6" w:rsidRDefault="00F95C5D" w:rsidP="006128F6">
            <w:pPr>
              <w:tabs>
                <w:tab w:val="clear" w:pos="567"/>
              </w:tabs>
              <w:spacing w:line="240" w:lineRule="auto"/>
              <w:jc w:val="center"/>
            </w:pPr>
          </w:p>
          <w:p w14:paraId="7EC85321" w14:textId="77777777" w:rsidR="00F95C5D" w:rsidRPr="006128F6" w:rsidRDefault="00F95C5D" w:rsidP="006128F6">
            <w:pPr>
              <w:tabs>
                <w:tab w:val="clear" w:pos="567"/>
              </w:tabs>
              <w:spacing w:line="240" w:lineRule="auto"/>
              <w:jc w:val="center"/>
            </w:pPr>
            <w:r w:rsidRPr="006128F6">
              <w:t>261 (15.5)</w:t>
            </w:r>
          </w:p>
          <w:p w14:paraId="662A2747" w14:textId="77777777" w:rsidR="00F95C5D" w:rsidRPr="006128F6" w:rsidRDefault="00F95C5D" w:rsidP="006128F6">
            <w:pPr>
              <w:tabs>
                <w:tab w:val="clear" w:pos="567"/>
              </w:tabs>
              <w:spacing w:line="240" w:lineRule="auto"/>
              <w:jc w:val="center"/>
            </w:pPr>
          </w:p>
          <w:p w14:paraId="7A31BD29" w14:textId="77777777" w:rsidR="00F95C5D" w:rsidRPr="006128F6" w:rsidRDefault="00F95C5D" w:rsidP="006128F6">
            <w:pPr>
              <w:tabs>
                <w:tab w:val="clear" w:pos="567"/>
              </w:tabs>
              <w:spacing w:line="240" w:lineRule="auto"/>
              <w:jc w:val="center"/>
            </w:pPr>
          </w:p>
          <w:p w14:paraId="6132BD16" w14:textId="77777777" w:rsidR="00F95C5D" w:rsidRPr="006128F6" w:rsidRDefault="00F95C5D" w:rsidP="006128F6">
            <w:pPr>
              <w:tabs>
                <w:tab w:val="clear" w:pos="567"/>
              </w:tabs>
              <w:spacing w:line="240" w:lineRule="auto"/>
              <w:jc w:val="center"/>
            </w:pPr>
            <w:r w:rsidRPr="006128F6">
              <w:t>193 (11.5)</w:t>
            </w:r>
          </w:p>
          <w:p w14:paraId="728CE41C" w14:textId="77777777" w:rsidR="00F95C5D" w:rsidRPr="006128F6" w:rsidRDefault="00F95C5D" w:rsidP="006128F6">
            <w:pPr>
              <w:tabs>
                <w:tab w:val="clear" w:pos="567"/>
              </w:tabs>
              <w:spacing w:line="240" w:lineRule="auto"/>
              <w:jc w:val="center"/>
            </w:pPr>
          </w:p>
          <w:p w14:paraId="2217EE53" w14:textId="77777777" w:rsidR="00F95C5D" w:rsidRPr="006128F6" w:rsidRDefault="00F95C5D" w:rsidP="006128F6">
            <w:pPr>
              <w:tabs>
                <w:tab w:val="clear" w:pos="567"/>
              </w:tabs>
              <w:spacing w:line="240" w:lineRule="auto"/>
              <w:jc w:val="center"/>
            </w:pPr>
          </w:p>
          <w:p w14:paraId="0B1EAC37" w14:textId="77777777" w:rsidR="00F95C5D" w:rsidRPr="006128F6" w:rsidRDefault="00F95C5D" w:rsidP="006128F6">
            <w:pPr>
              <w:tabs>
                <w:tab w:val="clear" w:pos="567"/>
              </w:tabs>
              <w:spacing w:line="240" w:lineRule="auto"/>
              <w:jc w:val="center"/>
              <w:rPr>
                <w:color w:val="000000"/>
                <w:szCs w:val="22"/>
                <w:lang w:eastAsia="en-GB"/>
              </w:rPr>
            </w:pPr>
            <w:r w:rsidRPr="006128F6">
              <w:t>92 (5.5)</w:t>
            </w:r>
          </w:p>
        </w:tc>
        <w:tc>
          <w:tcPr>
            <w:tcW w:w="920" w:type="pct"/>
            <w:shd w:val="clear" w:color="auto" w:fill="auto"/>
            <w:noWrap/>
          </w:tcPr>
          <w:p w14:paraId="32C16717" w14:textId="77777777" w:rsidR="00F95C5D" w:rsidRPr="006128F6" w:rsidRDefault="00F95C5D" w:rsidP="006128F6">
            <w:pPr>
              <w:tabs>
                <w:tab w:val="clear" w:pos="567"/>
              </w:tabs>
              <w:spacing w:line="240" w:lineRule="auto"/>
              <w:jc w:val="center"/>
            </w:pPr>
          </w:p>
          <w:p w14:paraId="409C9E2B" w14:textId="77777777" w:rsidR="00F95C5D" w:rsidRPr="006128F6" w:rsidRDefault="00F95C5D" w:rsidP="006128F6">
            <w:pPr>
              <w:tabs>
                <w:tab w:val="clear" w:pos="567"/>
              </w:tabs>
              <w:spacing w:line="240" w:lineRule="auto"/>
              <w:jc w:val="center"/>
            </w:pPr>
            <w:r w:rsidRPr="006128F6">
              <w:t>133 (8.0)</w:t>
            </w:r>
          </w:p>
          <w:p w14:paraId="536CB608" w14:textId="77777777" w:rsidR="00F95C5D" w:rsidRPr="006128F6" w:rsidRDefault="00F95C5D" w:rsidP="006128F6">
            <w:pPr>
              <w:tabs>
                <w:tab w:val="clear" w:pos="567"/>
              </w:tabs>
              <w:spacing w:line="240" w:lineRule="auto"/>
              <w:jc w:val="center"/>
            </w:pPr>
          </w:p>
          <w:p w14:paraId="0C9025A7" w14:textId="77777777" w:rsidR="00F95C5D" w:rsidRPr="006128F6" w:rsidRDefault="00F95C5D" w:rsidP="006128F6">
            <w:pPr>
              <w:tabs>
                <w:tab w:val="clear" w:pos="567"/>
              </w:tabs>
              <w:spacing w:line="240" w:lineRule="auto"/>
              <w:jc w:val="center"/>
            </w:pPr>
          </w:p>
          <w:p w14:paraId="11013BDB" w14:textId="77777777" w:rsidR="00F95C5D" w:rsidRPr="006128F6" w:rsidRDefault="00F95C5D" w:rsidP="006128F6">
            <w:pPr>
              <w:tabs>
                <w:tab w:val="clear" w:pos="567"/>
              </w:tabs>
              <w:spacing w:line="240" w:lineRule="auto"/>
              <w:jc w:val="center"/>
            </w:pPr>
            <w:r w:rsidRPr="006128F6">
              <w:t>96 (5.7)</w:t>
            </w:r>
          </w:p>
          <w:p w14:paraId="7761FF45" w14:textId="77777777" w:rsidR="00F95C5D" w:rsidRPr="006128F6" w:rsidRDefault="00F95C5D" w:rsidP="006128F6">
            <w:pPr>
              <w:tabs>
                <w:tab w:val="clear" w:pos="567"/>
              </w:tabs>
              <w:spacing w:line="240" w:lineRule="auto"/>
              <w:jc w:val="center"/>
            </w:pPr>
          </w:p>
          <w:p w14:paraId="058AFB8C" w14:textId="77777777" w:rsidR="00F95C5D" w:rsidRPr="006128F6" w:rsidRDefault="00F95C5D" w:rsidP="006128F6">
            <w:pPr>
              <w:tabs>
                <w:tab w:val="clear" w:pos="567"/>
              </w:tabs>
              <w:spacing w:line="240" w:lineRule="auto"/>
              <w:jc w:val="center"/>
            </w:pPr>
          </w:p>
          <w:p w14:paraId="3FE0D88A" w14:textId="77777777" w:rsidR="00F95C5D" w:rsidRPr="006128F6" w:rsidRDefault="00F95C5D" w:rsidP="006128F6">
            <w:pPr>
              <w:tabs>
                <w:tab w:val="clear" w:pos="567"/>
              </w:tabs>
              <w:spacing w:line="240" w:lineRule="auto"/>
              <w:jc w:val="center"/>
              <w:rPr>
                <w:color w:val="000000"/>
                <w:szCs w:val="22"/>
                <w:lang w:eastAsia="en-GB"/>
              </w:rPr>
            </w:pPr>
            <w:r w:rsidRPr="006128F6">
              <w:t>62 (3.7)</w:t>
            </w:r>
          </w:p>
        </w:tc>
        <w:tc>
          <w:tcPr>
            <w:tcW w:w="1279" w:type="pct"/>
            <w:shd w:val="clear" w:color="auto" w:fill="auto"/>
            <w:noWrap/>
          </w:tcPr>
          <w:p w14:paraId="2FE00631" w14:textId="77777777" w:rsidR="00F95C5D" w:rsidRPr="00CE427E" w:rsidRDefault="00F95C5D" w:rsidP="006128F6">
            <w:pPr>
              <w:tabs>
                <w:tab w:val="clear" w:pos="567"/>
              </w:tabs>
              <w:autoSpaceDE w:val="0"/>
              <w:autoSpaceDN w:val="0"/>
              <w:adjustRightInd w:val="0"/>
              <w:spacing w:line="240" w:lineRule="auto"/>
              <w:jc w:val="center"/>
              <w:rPr>
                <w:rFonts w:eastAsia="MS Mincho"/>
                <w:szCs w:val="22"/>
                <w:lang w:eastAsia="en-GB"/>
              </w:rPr>
            </w:pPr>
          </w:p>
          <w:p w14:paraId="405A5A65" w14:textId="77777777" w:rsidR="00F95C5D" w:rsidRPr="00CE427E" w:rsidRDefault="00F95C5D" w:rsidP="006128F6">
            <w:pPr>
              <w:tabs>
                <w:tab w:val="clear" w:pos="567"/>
              </w:tabs>
              <w:autoSpaceDE w:val="0"/>
              <w:autoSpaceDN w:val="0"/>
              <w:adjustRightInd w:val="0"/>
              <w:spacing w:line="240" w:lineRule="auto"/>
              <w:jc w:val="center"/>
              <w:rPr>
                <w:rFonts w:eastAsia="MS Mincho"/>
                <w:szCs w:val="22"/>
                <w:lang w:eastAsia="en-GB"/>
              </w:rPr>
            </w:pPr>
            <w:r w:rsidRPr="00CE427E">
              <w:rPr>
                <w:rFonts w:eastAsia="MS Mincho"/>
                <w:szCs w:val="22"/>
                <w:lang w:eastAsia="en-GB"/>
              </w:rPr>
              <w:t>0.48 (0.39, 0.59)</w:t>
            </w:r>
          </w:p>
          <w:p w14:paraId="654AB14D" w14:textId="77777777" w:rsidR="00F95C5D" w:rsidRPr="00CE427E" w:rsidRDefault="00223279" w:rsidP="006128F6">
            <w:pPr>
              <w:autoSpaceDE w:val="0"/>
              <w:autoSpaceDN w:val="0"/>
              <w:adjustRightInd w:val="0"/>
              <w:spacing w:line="240" w:lineRule="auto"/>
              <w:jc w:val="center"/>
              <w:rPr>
                <w:rFonts w:eastAsia="MS Mincho"/>
                <w:szCs w:val="22"/>
                <w:lang w:eastAsia="en-GB"/>
              </w:rPr>
            </w:pPr>
            <w:r w:rsidRPr="00CE427E">
              <w:rPr>
                <w:rFonts w:eastAsia="MS Mincho"/>
                <w:szCs w:val="22"/>
                <w:lang w:eastAsia="en-GB"/>
              </w:rPr>
              <w:t>p </w:t>
            </w:r>
            <w:r w:rsidR="00F95C5D" w:rsidRPr="00CE427E">
              <w:rPr>
                <w:rFonts w:eastAsia="MS Mincho"/>
                <w:szCs w:val="22"/>
                <w:lang w:eastAsia="en-GB"/>
              </w:rPr>
              <w:t>&lt;</w:t>
            </w:r>
            <w:r w:rsidRPr="00CE427E">
              <w:rPr>
                <w:rFonts w:eastAsia="MS Mincho"/>
                <w:szCs w:val="22"/>
                <w:lang w:eastAsia="en-GB"/>
              </w:rPr>
              <w:t> </w:t>
            </w:r>
            <w:r w:rsidR="00F95C5D" w:rsidRPr="00CE427E">
              <w:rPr>
                <w:rFonts w:eastAsia="MS Mincho"/>
                <w:szCs w:val="22"/>
                <w:lang w:eastAsia="en-GB"/>
              </w:rPr>
              <w:t>0.000</w:t>
            </w:r>
            <w:r w:rsidR="00004652" w:rsidRPr="00CE427E">
              <w:rPr>
                <w:rFonts w:eastAsia="MS Mincho"/>
                <w:szCs w:val="22"/>
                <w:lang w:eastAsia="en-GB"/>
              </w:rPr>
              <w:t>1</w:t>
            </w:r>
          </w:p>
          <w:p w14:paraId="7D80C44A" w14:textId="77777777" w:rsidR="00F95C5D" w:rsidRPr="00CE427E" w:rsidRDefault="00F95C5D" w:rsidP="006128F6">
            <w:pPr>
              <w:autoSpaceDE w:val="0"/>
              <w:autoSpaceDN w:val="0"/>
              <w:adjustRightInd w:val="0"/>
              <w:spacing w:line="240" w:lineRule="auto"/>
              <w:jc w:val="center"/>
              <w:rPr>
                <w:rFonts w:eastAsia="MS Mincho"/>
                <w:szCs w:val="22"/>
                <w:lang w:eastAsia="en-GB"/>
              </w:rPr>
            </w:pPr>
          </w:p>
          <w:p w14:paraId="4FF74B9C" w14:textId="6B2398EE" w:rsidR="00F95C5D" w:rsidRPr="00CE427E" w:rsidRDefault="00F95C5D" w:rsidP="006128F6">
            <w:pPr>
              <w:autoSpaceDE w:val="0"/>
              <w:autoSpaceDN w:val="0"/>
              <w:adjustRightInd w:val="0"/>
              <w:spacing w:line="240" w:lineRule="auto"/>
              <w:jc w:val="center"/>
              <w:rPr>
                <w:rFonts w:eastAsia="MS Mincho"/>
                <w:szCs w:val="22"/>
                <w:lang w:eastAsia="en-GB"/>
              </w:rPr>
            </w:pPr>
            <w:r w:rsidRPr="00CE427E">
              <w:rPr>
                <w:rFonts w:eastAsia="MS Mincho"/>
                <w:szCs w:val="22"/>
                <w:lang w:eastAsia="en-GB"/>
              </w:rPr>
              <w:t>0.47 (0.37, 0.60)</w:t>
            </w:r>
          </w:p>
          <w:p w14:paraId="5D1C7BE8" w14:textId="77777777" w:rsidR="00F95C5D" w:rsidRPr="00CE427E" w:rsidRDefault="00223279" w:rsidP="006128F6">
            <w:pPr>
              <w:autoSpaceDE w:val="0"/>
              <w:autoSpaceDN w:val="0"/>
              <w:adjustRightInd w:val="0"/>
              <w:spacing w:line="240" w:lineRule="auto"/>
              <w:jc w:val="center"/>
              <w:rPr>
                <w:rFonts w:eastAsia="MS Mincho"/>
                <w:szCs w:val="22"/>
                <w:lang w:eastAsia="en-GB"/>
              </w:rPr>
            </w:pPr>
            <w:r w:rsidRPr="00CE427E">
              <w:rPr>
                <w:rFonts w:eastAsia="MS Mincho"/>
                <w:szCs w:val="22"/>
                <w:lang w:eastAsia="en-GB"/>
              </w:rPr>
              <w:t>p </w:t>
            </w:r>
            <w:r w:rsidR="00F95C5D" w:rsidRPr="00CE427E">
              <w:rPr>
                <w:rFonts w:eastAsia="MS Mincho"/>
                <w:szCs w:val="22"/>
                <w:lang w:eastAsia="en-GB"/>
              </w:rPr>
              <w:t>&lt;</w:t>
            </w:r>
            <w:r w:rsidRPr="00CE427E">
              <w:rPr>
                <w:rFonts w:eastAsia="MS Mincho"/>
                <w:szCs w:val="22"/>
                <w:lang w:eastAsia="en-GB"/>
              </w:rPr>
              <w:t> </w:t>
            </w:r>
            <w:r w:rsidR="00F95C5D" w:rsidRPr="00CE427E">
              <w:rPr>
                <w:rFonts w:eastAsia="MS Mincho"/>
                <w:szCs w:val="22"/>
                <w:lang w:eastAsia="en-GB"/>
              </w:rPr>
              <w:t>0.0001</w:t>
            </w:r>
          </w:p>
          <w:p w14:paraId="28CA6420" w14:textId="77777777" w:rsidR="00F95C5D" w:rsidRPr="00CE427E" w:rsidRDefault="00F95C5D" w:rsidP="006128F6">
            <w:pPr>
              <w:autoSpaceDE w:val="0"/>
              <w:autoSpaceDN w:val="0"/>
              <w:adjustRightInd w:val="0"/>
              <w:spacing w:line="240" w:lineRule="auto"/>
              <w:jc w:val="center"/>
              <w:rPr>
                <w:rFonts w:eastAsia="MS Mincho"/>
                <w:szCs w:val="22"/>
                <w:lang w:eastAsia="en-GB"/>
              </w:rPr>
            </w:pPr>
          </w:p>
          <w:p w14:paraId="776FE83A" w14:textId="77777777" w:rsidR="00F95C5D" w:rsidRPr="00CE427E" w:rsidRDefault="00F95C5D" w:rsidP="006128F6">
            <w:pPr>
              <w:autoSpaceDE w:val="0"/>
              <w:autoSpaceDN w:val="0"/>
              <w:adjustRightInd w:val="0"/>
              <w:spacing w:line="240" w:lineRule="auto"/>
              <w:jc w:val="center"/>
              <w:rPr>
                <w:rFonts w:eastAsia="MS Mincho"/>
                <w:szCs w:val="22"/>
                <w:lang w:eastAsia="en-GB"/>
              </w:rPr>
            </w:pPr>
            <w:r w:rsidRPr="00CE427E">
              <w:rPr>
                <w:rFonts w:eastAsia="MS Mincho"/>
                <w:szCs w:val="22"/>
                <w:lang w:eastAsia="en-GB"/>
              </w:rPr>
              <w:t>0.67 (0.48, 0.92)</w:t>
            </w:r>
          </w:p>
          <w:p w14:paraId="1B2CF9A6" w14:textId="77777777" w:rsidR="00F95C5D" w:rsidRPr="006128F6" w:rsidRDefault="00223279" w:rsidP="006128F6">
            <w:pPr>
              <w:tabs>
                <w:tab w:val="clear" w:pos="567"/>
              </w:tabs>
              <w:spacing w:line="240" w:lineRule="auto"/>
              <w:jc w:val="center"/>
              <w:rPr>
                <w:color w:val="000000"/>
                <w:szCs w:val="22"/>
                <w:lang w:eastAsia="en-GB"/>
              </w:rPr>
            </w:pPr>
            <w:r w:rsidRPr="00CE427E">
              <w:rPr>
                <w:rFonts w:eastAsia="MS Mincho"/>
                <w:szCs w:val="22"/>
                <w:lang w:eastAsia="en-GB"/>
              </w:rPr>
              <w:t>p </w:t>
            </w:r>
            <w:r w:rsidR="00F95C5D" w:rsidRPr="00CE427E">
              <w:rPr>
                <w:rFonts w:eastAsia="MS Mincho"/>
                <w:szCs w:val="22"/>
                <w:lang w:eastAsia="en-GB"/>
              </w:rPr>
              <w:t>=</w:t>
            </w:r>
            <w:r w:rsidRPr="00CE427E">
              <w:rPr>
                <w:rFonts w:eastAsia="MS Mincho"/>
                <w:szCs w:val="22"/>
                <w:lang w:eastAsia="en-GB"/>
              </w:rPr>
              <w:t> </w:t>
            </w:r>
            <w:r w:rsidR="00F95C5D" w:rsidRPr="00CE427E">
              <w:rPr>
                <w:rFonts w:eastAsia="MS Mincho"/>
                <w:szCs w:val="22"/>
                <w:lang w:eastAsia="en-GB"/>
              </w:rPr>
              <w:t>0.014</w:t>
            </w:r>
            <w:r w:rsidR="00F95C5D" w:rsidRPr="00CE427E">
              <w:rPr>
                <w:rFonts w:eastAsia="MS Mincho"/>
                <w:szCs w:val="22"/>
                <w:vertAlign w:val="superscript"/>
                <w:lang w:eastAsia="en-GB"/>
              </w:rPr>
              <w:t>**</w:t>
            </w:r>
          </w:p>
        </w:tc>
      </w:tr>
    </w:tbl>
    <w:p w14:paraId="60C70449" w14:textId="77777777" w:rsidR="008B4720" w:rsidRPr="00CE427E" w:rsidRDefault="008B4720" w:rsidP="006128F6">
      <w:pPr>
        <w:tabs>
          <w:tab w:val="clear" w:pos="567"/>
        </w:tabs>
        <w:autoSpaceDE w:val="0"/>
        <w:autoSpaceDN w:val="0"/>
        <w:adjustRightInd w:val="0"/>
        <w:spacing w:line="240" w:lineRule="auto"/>
        <w:rPr>
          <w:rFonts w:eastAsia="Calibri"/>
          <w:sz w:val="20"/>
        </w:rPr>
      </w:pPr>
      <w:r w:rsidRPr="00CE427E">
        <w:rPr>
          <w:rFonts w:eastAsia="Calibri"/>
          <w:sz w:val="20"/>
        </w:rPr>
        <w:t>A: doxorubicin; C: cyclophosphamide; P: paclitaxel; H: trastuzumab</w:t>
      </w:r>
    </w:p>
    <w:p w14:paraId="4DFC5AFB" w14:textId="4DC6CC7D" w:rsidR="008B4720" w:rsidRPr="00CE427E" w:rsidRDefault="008B4720" w:rsidP="006128F6">
      <w:pPr>
        <w:tabs>
          <w:tab w:val="clear" w:pos="567"/>
        </w:tabs>
        <w:autoSpaceDE w:val="0"/>
        <w:autoSpaceDN w:val="0"/>
        <w:adjustRightInd w:val="0"/>
        <w:spacing w:line="240" w:lineRule="auto"/>
        <w:rPr>
          <w:rFonts w:eastAsia="Calibri"/>
          <w:sz w:val="20"/>
        </w:rPr>
      </w:pPr>
      <w:r w:rsidRPr="00CE427E">
        <w:rPr>
          <w:rFonts w:eastAsia="Calibri"/>
          <w:sz w:val="20"/>
        </w:rPr>
        <w:t>* At median durat</w:t>
      </w:r>
      <w:r w:rsidR="00625BA9" w:rsidRPr="00CE427E">
        <w:rPr>
          <w:rFonts w:eastAsia="Calibri"/>
          <w:sz w:val="20"/>
        </w:rPr>
        <w:t>ion of follow</w:t>
      </w:r>
      <w:r w:rsidR="002F7418" w:rsidRPr="00CE427E">
        <w:rPr>
          <w:rFonts w:eastAsia="Calibri"/>
          <w:sz w:val="20"/>
        </w:rPr>
        <w:t>-</w:t>
      </w:r>
      <w:r w:rsidR="00625BA9" w:rsidRPr="00CE427E">
        <w:rPr>
          <w:rFonts w:eastAsia="Calibri"/>
          <w:sz w:val="20"/>
        </w:rPr>
        <w:t>up of 1.8 </w:t>
      </w:r>
      <w:r w:rsidRPr="00CE427E">
        <w:rPr>
          <w:rFonts w:eastAsia="Calibri"/>
          <w:sz w:val="20"/>
        </w:rPr>
        <w:t>years for the patients in the AC</w:t>
      </w:r>
      <w:r w:rsidRPr="006128F6">
        <w:rPr>
          <w:rFonts w:eastAsia="TimesNewRomanPSMT"/>
          <w:sz w:val="20"/>
        </w:rPr>
        <w:t>→</w:t>
      </w:r>
      <w:r w:rsidRPr="00CE427E">
        <w:rPr>
          <w:rFonts w:eastAsia="Calibri"/>
          <w:sz w:val="20"/>
        </w:rPr>
        <w:t>P arm and 2.0</w:t>
      </w:r>
      <w:r w:rsidR="00625BA9" w:rsidRPr="00CE427E">
        <w:rPr>
          <w:rFonts w:eastAsia="Calibri"/>
          <w:sz w:val="20"/>
        </w:rPr>
        <w:t xml:space="preserve"> years for </w:t>
      </w:r>
      <w:r w:rsidRPr="00CE427E">
        <w:rPr>
          <w:rFonts w:eastAsia="Calibri"/>
          <w:sz w:val="20"/>
        </w:rPr>
        <w:t>patients in the AC</w:t>
      </w:r>
      <w:r w:rsidRPr="006128F6">
        <w:rPr>
          <w:rFonts w:eastAsia="TimesNewRomanPSMT"/>
          <w:sz w:val="20"/>
        </w:rPr>
        <w:t>→</w:t>
      </w:r>
      <w:r w:rsidRPr="00CE427E">
        <w:rPr>
          <w:rFonts w:eastAsia="Calibri"/>
          <w:sz w:val="20"/>
        </w:rPr>
        <w:t>PH arm</w:t>
      </w:r>
    </w:p>
    <w:p w14:paraId="653B2FB0" w14:textId="77777777" w:rsidR="008B4720" w:rsidRPr="00CE427E" w:rsidRDefault="008B4720" w:rsidP="006128F6">
      <w:pPr>
        <w:tabs>
          <w:tab w:val="clear" w:pos="567"/>
        </w:tabs>
        <w:autoSpaceDE w:val="0"/>
        <w:autoSpaceDN w:val="0"/>
        <w:adjustRightInd w:val="0"/>
        <w:spacing w:line="240" w:lineRule="auto"/>
        <w:rPr>
          <w:rFonts w:eastAsia="Calibri"/>
          <w:sz w:val="20"/>
        </w:rPr>
      </w:pPr>
      <w:r w:rsidRPr="00CE427E">
        <w:rPr>
          <w:rFonts w:eastAsia="Calibri"/>
          <w:sz w:val="20"/>
        </w:rPr>
        <w:t>** p val</w:t>
      </w:r>
      <w:r w:rsidR="00625BA9" w:rsidRPr="00CE427E">
        <w:rPr>
          <w:rFonts w:eastAsia="Calibri"/>
          <w:sz w:val="20"/>
        </w:rPr>
        <w:t>ue for OS did not cross the pre</w:t>
      </w:r>
      <w:r w:rsidR="00625BA9" w:rsidRPr="00CE427E">
        <w:rPr>
          <w:rFonts w:eastAsia="Calibri"/>
          <w:sz w:val="20"/>
        </w:rPr>
        <w:noBreakHyphen/>
      </w:r>
      <w:r w:rsidRPr="00CE427E">
        <w:rPr>
          <w:rFonts w:eastAsia="Calibri"/>
          <w:sz w:val="20"/>
        </w:rPr>
        <w:t>specified statistical boundary for comparison of AC</w:t>
      </w:r>
      <w:r w:rsidRPr="006128F6">
        <w:rPr>
          <w:rFonts w:eastAsia="TimesNewRomanPSMT"/>
          <w:sz w:val="20"/>
        </w:rPr>
        <w:t>→</w:t>
      </w:r>
      <w:r w:rsidR="00625BA9" w:rsidRPr="00CE427E">
        <w:rPr>
          <w:rFonts w:eastAsia="Calibri"/>
          <w:sz w:val="20"/>
        </w:rPr>
        <w:t>PH vs </w:t>
      </w:r>
      <w:r w:rsidRPr="00CE427E">
        <w:rPr>
          <w:rFonts w:eastAsia="Calibri"/>
          <w:sz w:val="20"/>
        </w:rPr>
        <w:t>AC</w:t>
      </w:r>
      <w:r w:rsidRPr="006128F6">
        <w:rPr>
          <w:rFonts w:eastAsia="TimesNewRomanPSMT"/>
          <w:sz w:val="20"/>
        </w:rPr>
        <w:t>→</w:t>
      </w:r>
      <w:r w:rsidRPr="00CE427E">
        <w:rPr>
          <w:rFonts w:eastAsia="Calibri"/>
          <w:sz w:val="20"/>
        </w:rPr>
        <w:t>P</w:t>
      </w:r>
    </w:p>
    <w:p w14:paraId="2AA17158" w14:textId="77777777" w:rsidR="00625BA9" w:rsidRPr="00CE427E" w:rsidRDefault="00625BA9" w:rsidP="006128F6">
      <w:pPr>
        <w:tabs>
          <w:tab w:val="clear" w:pos="567"/>
        </w:tabs>
        <w:autoSpaceDE w:val="0"/>
        <w:autoSpaceDN w:val="0"/>
        <w:adjustRightInd w:val="0"/>
        <w:spacing w:line="240" w:lineRule="auto"/>
        <w:rPr>
          <w:rFonts w:eastAsia="Calibri"/>
          <w:szCs w:val="22"/>
        </w:rPr>
      </w:pPr>
    </w:p>
    <w:p w14:paraId="0E8600DB" w14:textId="7EC8EEB8" w:rsidR="008B4720" w:rsidRPr="00CE427E" w:rsidRDefault="008B4720" w:rsidP="006128F6">
      <w:pPr>
        <w:tabs>
          <w:tab w:val="clear" w:pos="567"/>
        </w:tabs>
        <w:autoSpaceDE w:val="0"/>
        <w:autoSpaceDN w:val="0"/>
        <w:adjustRightInd w:val="0"/>
        <w:spacing w:line="240" w:lineRule="auto"/>
        <w:rPr>
          <w:rFonts w:eastAsia="Calibri"/>
          <w:szCs w:val="22"/>
        </w:rPr>
      </w:pPr>
      <w:r w:rsidRPr="00CE427E">
        <w:rPr>
          <w:rFonts w:eastAsia="Calibri"/>
          <w:szCs w:val="22"/>
        </w:rPr>
        <w:t xml:space="preserve">For the primary endpoint, DFS, the addition of </w:t>
      </w:r>
      <w:r w:rsidR="004F3E6A" w:rsidRPr="00CE427E">
        <w:rPr>
          <w:rFonts w:eastAsia="Calibri"/>
          <w:szCs w:val="22"/>
        </w:rPr>
        <w:t>trastuzumab</w:t>
      </w:r>
      <w:r w:rsidRPr="00CE427E">
        <w:rPr>
          <w:rFonts w:eastAsia="Calibri"/>
          <w:szCs w:val="22"/>
        </w:rPr>
        <w:t xml:space="preserve"> to paclit</w:t>
      </w:r>
      <w:r w:rsidR="00625BA9" w:rsidRPr="00CE427E">
        <w:rPr>
          <w:rFonts w:eastAsia="Calibri"/>
          <w:szCs w:val="22"/>
        </w:rPr>
        <w:t xml:space="preserve">axel chemotherapy resulted in a </w:t>
      </w:r>
      <w:r w:rsidRPr="00CE427E">
        <w:rPr>
          <w:rFonts w:eastAsia="Calibri"/>
          <w:szCs w:val="22"/>
        </w:rPr>
        <w:t>52</w:t>
      </w:r>
      <w:r w:rsidR="000840CF" w:rsidRPr="00CE427E">
        <w:rPr>
          <w:rFonts w:eastAsia="Calibri"/>
          <w:szCs w:val="22"/>
        </w:rPr>
        <w:t>%</w:t>
      </w:r>
      <w:r w:rsidRPr="00CE427E">
        <w:rPr>
          <w:rFonts w:eastAsia="Calibri"/>
          <w:szCs w:val="22"/>
        </w:rPr>
        <w:t xml:space="preserve"> decrease in the risk of disease recurrence. The hazard ratio translat</w:t>
      </w:r>
      <w:r w:rsidR="00625BA9" w:rsidRPr="00CE427E">
        <w:rPr>
          <w:rFonts w:eastAsia="Calibri"/>
          <w:szCs w:val="22"/>
        </w:rPr>
        <w:t xml:space="preserve">es into an absolute benefit, in </w:t>
      </w:r>
      <w:r w:rsidRPr="00CE427E">
        <w:rPr>
          <w:rFonts w:eastAsia="Calibri"/>
          <w:szCs w:val="22"/>
        </w:rPr>
        <w:t>terms of 3</w:t>
      </w:r>
      <w:r w:rsidR="00625BA9" w:rsidRPr="00CE427E">
        <w:rPr>
          <w:rFonts w:eastAsia="Calibri"/>
          <w:szCs w:val="22"/>
        </w:rPr>
        <w:noBreakHyphen/>
      </w:r>
      <w:r w:rsidRPr="00CE427E">
        <w:rPr>
          <w:rFonts w:eastAsia="Calibri"/>
          <w:szCs w:val="22"/>
        </w:rPr>
        <w:t>year disease</w:t>
      </w:r>
      <w:r w:rsidR="00625BA9" w:rsidRPr="00CE427E">
        <w:rPr>
          <w:rFonts w:eastAsia="Calibri"/>
          <w:szCs w:val="22"/>
        </w:rPr>
        <w:noBreakHyphen/>
      </w:r>
      <w:r w:rsidRPr="00CE427E">
        <w:rPr>
          <w:rFonts w:eastAsia="Calibri"/>
          <w:szCs w:val="22"/>
        </w:rPr>
        <w:t>free survival rate estimates of 11.8</w:t>
      </w:r>
      <w:r w:rsidR="00625BA9" w:rsidRPr="00CE427E">
        <w:rPr>
          <w:rFonts w:eastAsia="Calibri"/>
          <w:szCs w:val="22"/>
        </w:rPr>
        <w:t> </w:t>
      </w:r>
      <w:r w:rsidRPr="00CE427E">
        <w:rPr>
          <w:rFonts w:eastAsia="Calibri"/>
          <w:szCs w:val="22"/>
        </w:rPr>
        <w:t>percentage points (87.2</w:t>
      </w:r>
      <w:r w:rsidR="000840CF" w:rsidRPr="00CE427E">
        <w:rPr>
          <w:rFonts w:eastAsia="Calibri"/>
          <w:szCs w:val="22"/>
        </w:rPr>
        <w:t>%</w:t>
      </w:r>
      <w:r w:rsidRPr="00CE427E">
        <w:rPr>
          <w:rFonts w:eastAsia="Calibri"/>
          <w:szCs w:val="22"/>
        </w:rPr>
        <w:t xml:space="preserve"> versus 75.4</w:t>
      </w:r>
      <w:r w:rsidR="000840CF" w:rsidRPr="00CE427E">
        <w:rPr>
          <w:rFonts w:eastAsia="Calibri"/>
          <w:szCs w:val="22"/>
        </w:rPr>
        <w:t>%</w:t>
      </w:r>
      <w:r w:rsidR="00625BA9" w:rsidRPr="00CE427E">
        <w:rPr>
          <w:rFonts w:eastAsia="Calibri"/>
          <w:szCs w:val="22"/>
        </w:rPr>
        <w:t xml:space="preserve">) </w:t>
      </w:r>
      <w:r w:rsidRPr="00CE427E">
        <w:rPr>
          <w:rFonts w:eastAsia="Calibri"/>
          <w:szCs w:val="22"/>
        </w:rPr>
        <w:t>in favour of the AC</w:t>
      </w:r>
      <w:r w:rsidRPr="006128F6">
        <w:rPr>
          <w:rFonts w:eastAsia="TimesNewRomanPSMT"/>
          <w:szCs w:val="22"/>
        </w:rPr>
        <w:t>→</w:t>
      </w:r>
      <w:r w:rsidRPr="00CE427E">
        <w:rPr>
          <w:rFonts w:eastAsia="Calibri"/>
          <w:szCs w:val="22"/>
        </w:rPr>
        <w:t>PH (</w:t>
      </w:r>
      <w:r w:rsidR="004F3E6A" w:rsidRPr="00CE427E">
        <w:rPr>
          <w:rFonts w:eastAsia="Calibri"/>
          <w:szCs w:val="22"/>
        </w:rPr>
        <w:t>trastuzumab</w:t>
      </w:r>
      <w:r w:rsidRPr="00CE427E">
        <w:rPr>
          <w:rFonts w:eastAsia="Calibri"/>
          <w:szCs w:val="22"/>
        </w:rPr>
        <w:t>) arm.</w:t>
      </w:r>
    </w:p>
    <w:p w14:paraId="45DB9AC3" w14:textId="77777777" w:rsidR="00625BA9" w:rsidRPr="00CE427E" w:rsidRDefault="00625BA9" w:rsidP="006128F6">
      <w:pPr>
        <w:tabs>
          <w:tab w:val="clear" w:pos="567"/>
        </w:tabs>
        <w:autoSpaceDE w:val="0"/>
        <w:autoSpaceDN w:val="0"/>
        <w:adjustRightInd w:val="0"/>
        <w:spacing w:line="240" w:lineRule="auto"/>
        <w:rPr>
          <w:rFonts w:eastAsia="Calibri"/>
          <w:szCs w:val="22"/>
        </w:rPr>
      </w:pPr>
    </w:p>
    <w:p w14:paraId="1AE29A3C" w14:textId="5EB9BC77" w:rsidR="008B4720" w:rsidRPr="00CE427E" w:rsidRDefault="008B4720" w:rsidP="006128F6">
      <w:pPr>
        <w:tabs>
          <w:tab w:val="clear" w:pos="567"/>
        </w:tabs>
        <w:autoSpaceDE w:val="0"/>
        <w:autoSpaceDN w:val="0"/>
        <w:adjustRightInd w:val="0"/>
        <w:spacing w:line="240" w:lineRule="auto"/>
        <w:rPr>
          <w:rFonts w:eastAsia="Calibri"/>
          <w:szCs w:val="22"/>
        </w:rPr>
      </w:pPr>
      <w:r w:rsidRPr="00CE427E">
        <w:rPr>
          <w:rFonts w:eastAsia="Calibri"/>
          <w:szCs w:val="22"/>
        </w:rPr>
        <w:t>At the time of a safety update after a median of 3.5</w:t>
      </w:r>
      <w:r w:rsidR="00625BA9" w:rsidRPr="00CE427E">
        <w:rPr>
          <w:rFonts w:eastAsia="Calibri"/>
          <w:szCs w:val="22"/>
        </w:rPr>
        <w:noBreakHyphen/>
      </w:r>
      <w:r w:rsidRPr="00CE427E">
        <w:rPr>
          <w:rFonts w:eastAsia="Calibri"/>
          <w:szCs w:val="22"/>
        </w:rPr>
        <w:t>3.8 years follow</w:t>
      </w:r>
      <w:r w:rsidR="002F7418" w:rsidRPr="00CE427E">
        <w:rPr>
          <w:rFonts w:eastAsia="Calibri"/>
          <w:szCs w:val="22"/>
        </w:rPr>
        <w:t>-</w:t>
      </w:r>
      <w:r w:rsidRPr="00CE427E">
        <w:rPr>
          <w:rFonts w:eastAsia="Calibri"/>
          <w:szCs w:val="22"/>
        </w:rPr>
        <w:t>up</w:t>
      </w:r>
      <w:r w:rsidR="00625BA9" w:rsidRPr="00CE427E">
        <w:rPr>
          <w:rFonts w:eastAsia="Calibri"/>
          <w:szCs w:val="22"/>
        </w:rPr>
        <w:t xml:space="preserve">, an analysis of DFS reconfirms </w:t>
      </w:r>
      <w:r w:rsidRPr="00CE427E">
        <w:rPr>
          <w:rFonts w:eastAsia="Calibri"/>
          <w:szCs w:val="22"/>
        </w:rPr>
        <w:t>the magnitude of the benefit shown in the definitive analysis of DFS. Despite the cross-over to</w:t>
      </w:r>
      <w:r w:rsidR="00AB2DE8" w:rsidRPr="00CE427E">
        <w:rPr>
          <w:rFonts w:eastAsia="Calibri"/>
          <w:szCs w:val="22"/>
        </w:rPr>
        <w:t xml:space="preserve"> </w:t>
      </w:r>
      <w:r w:rsidR="004F3E6A" w:rsidRPr="00CE427E">
        <w:rPr>
          <w:rFonts w:eastAsia="Calibri"/>
          <w:szCs w:val="22"/>
        </w:rPr>
        <w:t>trastuzumab</w:t>
      </w:r>
      <w:r w:rsidRPr="00CE427E">
        <w:rPr>
          <w:rFonts w:eastAsia="Calibri"/>
          <w:szCs w:val="22"/>
        </w:rPr>
        <w:t xml:space="preserve"> in the control arm, the addition of </w:t>
      </w:r>
      <w:r w:rsidR="004F3E6A" w:rsidRPr="00CE427E">
        <w:rPr>
          <w:rFonts w:eastAsia="Calibri"/>
          <w:szCs w:val="22"/>
        </w:rPr>
        <w:t>trastuzumab</w:t>
      </w:r>
      <w:r w:rsidRPr="00CE427E">
        <w:rPr>
          <w:rFonts w:eastAsia="Calibri"/>
          <w:szCs w:val="22"/>
        </w:rPr>
        <w:t xml:space="preserve"> to paclitaxel </w:t>
      </w:r>
      <w:r w:rsidR="00223279" w:rsidRPr="00CE427E">
        <w:rPr>
          <w:rFonts w:eastAsia="Calibri"/>
          <w:szCs w:val="22"/>
        </w:rPr>
        <w:t>chemotherapy resulted in a 52</w:t>
      </w:r>
      <w:r w:rsidR="000840CF" w:rsidRPr="00CE427E">
        <w:rPr>
          <w:rFonts w:eastAsia="Calibri"/>
          <w:szCs w:val="22"/>
        </w:rPr>
        <w:t>%</w:t>
      </w:r>
      <w:r w:rsidR="00625BA9" w:rsidRPr="00CE427E">
        <w:rPr>
          <w:rFonts w:eastAsia="Calibri"/>
          <w:szCs w:val="22"/>
        </w:rPr>
        <w:t xml:space="preserve"> </w:t>
      </w:r>
      <w:r w:rsidRPr="00CE427E">
        <w:rPr>
          <w:rFonts w:eastAsia="Calibri"/>
          <w:szCs w:val="22"/>
        </w:rPr>
        <w:t xml:space="preserve">decrease in the risk of disease recurrence. The addition of </w:t>
      </w:r>
      <w:r w:rsidR="004F3E6A" w:rsidRPr="00CE427E">
        <w:rPr>
          <w:rFonts w:eastAsia="Calibri"/>
          <w:szCs w:val="22"/>
        </w:rPr>
        <w:t>trastuzumab</w:t>
      </w:r>
      <w:r w:rsidRPr="00CE427E">
        <w:rPr>
          <w:rFonts w:eastAsia="Calibri"/>
          <w:szCs w:val="22"/>
        </w:rPr>
        <w:t xml:space="preserve"> </w:t>
      </w:r>
      <w:r w:rsidR="00625BA9" w:rsidRPr="00CE427E">
        <w:rPr>
          <w:rFonts w:eastAsia="Calibri"/>
          <w:szCs w:val="22"/>
        </w:rPr>
        <w:t xml:space="preserve">to paclitaxel chemotherapy also </w:t>
      </w:r>
      <w:r w:rsidRPr="00CE427E">
        <w:rPr>
          <w:rFonts w:eastAsia="Calibri"/>
          <w:szCs w:val="22"/>
        </w:rPr>
        <w:t>resulted in a 37</w:t>
      </w:r>
      <w:r w:rsidR="000840CF" w:rsidRPr="00CE427E">
        <w:rPr>
          <w:rFonts w:eastAsia="Calibri"/>
          <w:szCs w:val="22"/>
        </w:rPr>
        <w:t>%</w:t>
      </w:r>
      <w:r w:rsidRPr="00CE427E">
        <w:rPr>
          <w:rFonts w:eastAsia="Calibri"/>
          <w:szCs w:val="22"/>
        </w:rPr>
        <w:t xml:space="preserve"> decrease in the risk of death.</w:t>
      </w:r>
    </w:p>
    <w:p w14:paraId="0243B795" w14:textId="77777777" w:rsidR="00625BA9" w:rsidRPr="00CE427E" w:rsidRDefault="00625BA9" w:rsidP="006128F6">
      <w:pPr>
        <w:tabs>
          <w:tab w:val="clear" w:pos="567"/>
        </w:tabs>
        <w:autoSpaceDE w:val="0"/>
        <w:autoSpaceDN w:val="0"/>
        <w:adjustRightInd w:val="0"/>
        <w:spacing w:line="240" w:lineRule="auto"/>
        <w:rPr>
          <w:rFonts w:eastAsia="Calibri"/>
          <w:szCs w:val="22"/>
        </w:rPr>
      </w:pPr>
    </w:p>
    <w:p w14:paraId="7AE6830D" w14:textId="3EFCA2E9" w:rsidR="008B4720" w:rsidRPr="00CE427E" w:rsidRDefault="008B4720" w:rsidP="006128F6">
      <w:pPr>
        <w:tabs>
          <w:tab w:val="clear" w:pos="567"/>
        </w:tabs>
        <w:autoSpaceDE w:val="0"/>
        <w:autoSpaceDN w:val="0"/>
        <w:adjustRightInd w:val="0"/>
        <w:spacing w:line="240" w:lineRule="auto"/>
        <w:rPr>
          <w:rFonts w:eastAsia="Calibri"/>
          <w:szCs w:val="22"/>
        </w:rPr>
      </w:pPr>
      <w:r w:rsidRPr="00CE427E">
        <w:rPr>
          <w:rFonts w:eastAsia="Calibri"/>
          <w:szCs w:val="22"/>
        </w:rPr>
        <w:t>The pre</w:t>
      </w:r>
      <w:r w:rsidR="00625BA9" w:rsidRPr="00CE427E">
        <w:rPr>
          <w:rFonts w:eastAsia="Calibri"/>
          <w:szCs w:val="22"/>
        </w:rPr>
        <w:noBreakHyphen/>
      </w:r>
      <w:r w:rsidRPr="00CE427E">
        <w:rPr>
          <w:rFonts w:eastAsia="Calibri"/>
          <w:szCs w:val="22"/>
        </w:rPr>
        <w:t xml:space="preserve">planned final analysis of OS from the joint analysis </w:t>
      </w:r>
      <w:r w:rsidR="00625BA9" w:rsidRPr="00CE427E">
        <w:rPr>
          <w:rFonts w:eastAsia="Calibri"/>
          <w:szCs w:val="22"/>
        </w:rPr>
        <w:t>of studies NSABP B-31 and NCCTG </w:t>
      </w:r>
      <w:r w:rsidRPr="00CE427E">
        <w:rPr>
          <w:rFonts w:eastAsia="Calibri"/>
          <w:szCs w:val="22"/>
        </w:rPr>
        <w:t>N9831 was performed when 707 deaths had occurred (median follow-up 8.3</w:t>
      </w:r>
      <w:r w:rsidR="00625BA9" w:rsidRPr="00CE427E">
        <w:rPr>
          <w:rFonts w:eastAsia="Calibri"/>
          <w:szCs w:val="22"/>
        </w:rPr>
        <w:t> </w:t>
      </w:r>
      <w:r w:rsidRPr="00CE427E">
        <w:rPr>
          <w:rFonts w:eastAsia="Calibri"/>
          <w:szCs w:val="22"/>
        </w:rPr>
        <w:t>years in the AC</w:t>
      </w:r>
      <w:r w:rsidRPr="006128F6">
        <w:rPr>
          <w:rFonts w:eastAsia="TimesNewRomanPSMT"/>
          <w:szCs w:val="22"/>
        </w:rPr>
        <w:t>→</w:t>
      </w:r>
      <w:r w:rsidR="00625BA9" w:rsidRPr="00CE427E">
        <w:rPr>
          <w:rFonts w:eastAsia="Calibri"/>
          <w:szCs w:val="22"/>
        </w:rPr>
        <w:t xml:space="preserve">PH </w:t>
      </w:r>
      <w:r w:rsidRPr="00CE427E">
        <w:rPr>
          <w:rFonts w:eastAsia="Calibri"/>
          <w:szCs w:val="22"/>
        </w:rPr>
        <w:t>group). Treatment with AC</w:t>
      </w:r>
      <w:r w:rsidRPr="006128F6">
        <w:rPr>
          <w:rFonts w:eastAsia="TimesNewRomanPSMT"/>
          <w:szCs w:val="22"/>
        </w:rPr>
        <w:t>→</w:t>
      </w:r>
      <w:r w:rsidRPr="00CE427E">
        <w:rPr>
          <w:rFonts w:eastAsia="Calibri"/>
          <w:szCs w:val="22"/>
        </w:rPr>
        <w:t>PH resulted in a statistically significant improvement i</w:t>
      </w:r>
      <w:r w:rsidR="00625BA9" w:rsidRPr="00CE427E">
        <w:rPr>
          <w:rFonts w:eastAsia="Calibri"/>
          <w:szCs w:val="22"/>
        </w:rPr>
        <w:t xml:space="preserve">n OS compared </w:t>
      </w:r>
      <w:r w:rsidRPr="00CE427E">
        <w:rPr>
          <w:rFonts w:eastAsia="Calibri"/>
          <w:szCs w:val="22"/>
        </w:rPr>
        <w:t>with AC</w:t>
      </w:r>
      <w:r w:rsidRPr="006128F6">
        <w:rPr>
          <w:rFonts w:eastAsia="TimesNewRomanPSMT"/>
          <w:szCs w:val="22"/>
        </w:rPr>
        <w:t>→</w:t>
      </w:r>
      <w:r w:rsidRPr="00CE427E">
        <w:rPr>
          <w:rFonts w:eastAsia="Calibri"/>
          <w:szCs w:val="22"/>
        </w:rPr>
        <w:t>P (stratified HR</w:t>
      </w:r>
      <w:r w:rsidR="002B7BA5" w:rsidRPr="00CE427E">
        <w:rPr>
          <w:rFonts w:eastAsia="Calibri"/>
          <w:szCs w:val="22"/>
        </w:rPr>
        <w:t> </w:t>
      </w:r>
      <w:r w:rsidRPr="00CE427E">
        <w:rPr>
          <w:rFonts w:eastAsia="Calibri"/>
          <w:szCs w:val="22"/>
        </w:rPr>
        <w:t>=</w:t>
      </w:r>
      <w:r w:rsidR="002B7BA5" w:rsidRPr="00CE427E">
        <w:rPr>
          <w:rFonts w:eastAsia="Calibri"/>
          <w:szCs w:val="22"/>
        </w:rPr>
        <w:t> </w:t>
      </w:r>
      <w:r w:rsidRPr="00CE427E">
        <w:rPr>
          <w:rFonts w:eastAsia="Calibri"/>
          <w:szCs w:val="22"/>
        </w:rPr>
        <w:t>0.64; 95</w:t>
      </w:r>
      <w:r w:rsidR="000840CF" w:rsidRPr="00CE427E">
        <w:rPr>
          <w:rFonts w:eastAsia="Calibri"/>
          <w:szCs w:val="22"/>
        </w:rPr>
        <w:t>%</w:t>
      </w:r>
      <w:r w:rsidRPr="00CE427E">
        <w:rPr>
          <w:rFonts w:eastAsia="Calibri"/>
          <w:szCs w:val="22"/>
        </w:rPr>
        <w:t xml:space="preserve"> CI</w:t>
      </w:r>
      <w:r w:rsidR="00625BA9" w:rsidRPr="00CE427E">
        <w:rPr>
          <w:rFonts w:eastAsia="Calibri"/>
          <w:szCs w:val="22"/>
        </w:rPr>
        <w:t xml:space="preserve"> [0.55, 0.74]; log-rank p-value </w:t>
      </w:r>
      <w:r w:rsidRPr="00CE427E">
        <w:rPr>
          <w:rFonts w:eastAsia="Calibri"/>
          <w:szCs w:val="22"/>
        </w:rPr>
        <w:t>&lt;</w:t>
      </w:r>
      <w:r w:rsidR="00625BA9" w:rsidRPr="00CE427E">
        <w:rPr>
          <w:rFonts w:eastAsia="Calibri"/>
          <w:szCs w:val="22"/>
        </w:rPr>
        <w:t> </w:t>
      </w:r>
      <w:r w:rsidRPr="00CE427E">
        <w:rPr>
          <w:rFonts w:eastAsia="Calibri"/>
          <w:szCs w:val="22"/>
        </w:rPr>
        <w:t>0.0001). At 8</w:t>
      </w:r>
      <w:r w:rsidR="00625BA9" w:rsidRPr="00CE427E">
        <w:rPr>
          <w:rFonts w:eastAsia="Calibri"/>
          <w:szCs w:val="22"/>
        </w:rPr>
        <w:t xml:space="preserve"> years, the </w:t>
      </w:r>
      <w:r w:rsidRPr="00CE427E">
        <w:rPr>
          <w:rFonts w:eastAsia="Calibri"/>
          <w:szCs w:val="22"/>
        </w:rPr>
        <w:t>survival rate was estimated to be 86.9</w:t>
      </w:r>
      <w:r w:rsidR="000840CF" w:rsidRPr="00CE427E">
        <w:rPr>
          <w:rFonts w:eastAsia="Calibri"/>
          <w:szCs w:val="22"/>
        </w:rPr>
        <w:t>%</w:t>
      </w:r>
      <w:r w:rsidRPr="00CE427E">
        <w:rPr>
          <w:rFonts w:eastAsia="Calibri"/>
          <w:szCs w:val="22"/>
        </w:rPr>
        <w:t xml:space="preserve"> in the AC</w:t>
      </w:r>
      <w:r w:rsidRPr="006128F6">
        <w:rPr>
          <w:rFonts w:eastAsia="TimesNewRomanPSMT"/>
          <w:szCs w:val="22"/>
        </w:rPr>
        <w:t>→</w:t>
      </w:r>
      <w:r w:rsidRPr="00CE427E">
        <w:rPr>
          <w:rFonts w:eastAsia="Calibri"/>
          <w:szCs w:val="22"/>
        </w:rPr>
        <w:t>PH arm and 79.4</w:t>
      </w:r>
      <w:r w:rsidR="000840CF" w:rsidRPr="00CE427E">
        <w:rPr>
          <w:rFonts w:eastAsia="Calibri"/>
          <w:szCs w:val="22"/>
        </w:rPr>
        <w:t>%</w:t>
      </w:r>
      <w:r w:rsidRPr="00CE427E">
        <w:rPr>
          <w:rFonts w:eastAsia="Calibri"/>
          <w:szCs w:val="22"/>
        </w:rPr>
        <w:t xml:space="preserve"> in the AC</w:t>
      </w:r>
      <w:r w:rsidRPr="006128F6">
        <w:rPr>
          <w:rFonts w:eastAsia="TimesNewRomanPSMT"/>
          <w:szCs w:val="22"/>
        </w:rPr>
        <w:t>→</w:t>
      </w:r>
      <w:r w:rsidR="00625BA9" w:rsidRPr="00CE427E">
        <w:rPr>
          <w:rFonts w:eastAsia="Calibri"/>
          <w:szCs w:val="22"/>
        </w:rPr>
        <w:t xml:space="preserve">P arm, an absolute </w:t>
      </w:r>
      <w:r w:rsidRPr="00CE427E">
        <w:rPr>
          <w:rFonts w:eastAsia="Calibri"/>
          <w:szCs w:val="22"/>
        </w:rPr>
        <w:t>benefit of 7.4</w:t>
      </w:r>
      <w:r w:rsidR="000840CF" w:rsidRPr="00CE427E">
        <w:rPr>
          <w:rFonts w:eastAsia="Calibri"/>
          <w:szCs w:val="22"/>
        </w:rPr>
        <w:t>%</w:t>
      </w:r>
      <w:r w:rsidRPr="00CE427E">
        <w:rPr>
          <w:rFonts w:eastAsia="Calibri"/>
          <w:szCs w:val="22"/>
        </w:rPr>
        <w:t xml:space="preserve"> (95</w:t>
      </w:r>
      <w:r w:rsidR="000840CF" w:rsidRPr="00CE427E">
        <w:rPr>
          <w:rFonts w:eastAsia="Calibri"/>
          <w:szCs w:val="22"/>
        </w:rPr>
        <w:t>%</w:t>
      </w:r>
      <w:r w:rsidRPr="00CE427E">
        <w:rPr>
          <w:rFonts w:eastAsia="Calibri"/>
          <w:szCs w:val="22"/>
        </w:rPr>
        <w:t xml:space="preserve"> CI</w:t>
      </w:r>
      <w:r w:rsidR="00AE0CEF" w:rsidRPr="00CE427E">
        <w:rPr>
          <w:rFonts w:eastAsia="Calibri"/>
          <w:szCs w:val="22"/>
        </w:rPr>
        <w:t>:</w:t>
      </w:r>
      <w:r w:rsidRPr="00CE427E">
        <w:rPr>
          <w:rFonts w:eastAsia="Calibri"/>
          <w:szCs w:val="22"/>
        </w:rPr>
        <w:t xml:space="preserve"> 4.9</w:t>
      </w:r>
      <w:r w:rsidR="000840CF" w:rsidRPr="00CE427E">
        <w:rPr>
          <w:rFonts w:eastAsia="Calibri"/>
          <w:szCs w:val="22"/>
        </w:rPr>
        <w:t>%</w:t>
      </w:r>
      <w:r w:rsidRPr="00CE427E">
        <w:rPr>
          <w:rFonts w:eastAsia="Calibri"/>
          <w:szCs w:val="22"/>
        </w:rPr>
        <w:t>, 10.0</w:t>
      </w:r>
      <w:r w:rsidR="000840CF" w:rsidRPr="00CE427E">
        <w:rPr>
          <w:rFonts w:eastAsia="Calibri"/>
          <w:szCs w:val="22"/>
        </w:rPr>
        <w:t>%</w:t>
      </w:r>
      <w:r w:rsidRPr="00CE427E">
        <w:rPr>
          <w:rFonts w:eastAsia="Calibri"/>
          <w:szCs w:val="22"/>
        </w:rPr>
        <w:t>).</w:t>
      </w:r>
    </w:p>
    <w:p w14:paraId="783E8534" w14:textId="77777777" w:rsidR="00625BA9" w:rsidRPr="00CE427E" w:rsidRDefault="00625BA9" w:rsidP="006128F6">
      <w:pPr>
        <w:tabs>
          <w:tab w:val="clear" w:pos="567"/>
        </w:tabs>
        <w:autoSpaceDE w:val="0"/>
        <w:autoSpaceDN w:val="0"/>
        <w:adjustRightInd w:val="0"/>
        <w:spacing w:line="240" w:lineRule="auto"/>
        <w:rPr>
          <w:rFonts w:eastAsia="Calibri"/>
          <w:szCs w:val="22"/>
        </w:rPr>
      </w:pPr>
    </w:p>
    <w:p w14:paraId="11891A00" w14:textId="5871BF1F" w:rsidR="008B4720" w:rsidRPr="00CE427E" w:rsidRDefault="008B4720" w:rsidP="006128F6">
      <w:pPr>
        <w:tabs>
          <w:tab w:val="clear" w:pos="567"/>
        </w:tabs>
        <w:autoSpaceDE w:val="0"/>
        <w:autoSpaceDN w:val="0"/>
        <w:adjustRightInd w:val="0"/>
        <w:spacing w:line="240" w:lineRule="auto"/>
        <w:rPr>
          <w:rFonts w:eastAsia="Calibri"/>
          <w:szCs w:val="22"/>
        </w:rPr>
      </w:pPr>
      <w:r w:rsidRPr="00CE427E">
        <w:rPr>
          <w:rFonts w:eastAsia="Calibri"/>
          <w:szCs w:val="22"/>
        </w:rPr>
        <w:t>The final OS results from the joint analysis of studies NSABP B</w:t>
      </w:r>
      <w:r w:rsidR="00625BA9" w:rsidRPr="00CE427E">
        <w:rPr>
          <w:rFonts w:eastAsia="Calibri"/>
          <w:szCs w:val="22"/>
        </w:rPr>
        <w:noBreakHyphen/>
        <w:t xml:space="preserve">31 and NCCTG N9831 are </w:t>
      </w:r>
      <w:r w:rsidRPr="00CE427E">
        <w:rPr>
          <w:rFonts w:eastAsia="Calibri"/>
          <w:szCs w:val="22"/>
        </w:rPr>
        <w:t>summari</w:t>
      </w:r>
      <w:r w:rsidR="00625BA9" w:rsidRPr="00CE427E">
        <w:rPr>
          <w:rFonts w:eastAsia="Calibri"/>
          <w:szCs w:val="22"/>
        </w:rPr>
        <w:t>s</w:t>
      </w:r>
      <w:r w:rsidRPr="00CE427E">
        <w:rPr>
          <w:rFonts w:eastAsia="Calibri"/>
          <w:szCs w:val="22"/>
        </w:rPr>
        <w:t xml:space="preserve">ed in </w:t>
      </w:r>
      <w:r w:rsidR="006C726C" w:rsidRPr="008C65EB">
        <w:rPr>
          <w:rFonts w:eastAsia="Calibri"/>
          <w:szCs w:val="22"/>
        </w:rPr>
        <w:t>table 8</w:t>
      </w:r>
      <w:r w:rsidRPr="00CE427E">
        <w:rPr>
          <w:rFonts w:eastAsia="Calibri"/>
          <w:szCs w:val="22"/>
        </w:rPr>
        <w:t>:</w:t>
      </w:r>
    </w:p>
    <w:p w14:paraId="53B71A16" w14:textId="77777777" w:rsidR="00625BA9" w:rsidRPr="00CE427E" w:rsidRDefault="00625BA9" w:rsidP="006128F6">
      <w:pPr>
        <w:tabs>
          <w:tab w:val="clear" w:pos="567"/>
        </w:tabs>
        <w:autoSpaceDE w:val="0"/>
        <w:autoSpaceDN w:val="0"/>
        <w:adjustRightInd w:val="0"/>
        <w:spacing w:line="240" w:lineRule="auto"/>
        <w:rPr>
          <w:rFonts w:eastAsia="Calibri"/>
          <w:szCs w:val="22"/>
        </w:rPr>
      </w:pPr>
    </w:p>
    <w:p w14:paraId="32709EA7" w14:textId="5BB98264" w:rsidR="008B4720" w:rsidRPr="00CE427E" w:rsidRDefault="008B4720" w:rsidP="006128F6">
      <w:pPr>
        <w:keepNext/>
        <w:tabs>
          <w:tab w:val="clear" w:pos="567"/>
        </w:tabs>
        <w:autoSpaceDE w:val="0"/>
        <w:autoSpaceDN w:val="0"/>
        <w:adjustRightInd w:val="0"/>
        <w:spacing w:line="240" w:lineRule="auto"/>
        <w:rPr>
          <w:rFonts w:eastAsia="Calibri"/>
          <w:b/>
          <w:szCs w:val="22"/>
        </w:rPr>
      </w:pPr>
      <w:r w:rsidRPr="00CE427E">
        <w:rPr>
          <w:rFonts w:eastAsia="Calibri"/>
          <w:b/>
          <w:szCs w:val="22"/>
        </w:rPr>
        <w:t xml:space="preserve">Table 8 Final </w:t>
      </w:r>
      <w:r w:rsidR="00625BA9" w:rsidRPr="00CE427E">
        <w:rPr>
          <w:rFonts w:eastAsia="Calibri"/>
          <w:b/>
          <w:szCs w:val="22"/>
        </w:rPr>
        <w:t>o</w:t>
      </w:r>
      <w:r w:rsidRPr="00CE427E">
        <w:rPr>
          <w:rFonts w:eastAsia="Calibri"/>
          <w:b/>
          <w:szCs w:val="22"/>
        </w:rPr>
        <w:t xml:space="preserve">verall </w:t>
      </w:r>
      <w:r w:rsidR="00625BA9" w:rsidRPr="00CE427E">
        <w:rPr>
          <w:rFonts w:eastAsia="Calibri"/>
          <w:b/>
          <w:szCs w:val="22"/>
        </w:rPr>
        <w:t>s</w:t>
      </w:r>
      <w:r w:rsidRPr="00CE427E">
        <w:rPr>
          <w:rFonts w:eastAsia="Calibri"/>
          <w:b/>
          <w:szCs w:val="22"/>
        </w:rPr>
        <w:t xml:space="preserve">urvival </w:t>
      </w:r>
      <w:r w:rsidR="00625BA9" w:rsidRPr="00CE427E">
        <w:rPr>
          <w:rFonts w:eastAsia="Calibri"/>
          <w:b/>
          <w:szCs w:val="22"/>
        </w:rPr>
        <w:t>a</w:t>
      </w:r>
      <w:r w:rsidRPr="00CE427E">
        <w:rPr>
          <w:rFonts w:eastAsia="Calibri"/>
          <w:b/>
          <w:szCs w:val="22"/>
        </w:rPr>
        <w:t>nalysis from the</w:t>
      </w:r>
      <w:r w:rsidR="00625BA9" w:rsidRPr="00CE427E">
        <w:rPr>
          <w:rFonts w:eastAsia="Calibri"/>
          <w:b/>
          <w:szCs w:val="22"/>
        </w:rPr>
        <w:t xml:space="preserve"> joint analysis of </w:t>
      </w:r>
      <w:r w:rsidR="004A5EE5">
        <w:rPr>
          <w:rFonts w:eastAsia="Calibri"/>
          <w:b/>
          <w:szCs w:val="22"/>
        </w:rPr>
        <w:t>studie</w:t>
      </w:r>
      <w:r w:rsidR="00625BA9" w:rsidRPr="00CE427E">
        <w:rPr>
          <w:rFonts w:eastAsia="Calibri"/>
          <w:b/>
          <w:szCs w:val="22"/>
        </w:rPr>
        <w:t>s NSABP</w:t>
      </w:r>
      <w:r w:rsidR="00BB053D" w:rsidRPr="00CE427E">
        <w:rPr>
          <w:rFonts w:eastAsia="Calibri"/>
          <w:b/>
          <w:szCs w:val="22"/>
        </w:rPr>
        <w:t xml:space="preserve"> </w:t>
      </w:r>
      <w:r w:rsidRPr="00CE427E">
        <w:rPr>
          <w:rFonts w:eastAsia="Calibri"/>
          <w:b/>
          <w:szCs w:val="22"/>
        </w:rPr>
        <w:t>B-31 and NCCTG N9831</w:t>
      </w:r>
    </w:p>
    <w:p w14:paraId="25832C49" w14:textId="77777777" w:rsidR="00625BA9" w:rsidRPr="00CE427E" w:rsidRDefault="00625BA9" w:rsidP="006128F6">
      <w:pPr>
        <w:keepNext/>
        <w:tabs>
          <w:tab w:val="clear" w:pos="567"/>
        </w:tabs>
        <w:autoSpaceDE w:val="0"/>
        <w:autoSpaceDN w:val="0"/>
        <w:adjustRightInd w:val="0"/>
        <w:spacing w:line="240" w:lineRule="auto"/>
        <w:rPr>
          <w:rFonts w:eastAsia="Calibri"/>
          <w:b/>
          <w:szCs w:val="22"/>
        </w:rPr>
      </w:pP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1503"/>
        <w:gridCol w:w="1417"/>
        <w:gridCol w:w="1418"/>
        <w:gridCol w:w="1843"/>
      </w:tblGrid>
      <w:tr w:rsidR="00F95C5D" w:rsidRPr="00905F29" w14:paraId="143BEA11" w14:textId="77777777" w:rsidTr="00004652">
        <w:trPr>
          <w:trHeight w:val="300"/>
        </w:trPr>
        <w:tc>
          <w:tcPr>
            <w:tcW w:w="2765" w:type="dxa"/>
            <w:shd w:val="clear" w:color="auto" w:fill="auto"/>
            <w:noWrap/>
          </w:tcPr>
          <w:p w14:paraId="3446A82A" w14:textId="77777777" w:rsidR="00F95C5D" w:rsidRPr="006128F6" w:rsidRDefault="00F95C5D" w:rsidP="006128F6">
            <w:pPr>
              <w:tabs>
                <w:tab w:val="clear" w:pos="567"/>
              </w:tabs>
              <w:spacing w:line="240" w:lineRule="auto"/>
              <w:rPr>
                <w:b/>
                <w:color w:val="000000"/>
                <w:szCs w:val="22"/>
                <w:lang w:eastAsia="en-GB"/>
              </w:rPr>
            </w:pPr>
            <w:r w:rsidRPr="006128F6">
              <w:rPr>
                <w:b/>
              </w:rPr>
              <w:t>Parameter</w:t>
            </w:r>
          </w:p>
        </w:tc>
        <w:tc>
          <w:tcPr>
            <w:tcW w:w="1503" w:type="dxa"/>
            <w:shd w:val="clear" w:color="auto" w:fill="auto"/>
            <w:noWrap/>
          </w:tcPr>
          <w:p w14:paraId="15AE1D37" w14:textId="77777777" w:rsidR="00F95C5D" w:rsidRPr="00CE427E" w:rsidRDefault="00F95C5D" w:rsidP="006128F6">
            <w:pPr>
              <w:tabs>
                <w:tab w:val="clear" w:pos="567"/>
              </w:tabs>
              <w:autoSpaceDE w:val="0"/>
              <w:autoSpaceDN w:val="0"/>
              <w:adjustRightInd w:val="0"/>
              <w:spacing w:line="240" w:lineRule="auto"/>
              <w:jc w:val="center"/>
              <w:rPr>
                <w:rFonts w:eastAsia="MS Mincho"/>
                <w:b/>
                <w:szCs w:val="22"/>
                <w:lang w:eastAsia="en-GB"/>
              </w:rPr>
            </w:pPr>
            <w:r w:rsidRPr="00CE427E">
              <w:rPr>
                <w:rFonts w:eastAsia="MS Mincho"/>
                <w:b/>
                <w:szCs w:val="22"/>
                <w:lang w:eastAsia="en-GB"/>
              </w:rPr>
              <w:t>AC</w:t>
            </w:r>
            <w:r w:rsidRPr="006128F6">
              <w:rPr>
                <w:rFonts w:eastAsia="TimesNewRomanPSMT"/>
                <w:b/>
                <w:szCs w:val="22"/>
                <w:lang w:eastAsia="en-GB"/>
              </w:rPr>
              <w:t>→</w:t>
            </w:r>
            <w:r w:rsidRPr="00CE427E">
              <w:rPr>
                <w:rFonts w:eastAsia="MS Mincho"/>
                <w:b/>
                <w:szCs w:val="22"/>
                <w:lang w:eastAsia="en-GB"/>
              </w:rPr>
              <w:t>P</w:t>
            </w:r>
          </w:p>
          <w:p w14:paraId="53A3852C" w14:textId="0F16BA11" w:rsidR="00F95C5D" w:rsidRPr="006128F6" w:rsidRDefault="00F95C5D" w:rsidP="006128F6">
            <w:pPr>
              <w:tabs>
                <w:tab w:val="clear" w:pos="567"/>
              </w:tabs>
              <w:spacing w:line="240" w:lineRule="auto"/>
              <w:jc w:val="center"/>
              <w:rPr>
                <w:b/>
                <w:color w:val="000000"/>
                <w:szCs w:val="22"/>
                <w:lang w:eastAsia="en-GB"/>
              </w:rPr>
            </w:pPr>
            <w:r w:rsidRPr="00CE427E">
              <w:rPr>
                <w:rFonts w:eastAsia="MS Mincho"/>
                <w:b/>
                <w:szCs w:val="22"/>
                <w:lang w:eastAsia="en-GB"/>
              </w:rPr>
              <w:t>(N</w:t>
            </w:r>
            <w:r w:rsidR="002B7BA5" w:rsidRPr="00CE427E">
              <w:rPr>
                <w:rFonts w:eastAsia="MS Mincho"/>
                <w:b/>
                <w:szCs w:val="22"/>
                <w:lang w:eastAsia="en-GB"/>
              </w:rPr>
              <w:t> </w:t>
            </w:r>
            <w:r w:rsidRPr="00CE427E">
              <w:rPr>
                <w:rFonts w:eastAsia="MS Mincho"/>
                <w:b/>
                <w:szCs w:val="22"/>
                <w:lang w:eastAsia="en-GB"/>
              </w:rPr>
              <w:t>=</w:t>
            </w:r>
            <w:r w:rsidR="002B7BA5" w:rsidRPr="00CE427E">
              <w:rPr>
                <w:rFonts w:eastAsia="MS Mincho"/>
                <w:b/>
                <w:szCs w:val="22"/>
                <w:lang w:eastAsia="en-GB"/>
              </w:rPr>
              <w:t> </w:t>
            </w:r>
            <w:r w:rsidRPr="00CE427E">
              <w:rPr>
                <w:rFonts w:eastAsia="MS Mincho"/>
                <w:b/>
                <w:szCs w:val="22"/>
                <w:lang w:eastAsia="en-GB"/>
              </w:rPr>
              <w:t>2</w:t>
            </w:r>
            <w:r w:rsidR="000B44AA">
              <w:rPr>
                <w:rFonts w:eastAsia="MS Mincho"/>
                <w:b/>
                <w:szCs w:val="22"/>
                <w:lang w:eastAsia="en-GB"/>
              </w:rPr>
              <w:t> </w:t>
            </w:r>
            <w:r w:rsidRPr="00CE427E">
              <w:rPr>
                <w:rFonts w:eastAsia="MS Mincho"/>
                <w:b/>
                <w:szCs w:val="22"/>
                <w:lang w:eastAsia="en-GB"/>
              </w:rPr>
              <w:t>032)</w:t>
            </w:r>
          </w:p>
        </w:tc>
        <w:tc>
          <w:tcPr>
            <w:tcW w:w="1417" w:type="dxa"/>
          </w:tcPr>
          <w:p w14:paraId="4338B9AF" w14:textId="77777777" w:rsidR="00F95C5D" w:rsidRPr="00CE427E" w:rsidRDefault="00F95C5D" w:rsidP="006128F6">
            <w:pPr>
              <w:tabs>
                <w:tab w:val="clear" w:pos="567"/>
              </w:tabs>
              <w:autoSpaceDE w:val="0"/>
              <w:autoSpaceDN w:val="0"/>
              <w:adjustRightInd w:val="0"/>
              <w:spacing w:line="240" w:lineRule="auto"/>
              <w:jc w:val="center"/>
              <w:rPr>
                <w:rFonts w:eastAsia="MS Mincho"/>
                <w:b/>
                <w:szCs w:val="22"/>
                <w:lang w:eastAsia="en-GB"/>
              </w:rPr>
            </w:pPr>
            <w:r w:rsidRPr="00CE427E">
              <w:rPr>
                <w:rFonts w:eastAsia="MS Mincho"/>
                <w:b/>
                <w:szCs w:val="22"/>
                <w:lang w:eastAsia="en-GB"/>
              </w:rPr>
              <w:t>AC</w:t>
            </w:r>
            <w:r w:rsidRPr="006128F6">
              <w:rPr>
                <w:rFonts w:eastAsia="TimesNewRomanPSMT"/>
                <w:b/>
                <w:szCs w:val="22"/>
                <w:lang w:eastAsia="en-GB"/>
              </w:rPr>
              <w:t>→</w:t>
            </w:r>
            <w:r w:rsidRPr="00CE427E">
              <w:rPr>
                <w:rFonts w:eastAsia="MS Mincho"/>
                <w:b/>
                <w:szCs w:val="22"/>
                <w:lang w:eastAsia="en-GB"/>
              </w:rPr>
              <w:t>PH</w:t>
            </w:r>
          </w:p>
          <w:p w14:paraId="72383A19" w14:textId="75ECE67B" w:rsidR="00F95C5D" w:rsidRPr="00CE427E" w:rsidRDefault="00F95C5D" w:rsidP="006128F6">
            <w:pPr>
              <w:tabs>
                <w:tab w:val="clear" w:pos="567"/>
              </w:tabs>
              <w:autoSpaceDE w:val="0"/>
              <w:autoSpaceDN w:val="0"/>
              <w:adjustRightInd w:val="0"/>
              <w:spacing w:line="240" w:lineRule="auto"/>
              <w:jc w:val="center"/>
              <w:rPr>
                <w:rFonts w:eastAsia="MS Mincho"/>
                <w:b/>
                <w:szCs w:val="22"/>
                <w:lang w:eastAsia="en-GB"/>
              </w:rPr>
            </w:pPr>
            <w:r w:rsidRPr="00CE427E">
              <w:rPr>
                <w:rFonts w:eastAsia="MS Mincho"/>
                <w:b/>
                <w:szCs w:val="22"/>
                <w:lang w:eastAsia="en-GB"/>
              </w:rPr>
              <w:t>(N</w:t>
            </w:r>
            <w:r w:rsidR="002B7BA5" w:rsidRPr="00CE427E">
              <w:rPr>
                <w:rFonts w:eastAsia="MS Mincho"/>
                <w:b/>
                <w:szCs w:val="22"/>
                <w:lang w:eastAsia="en-GB"/>
              </w:rPr>
              <w:t> </w:t>
            </w:r>
            <w:r w:rsidRPr="00CE427E">
              <w:rPr>
                <w:rFonts w:eastAsia="MS Mincho"/>
                <w:b/>
                <w:szCs w:val="22"/>
                <w:lang w:eastAsia="en-GB"/>
              </w:rPr>
              <w:t>=</w:t>
            </w:r>
            <w:r w:rsidR="002B7BA5" w:rsidRPr="00CE427E">
              <w:rPr>
                <w:rFonts w:eastAsia="MS Mincho"/>
                <w:b/>
                <w:szCs w:val="22"/>
                <w:lang w:eastAsia="en-GB"/>
              </w:rPr>
              <w:t> </w:t>
            </w:r>
            <w:r w:rsidRPr="00CE427E">
              <w:rPr>
                <w:rFonts w:eastAsia="MS Mincho"/>
                <w:b/>
                <w:szCs w:val="22"/>
                <w:lang w:eastAsia="en-GB"/>
              </w:rPr>
              <w:t>2</w:t>
            </w:r>
            <w:r w:rsidR="000B44AA">
              <w:rPr>
                <w:rFonts w:eastAsia="MS Mincho"/>
                <w:b/>
                <w:szCs w:val="22"/>
                <w:lang w:eastAsia="en-GB"/>
              </w:rPr>
              <w:t> </w:t>
            </w:r>
            <w:r w:rsidRPr="00CE427E">
              <w:rPr>
                <w:rFonts w:eastAsia="MS Mincho"/>
                <w:b/>
                <w:szCs w:val="22"/>
                <w:lang w:eastAsia="en-GB"/>
              </w:rPr>
              <w:t>031)</w:t>
            </w:r>
          </w:p>
        </w:tc>
        <w:tc>
          <w:tcPr>
            <w:tcW w:w="1418" w:type="dxa"/>
            <w:shd w:val="clear" w:color="auto" w:fill="auto"/>
            <w:noWrap/>
          </w:tcPr>
          <w:p w14:paraId="7219D4E1" w14:textId="77777777" w:rsidR="00F95C5D" w:rsidRPr="00CE427E" w:rsidRDefault="00F95C5D" w:rsidP="006128F6">
            <w:pPr>
              <w:tabs>
                <w:tab w:val="clear" w:pos="567"/>
              </w:tabs>
              <w:autoSpaceDE w:val="0"/>
              <w:autoSpaceDN w:val="0"/>
              <w:adjustRightInd w:val="0"/>
              <w:spacing w:line="240" w:lineRule="auto"/>
              <w:jc w:val="center"/>
              <w:rPr>
                <w:rFonts w:eastAsia="MS Mincho"/>
                <w:b/>
                <w:szCs w:val="22"/>
                <w:lang w:eastAsia="en-GB"/>
              </w:rPr>
            </w:pPr>
            <w:r w:rsidRPr="00CE427E">
              <w:rPr>
                <w:rFonts w:eastAsia="MS Mincho"/>
                <w:b/>
                <w:szCs w:val="22"/>
                <w:lang w:eastAsia="en-GB"/>
              </w:rPr>
              <w:t>p</w:t>
            </w:r>
            <w:r w:rsidRPr="00CE427E">
              <w:rPr>
                <w:rFonts w:eastAsia="MS Mincho"/>
                <w:b/>
                <w:szCs w:val="22"/>
                <w:lang w:eastAsia="en-GB"/>
              </w:rPr>
              <w:noBreakHyphen/>
              <w:t>value versus</w:t>
            </w:r>
          </w:p>
          <w:p w14:paraId="6408A90F" w14:textId="77777777" w:rsidR="00F95C5D" w:rsidRPr="006128F6" w:rsidRDefault="00F95C5D" w:rsidP="006128F6">
            <w:pPr>
              <w:tabs>
                <w:tab w:val="clear" w:pos="567"/>
              </w:tabs>
              <w:spacing w:line="240" w:lineRule="auto"/>
              <w:jc w:val="center"/>
              <w:rPr>
                <w:b/>
                <w:color w:val="000000"/>
                <w:szCs w:val="22"/>
                <w:lang w:eastAsia="en-GB"/>
              </w:rPr>
            </w:pPr>
            <w:r w:rsidRPr="00CE427E">
              <w:rPr>
                <w:rFonts w:eastAsia="MS Mincho"/>
                <w:b/>
                <w:szCs w:val="22"/>
                <w:lang w:eastAsia="en-GB"/>
              </w:rPr>
              <w:t>AC</w:t>
            </w:r>
            <w:r w:rsidRPr="006128F6">
              <w:rPr>
                <w:rFonts w:eastAsia="TimesNewRomanPSMT"/>
                <w:b/>
                <w:szCs w:val="22"/>
                <w:lang w:eastAsia="en-GB"/>
              </w:rPr>
              <w:t>→</w:t>
            </w:r>
            <w:r w:rsidRPr="00CE427E">
              <w:rPr>
                <w:rFonts w:eastAsia="MS Mincho"/>
                <w:b/>
                <w:szCs w:val="22"/>
                <w:lang w:eastAsia="en-GB"/>
              </w:rPr>
              <w:t>P</w:t>
            </w:r>
          </w:p>
        </w:tc>
        <w:tc>
          <w:tcPr>
            <w:tcW w:w="1843" w:type="dxa"/>
            <w:shd w:val="clear" w:color="auto" w:fill="auto"/>
            <w:noWrap/>
          </w:tcPr>
          <w:p w14:paraId="3B4A7EE3" w14:textId="76CC297D" w:rsidR="00F95C5D" w:rsidRPr="00CE427E" w:rsidRDefault="00F95C5D" w:rsidP="006128F6">
            <w:pPr>
              <w:tabs>
                <w:tab w:val="clear" w:pos="567"/>
              </w:tabs>
              <w:autoSpaceDE w:val="0"/>
              <w:autoSpaceDN w:val="0"/>
              <w:adjustRightInd w:val="0"/>
              <w:spacing w:line="240" w:lineRule="auto"/>
              <w:jc w:val="center"/>
              <w:rPr>
                <w:rFonts w:eastAsia="MS Mincho"/>
                <w:b/>
                <w:szCs w:val="22"/>
                <w:lang w:val="fr-FR" w:eastAsia="en-GB"/>
              </w:rPr>
            </w:pPr>
            <w:r w:rsidRPr="00CE427E">
              <w:rPr>
                <w:rFonts w:eastAsia="MS Mincho"/>
                <w:b/>
                <w:szCs w:val="22"/>
                <w:lang w:val="fr-FR" w:eastAsia="en-GB"/>
              </w:rPr>
              <w:t xml:space="preserve">Hazard </w:t>
            </w:r>
            <w:r w:rsidR="00975B60">
              <w:rPr>
                <w:rFonts w:eastAsia="MS Mincho"/>
                <w:b/>
                <w:szCs w:val="22"/>
                <w:lang w:val="fr-FR" w:eastAsia="en-GB"/>
              </w:rPr>
              <w:t>r</w:t>
            </w:r>
            <w:r w:rsidRPr="00CE427E">
              <w:rPr>
                <w:rFonts w:eastAsia="MS Mincho"/>
                <w:b/>
                <w:szCs w:val="22"/>
                <w:lang w:val="fr-FR" w:eastAsia="en-GB"/>
              </w:rPr>
              <w:t>atio</w:t>
            </w:r>
          </w:p>
          <w:p w14:paraId="33F2AD85" w14:textId="77777777" w:rsidR="00F95C5D" w:rsidRPr="00CE427E" w:rsidRDefault="00F95C5D" w:rsidP="006128F6">
            <w:pPr>
              <w:tabs>
                <w:tab w:val="clear" w:pos="567"/>
              </w:tabs>
              <w:autoSpaceDE w:val="0"/>
              <w:autoSpaceDN w:val="0"/>
              <w:adjustRightInd w:val="0"/>
              <w:spacing w:line="240" w:lineRule="auto"/>
              <w:jc w:val="center"/>
              <w:rPr>
                <w:rFonts w:eastAsia="MS Mincho"/>
                <w:b/>
                <w:szCs w:val="22"/>
                <w:lang w:val="fr-FR" w:eastAsia="en-GB"/>
              </w:rPr>
            </w:pPr>
            <w:r w:rsidRPr="00CE427E">
              <w:rPr>
                <w:rFonts w:eastAsia="MS Mincho"/>
                <w:b/>
                <w:szCs w:val="22"/>
                <w:lang w:val="fr-FR" w:eastAsia="en-GB"/>
              </w:rPr>
              <w:t>versus</w:t>
            </w:r>
          </w:p>
          <w:p w14:paraId="7FF7A619" w14:textId="77777777" w:rsidR="00F95C5D" w:rsidRPr="00CE427E" w:rsidRDefault="00F95C5D" w:rsidP="006128F6">
            <w:pPr>
              <w:tabs>
                <w:tab w:val="clear" w:pos="567"/>
              </w:tabs>
              <w:autoSpaceDE w:val="0"/>
              <w:autoSpaceDN w:val="0"/>
              <w:adjustRightInd w:val="0"/>
              <w:spacing w:line="240" w:lineRule="auto"/>
              <w:jc w:val="center"/>
              <w:rPr>
                <w:rFonts w:eastAsia="MS Mincho"/>
                <w:b/>
                <w:szCs w:val="22"/>
                <w:lang w:val="fr-FR" w:eastAsia="en-GB"/>
              </w:rPr>
            </w:pPr>
            <w:r w:rsidRPr="00CE427E">
              <w:rPr>
                <w:rFonts w:eastAsia="MS Mincho"/>
                <w:b/>
                <w:szCs w:val="22"/>
                <w:lang w:val="fr-FR" w:eastAsia="en-GB"/>
              </w:rPr>
              <w:t>AC</w:t>
            </w:r>
            <w:r w:rsidRPr="00754BDD">
              <w:rPr>
                <w:rFonts w:eastAsia="TimesNewRomanPSMT"/>
                <w:b/>
                <w:szCs w:val="22"/>
                <w:lang w:val="fr-FR" w:eastAsia="en-GB"/>
              </w:rPr>
              <w:t>→</w:t>
            </w:r>
            <w:r w:rsidRPr="00CE427E">
              <w:rPr>
                <w:rFonts w:eastAsia="MS Mincho"/>
                <w:b/>
                <w:szCs w:val="22"/>
                <w:lang w:val="fr-FR" w:eastAsia="en-GB"/>
              </w:rPr>
              <w:t>P</w:t>
            </w:r>
          </w:p>
          <w:p w14:paraId="5AAC04AB" w14:textId="77777777" w:rsidR="00F95C5D" w:rsidRPr="00754BDD" w:rsidRDefault="00F95C5D" w:rsidP="006128F6">
            <w:pPr>
              <w:tabs>
                <w:tab w:val="clear" w:pos="567"/>
              </w:tabs>
              <w:spacing w:line="240" w:lineRule="auto"/>
              <w:jc w:val="center"/>
              <w:rPr>
                <w:b/>
                <w:color w:val="000000"/>
                <w:szCs w:val="22"/>
                <w:lang w:val="fr-FR" w:eastAsia="en-GB"/>
              </w:rPr>
            </w:pPr>
            <w:r w:rsidRPr="00CE427E">
              <w:rPr>
                <w:rFonts w:eastAsia="MS Mincho"/>
                <w:b/>
                <w:szCs w:val="22"/>
                <w:lang w:val="fr-FR" w:eastAsia="en-GB"/>
              </w:rPr>
              <w:t>(95% CI)</w:t>
            </w:r>
          </w:p>
        </w:tc>
      </w:tr>
      <w:tr w:rsidR="00F95C5D" w:rsidRPr="006128F6" w14:paraId="4A889C02" w14:textId="77777777" w:rsidTr="00004652">
        <w:trPr>
          <w:trHeight w:val="300"/>
        </w:trPr>
        <w:tc>
          <w:tcPr>
            <w:tcW w:w="2765" w:type="dxa"/>
            <w:shd w:val="clear" w:color="auto" w:fill="auto"/>
            <w:noWrap/>
          </w:tcPr>
          <w:p w14:paraId="598F4EC3" w14:textId="77777777" w:rsidR="00F95C5D" w:rsidRPr="00CE427E" w:rsidRDefault="00F95C5D" w:rsidP="006128F6">
            <w:pPr>
              <w:tabs>
                <w:tab w:val="clear" w:pos="567"/>
              </w:tabs>
              <w:autoSpaceDE w:val="0"/>
              <w:autoSpaceDN w:val="0"/>
              <w:adjustRightInd w:val="0"/>
              <w:spacing w:line="240" w:lineRule="auto"/>
              <w:rPr>
                <w:rFonts w:eastAsia="MS Mincho"/>
                <w:szCs w:val="22"/>
                <w:lang w:eastAsia="en-GB"/>
              </w:rPr>
            </w:pPr>
            <w:r w:rsidRPr="00CE427E">
              <w:rPr>
                <w:rFonts w:eastAsia="MS Mincho"/>
                <w:szCs w:val="22"/>
                <w:lang w:eastAsia="en-GB"/>
              </w:rPr>
              <w:t>Death (OS event):</w:t>
            </w:r>
          </w:p>
          <w:p w14:paraId="69CD7EB5" w14:textId="77777777" w:rsidR="00F95C5D" w:rsidRPr="006128F6" w:rsidRDefault="00F95C5D" w:rsidP="006128F6">
            <w:pPr>
              <w:tabs>
                <w:tab w:val="clear" w:pos="567"/>
              </w:tabs>
              <w:spacing w:line="240" w:lineRule="auto"/>
              <w:rPr>
                <w:color w:val="000000"/>
                <w:szCs w:val="22"/>
                <w:lang w:eastAsia="en-GB"/>
              </w:rPr>
            </w:pPr>
            <w:r w:rsidRPr="00CE427E">
              <w:rPr>
                <w:rFonts w:eastAsia="MS Mincho"/>
                <w:szCs w:val="22"/>
                <w:lang w:eastAsia="en-GB"/>
              </w:rPr>
              <w:t>No. patients with event (%)</w:t>
            </w:r>
          </w:p>
        </w:tc>
        <w:tc>
          <w:tcPr>
            <w:tcW w:w="1503" w:type="dxa"/>
            <w:shd w:val="clear" w:color="auto" w:fill="auto"/>
            <w:noWrap/>
          </w:tcPr>
          <w:p w14:paraId="0B82C6DD" w14:textId="77777777" w:rsidR="00004652" w:rsidRPr="006128F6" w:rsidRDefault="00004652" w:rsidP="006128F6">
            <w:pPr>
              <w:tabs>
                <w:tab w:val="clear" w:pos="567"/>
              </w:tabs>
              <w:spacing w:line="240" w:lineRule="auto"/>
              <w:jc w:val="center"/>
            </w:pPr>
          </w:p>
          <w:p w14:paraId="3313CF59" w14:textId="011DD8AE" w:rsidR="00F95C5D" w:rsidRPr="006128F6" w:rsidRDefault="00F95C5D" w:rsidP="006128F6">
            <w:pPr>
              <w:tabs>
                <w:tab w:val="clear" w:pos="567"/>
              </w:tabs>
              <w:spacing w:line="240" w:lineRule="auto"/>
              <w:jc w:val="center"/>
              <w:rPr>
                <w:color w:val="000000"/>
                <w:szCs w:val="22"/>
                <w:lang w:eastAsia="en-GB"/>
              </w:rPr>
            </w:pPr>
            <w:r w:rsidRPr="006128F6">
              <w:t>418 (20.6</w:t>
            </w:r>
            <w:r w:rsidR="000840CF" w:rsidRPr="006128F6">
              <w:t>%</w:t>
            </w:r>
            <w:r w:rsidRPr="006128F6">
              <w:t>)</w:t>
            </w:r>
          </w:p>
        </w:tc>
        <w:tc>
          <w:tcPr>
            <w:tcW w:w="1417" w:type="dxa"/>
          </w:tcPr>
          <w:p w14:paraId="1A06529D" w14:textId="77777777" w:rsidR="00004652" w:rsidRPr="006128F6" w:rsidRDefault="00004652" w:rsidP="006128F6">
            <w:pPr>
              <w:tabs>
                <w:tab w:val="clear" w:pos="567"/>
              </w:tabs>
              <w:spacing w:line="240" w:lineRule="auto"/>
              <w:jc w:val="center"/>
            </w:pPr>
          </w:p>
          <w:p w14:paraId="7F9C1D3C" w14:textId="48710FAA" w:rsidR="00F95C5D" w:rsidRPr="006128F6" w:rsidRDefault="00F95C5D" w:rsidP="006128F6">
            <w:pPr>
              <w:tabs>
                <w:tab w:val="clear" w:pos="567"/>
              </w:tabs>
              <w:spacing w:line="240" w:lineRule="auto"/>
              <w:jc w:val="center"/>
              <w:rPr>
                <w:color w:val="000000"/>
                <w:szCs w:val="22"/>
                <w:lang w:eastAsia="en-GB"/>
              </w:rPr>
            </w:pPr>
            <w:r w:rsidRPr="006128F6">
              <w:t>289 (14.2</w:t>
            </w:r>
            <w:r w:rsidR="000840CF" w:rsidRPr="006128F6">
              <w:t>%</w:t>
            </w:r>
            <w:r w:rsidRPr="006128F6">
              <w:t>)</w:t>
            </w:r>
          </w:p>
        </w:tc>
        <w:tc>
          <w:tcPr>
            <w:tcW w:w="1418" w:type="dxa"/>
            <w:shd w:val="clear" w:color="auto" w:fill="auto"/>
            <w:noWrap/>
          </w:tcPr>
          <w:p w14:paraId="231A7C96" w14:textId="77777777" w:rsidR="00004652" w:rsidRPr="006128F6" w:rsidRDefault="00004652" w:rsidP="006128F6">
            <w:pPr>
              <w:tabs>
                <w:tab w:val="clear" w:pos="567"/>
              </w:tabs>
              <w:spacing w:line="240" w:lineRule="auto"/>
              <w:jc w:val="center"/>
            </w:pPr>
          </w:p>
          <w:p w14:paraId="4A2A4EA6" w14:textId="77777777" w:rsidR="00F95C5D" w:rsidRPr="006128F6" w:rsidRDefault="00F95C5D" w:rsidP="006128F6">
            <w:pPr>
              <w:tabs>
                <w:tab w:val="clear" w:pos="567"/>
              </w:tabs>
              <w:spacing w:line="240" w:lineRule="auto"/>
              <w:jc w:val="center"/>
              <w:rPr>
                <w:color w:val="000000"/>
                <w:szCs w:val="22"/>
                <w:lang w:eastAsia="en-GB"/>
              </w:rPr>
            </w:pPr>
            <w:r w:rsidRPr="006128F6">
              <w:t>&lt; 0.0001</w:t>
            </w:r>
          </w:p>
        </w:tc>
        <w:tc>
          <w:tcPr>
            <w:tcW w:w="1843" w:type="dxa"/>
            <w:shd w:val="clear" w:color="auto" w:fill="auto"/>
            <w:noWrap/>
          </w:tcPr>
          <w:p w14:paraId="54180D12" w14:textId="77777777" w:rsidR="00004652" w:rsidRPr="00CE427E" w:rsidRDefault="00004652" w:rsidP="006128F6">
            <w:pPr>
              <w:tabs>
                <w:tab w:val="clear" w:pos="567"/>
              </w:tabs>
              <w:autoSpaceDE w:val="0"/>
              <w:autoSpaceDN w:val="0"/>
              <w:adjustRightInd w:val="0"/>
              <w:spacing w:line="240" w:lineRule="auto"/>
              <w:jc w:val="center"/>
              <w:rPr>
                <w:rFonts w:eastAsia="MS Mincho"/>
                <w:szCs w:val="22"/>
                <w:lang w:eastAsia="en-GB"/>
              </w:rPr>
            </w:pPr>
          </w:p>
          <w:p w14:paraId="39BA526B" w14:textId="77777777" w:rsidR="00F95C5D" w:rsidRPr="00CE427E" w:rsidRDefault="00F95C5D" w:rsidP="006128F6">
            <w:pPr>
              <w:tabs>
                <w:tab w:val="clear" w:pos="567"/>
              </w:tabs>
              <w:autoSpaceDE w:val="0"/>
              <w:autoSpaceDN w:val="0"/>
              <w:adjustRightInd w:val="0"/>
              <w:spacing w:line="240" w:lineRule="auto"/>
              <w:jc w:val="center"/>
              <w:rPr>
                <w:rFonts w:eastAsia="MS Mincho"/>
                <w:szCs w:val="22"/>
                <w:lang w:eastAsia="en-GB"/>
              </w:rPr>
            </w:pPr>
            <w:r w:rsidRPr="00CE427E">
              <w:rPr>
                <w:rFonts w:eastAsia="MS Mincho"/>
                <w:szCs w:val="22"/>
                <w:lang w:eastAsia="en-GB"/>
              </w:rPr>
              <w:t>0.64</w:t>
            </w:r>
          </w:p>
          <w:p w14:paraId="3BF89568" w14:textId="77777777" w:rsidR="00F95C5D" w:rsidRPr="006128F6" w:rsidRDefault="00F95C5D" w:rsidP="006128F6">
            <w:pPr>
              <w:tabs>
                <w:tab w:val="clear" w:pos="567"/>
              </w:tabs>
              <w:spacing w:line="240" w:lineRule="auto"/>
              <w:jc w:val="center"/>
              <w:rPr>
                <w:color w:val="000000"/>
                <w:szCs w:val="22"/>
                <w:lang w:eastAsia="en-GB"/>
              </w:rPr>
            </w:pPr>
            <w:r w:rsidRPr="00CE427E">
              <w:rPr>
                <w:rFonts w:eastAsia="MS Mincho"/>
                <w:szCs w:val="22"/>
                <w:lang w:eastAsia="en-GB"/>
              </w:rPr>
              <w:t>(0.55, 0.74)</w:t>
            </w:r>
          </w:p>
        </w:tc>
      </w:tr>
    </w:tbl>
    <w:p w14:paraId="75D5E1C6" w14:textId="77777777" w:rsidR="00625BA9" w:rsidRPr="00CE427E" w:rsidRDefault="00625BA9" w:rsidP="006128F6">
      <w:pPr>
        <w:tabs>
          <w:tab w:val="clear" w:pos="567"/>
        </w:tabs>
        <w:autoSpaceDE w:val="0"/>
        <w:autoSpaceDN w:val="0"/>
        <w:adjustRightInd w:val="0"/>
        <w:spacing w:line="240" w:lineRule="auto"/>
        <w:rPr>
          <w:rFonts w:eastAsia="Calibri"/>
          <w:sz w:val="20"/>
        </w:rPr>
      </w:pPr>
      <w:r w:rsidRPr="00CE427E">
        <w:rPr>
          <w:rFonts w:eastAsia="Calibri"/>
          <w:sz w:val="20"/>
        </w:rPr>
        <w:t>A: doxorubicin; C: cyclophosphamide; P: paclitaxel; H: trastuzumab</w:t>
      </w:r>
    </w:p>
    <w:p w14:paraId="29435C19" w14:textId="77777777" w:rsidR="00625BA9" w:rsidRPr="00CE427E" w:rsidRDefault="00625BA9" w:rsidP="006128F6">
      <w:pPr>
        <w:tabs>
          <w:tab w:val="clear" w:pos="567"/>
        </w:tabs>
        <w:autoSpaceDE w:val="0"/>
        <w:autoSpaceDN w:val="0"/>
        <w:adjustRightInd w:val="0"/>
        <w:spacing w:line="240" w:lineRule="auto"/>
        <w:rPr>
          <w:rFonts w:eastAsia="Calibri"/>
          <w:szCs w:val="22"/>
        </w:rPr>
      </w:pPr>
    </w:p>
    <w:p w14:paraId="1830E59B" w14:textId="50E91EBB" w:rsidR="00625BA9" w:rsidRPr="00CE427E" w:rsidRDefault="00625BA9" w:rsidP="006128F6">
      <w:pPr>
        <w:tabs>
          <w:tab w:val="clear" w:pos="567"/>
        </w:tabs>
        <w:autoSpaceDE w:val="0"/>
        <w:autoSpaceDN w:val="0"/>
        <w:adjustRightInd w:val="0"/>
        <w:spacing w:line="240" w:lineRule="auto"/>
        <w:rPr>
          <w:rFonts w:eastAsia="Calibri"/>
          <w:szCs w:val="22"/>
        </w:rPr>
      </w:pPr>
      <w:r w:rsidRPr="00CE427E">
        <w:rPr>
          <w:rFonts w:eastAsia="Calibri"/>
          <w:szCs w:val="22"/>
        </w:rPr>
        <w:t>DFS analysis was also performed at the final analysis of OS from the joint analysis of studies NSABP B-31 and NCCTG N9831. The updated DFS analysis results (stratified HR = 0.61; 95</w:t>
      </w:r>
      <w:r w:rsidR="000840CF" w:rsidRPr="00CE427E">
        <w:rPr>
          <w:rFonts w:eastAsia="Calibri"/>
          <w:szCs w:val="22"/>
        </w:rPr>
        <w:t>%</w:t>
      </w:r>
      <w:r w:rsidRPr="00CE427E">
        <w:rPr>
          <w:rFonts w:eastAsia="Calibri"/>
          <w:szCs w:val="22"/>
        </w:rPr>
        <w:t xml:space="preserve"> CI [0.54, 0.69]) showed a similar DFS benefit compared to the definitive primary DFS analysis, despite 24.8</w:t>
      </w:r>
      <w:r w:rsidR="000840CF" w:rsidRPr="00CE427E">
        <w:rPr>
          <w:rFonts w:eastAsia="Calibri"/>
          <w:szCs w:val="22"/>
        </w:rPr>
        <w:t>%</w:t>
      </w:r>
      <w:r w:rsidRPr="00CE427E">
        <w:rPr>
          <w:rFonts w:eastAsia="Calibri"/>
          <w:szCs w:val="22"/>
        </w:rPr>
        <w:t xml:space="preserve"> patients in the AC</w:t>
      </w:r>
      <w:r w:rsidRPr="006128F6">
        <w:rPr>
          <w:rFonts w:eastAsia="TimesNewRomanPSMT"/>
          <w:szCs w:val="22"/>
        </w:rPr>
        <w:t>→</w:t>
      </w:r>
      <w:r w:rsidRPr="00CE427E">
        <w:rPr>
          <w:rFonts w:eastAsia="Calibri"/>
          <w:szCs w:val="22"/>
        </w:rPr>
        <w:t xml:space="preserve">P arm who crossed over to receive </w:t>
      </w:r>
      <w:r w:rsidR="004F3E6A" w:rsidRPr="00CE427E">
        <w:rPr>
          <w:rFonts w:eastAsia="Calibri"/>
          <w:szCs w:val="22"/>
        </w:rPr>
        <w:t>trastuzumab</w:t>
      </w:r>
      <w:r w:rsidRPr="00CE427E">
        <w:rPr>
          <w:rFonts w:eastAsia="Calibri"/>
          <w:szCs w:val="22"/>
        </w:rPr>
        <w:t>. At 8 years, the disease</w:t>
      </w:r>
      <w:r w:rsidRPr="00CE427E">
        <w:rPr>
          <w:rFonts w:eastAsia="Calibri"/>
          <w:szCs w:val="22"/>
        </w:rPr>
        <w:noBreakHyphen/>
        <w:t>free survival rate was estimated to be 77.2</w:t>
      </w:r>
      <w:r w:rsidR="000840CF" w:rsidRPr="00CE427E">
        <w:rPr>
          <w:rFonts w:eastAsia="Calibri"/>
          <w:szCs w:val="22"/>
        </w:rPr>
        <w:t>%</w:t>
      </w:r>
      <w:r w:rsidRPr="00CE427E">
        <w:rPr>
          <w:rFonts w:eastAsia="Calibri"/>
          <w:szCs w:val="22"/>
        </w:rPr>
        <w:t xml:space="preserve"> (95</w:t>
      </w:r>
      <w:r w:rsidR="000840CF" w:rsidRPr="00CE427E">
        <w:rPr>
          <w:rFonts w:eastAsia="Calibri"/>
          <w:szCs w:val="22"/>
        </w:rPr>
        <w:t>%</w:t>
      </w:r>
      <w:r w:rsidRPr="00CE427E">
        <w:rPr>
          <w:rFonts w:eastAsia="Calibri"/>
          <w:szCs w:val="22"/>
        </w:rPr>
        <w:t xml:space="preserve"> CI: 75.4, 79.1) in the AC</w:t>
      </w:r>
      <w:r w:rsidRPr="006128F6">
        <w:rPr>
          <w:rFonts w:eastAsia="TimesNewRomanPSMT"/>
          <w:szCs w:val="22"/>
        </w:rPr>
        <w:t>→</w:t>
      </w:r>
      <w:r w:rsidR="00223279" w:rsidRPr="00CE427E">
        <w:rPr>
          <w:rFonts w:eastAsia="Calibri"/>
          <w:szCs w:val="22"/>
        </w:rPr>
        <w:t xml:space="preserve">PH arm, an absolute benefit </w:t>
      </w:r>
      <w:r w:rsidRPr="00CE427E">
        <w:rPr>
          <w:rFonts w:eastAsia="Calibri"/>
          <w:szCs w:val="22"/>
        </w:rPr>
        <w:t>of 11.8</w:t>
      </w:r>
      <w:r w:rsidR="000840CF" w:rsidRPr="00CE427E">
        <w:rPr>
          <w:rFonts w:eastAsia="Calibri"/>
          <w:szCs w:val="22"/>
        </w:rPr>
        <w:t>%</w:t>
      </w:r>
      <w:r w:rsidRPr="00CE427E">
        <w:rPr>
          <w:rFonts w:eastAsia="Calibri"/>
          <w:szCs w:val="22"/>
        </w:rPr>
        <w:t xml:space="preserve"> compared with the AC</w:t>
      </w:r>
      <w:r w:rsidRPr="006128F6">
        <w:rPr>
          <w:rFonts w:eastAsia="TimesNewRomanPSMT"/>
          <w:szCs w:val="22"/>
        </w:rPr>
        <w:t>→</w:t>
      </w:r>
      <w:r w:rsidRPr="00CE427E">
        <w:rPr>
          <w:rFonts w:eastAsia="Calibri"/>
          <w:szCs w:val="22"/>
        </w:rPr>
        <w:t>P arm.</w:t>
      </w:r>
    </w:p>
    <w:p w14:paraId="26E51977" w14:textId="77777777" w:rsidR="00625BA9" w:rsidRPr="00CE427E" w:rsidRDefault="00625BA9" w:rsidP="006128F6">
      <w:pPr>
        <w:tabs>
          <w:tab w:val="clear" w:pos="567"/>
        </w:tabs>
        <w:autoSpaceDE w:val="0"/>
        <w:autoSpaceDN w:val="0"/>
        <w:adjustRightInd w:val="0"/>
        <w:spacing w:line="240" w:lineRule="auto"/>
        <w:rPr>
          <w:rFonts w:eastAsia="Calibri"/>
          <w:szCs w:val="22"/>
        </w:rPr>
      </w:pPr>
    </w:p>
    <w:p w14:paraId="3E0EBFE0" w14:textId="67B36706" w:rsidR="00625BA9" w:rsidRPr="00CE427E" w:rsidRDefault="00625BA9" w:rsidP="006128F6">
      <w:pPr>
        <w:tabs>
          <w:tab w:val="clear" w:pos="567"/>
        </w:tabs>
        <w:autoSpaceDE w:val="0"/>
        <w:autoSpaceDN w:val="0"/>
        <w:adjustRightInd w:val="0"/>
        <w:spacing w:line="240" w:lineRule="auto"/>
        <w:rPr>
          <w:rFonts w:eastAsia="Calibri"/>
          <w:szCs w:val="22"/>
        </w:rPr>
      </w:pPr>
      <w:r w:rsidRPr="00CE427E">
        <w:rPr>
          <w:rFonts w:eastAsia="Calibri"/>
          <w:szCs w:val="22"/>
        </w:rPr>
        <w:t xml:space="preserve">In the BCIRG 006 study </w:t>
      </w:r>
      <w:r w:rsidR="004F3E6A" w:rsidRPr="00CE427E">
        <w:rPr>
          <w:rFonts w:eastAsia="Calibri"/>
          <w:szCs w:val="22"/>
        </w:rPr>
        <w:t>trastuzumab</w:t>
      </w:r>
      <w:r w:rsidRPr="00CE427E">
        <w:rPr>
          <w:rFonts w:eastAsia="Calibri"/>
          <w:szCs w:val="22"/>
        </w:rPr>
        <w:t xml:space="preserve"> was administered either in combination with docetaxel, following AC chemotherapy (AC</w:t>
      </w:r>
      <w:r w:rsidRPr="006128F6">
        <w:rPr>
          <w:rFonts w:eastAsia="TimesNewRomanPSMT"/>
          <w:szCs w:val="22"/>
        </w:rPr>
        <w:t>→</w:t>
      </w:r>
      <w:r w:rsidRPr="00CE427E">
        <w:rPr>
          <w:rFonts w:eastAsia="Calibri"/>
          <w:szCs w:val="22"/>
        </w:rPr>
        <w:t>DH) or in combination with docetaxel and carboplatin (DCarbH).</w:t>
      </w:r>
    </w:p>
    <w:p w14:paraId="56E3BF74" w14:textId="77777777" w:rsidR="00625BA9" w:rsidRPr="00CE427E" w:rsidRDefault="00625BA9" w:rsidP="006128F6">
      <w:pPr>
        <w:tabs>
          <w:tab w:val="clear" w:pos="567"/>
        </w:tabs>
        <w:autoSpaceDE w:val="0"/>
        <w:autoSpaceDN w:val="0"/>
        <w:adjustRightInd w:val="0"/>
        <w:spacing w:line="240" w:lineRule="auto"/>
        <w:rPr>
          <w:rFonts w:eastAsia="Calibri"/>
          <w:szCs w:val="22"/>
        </w:rPr>
      </w:pPr>
    </w:p>
    <w:p w14:paraId="7A349F20" w14:textId="77777777" w:rsidR="00625BA9" w:rsidRPr="00CE427E" w:rsidRDefault="00625BA9" w:rsidP="006128F6">
      <w:pPr>
        <w:tabs>
          <w:tab w:val="clear" w:pos="567"/>
        </w:tabs>
        <w:autoSpaceDE w:val="0"/>
        <w:autoSpaceDN w:val="0"/>
        <w:adjustRightInd w:val="0"/>
        <w:spacing w:line="240" w:lineRule="auto"/>
        <w:rPr>
          <w:rFonts w:eastAsia="Calibri"/>
          <w:szCs w:val="22"/>
        </w:rPr>
      </w:pPr>
      <w:r w:rsidRPr="00CE427E">
        <w:rPr>
          <w:rFonts w:eastAsia="Calibri"/>
          <w:szCs w:val="22"/>
        </w:rPr>
        <w:t>Docetaxel was administered as follows:</w:t>
      </w:r>
    </w:p>
    <w:p w14:paraId="4FC99499" w14:textId="77777777" w:rsidR="00E57B11" w:rsidRPr="00CE427E" w:rsidRDefault="00E57B11" w:rsidP="006128F6">
      <w:pPr>
        <w:tabs>
          <w:tab w:val="clear" w:pos="567"/>
        </w:tabs>
        <w:autoSpaceDE w:val="0"/>
        <w:autoSpaceDN w:val="0"/>
        <w:adjustRightInd w:val="0"/>
        <w:spacing w:line="240" w:lineRule="auto"/>
        <w:rPr>
          <w:rFonts w:eastAsia="Calibri"/>
          <w:szCs w:val="22"/>
        </w:rPr>
      </w:pPr>
    </w:p>
    <w:p w14:paraId="035682BC" w14:textId="77777777" w:rsidR="00625BA9" w:rsidRPr="00CE427E" w:rsidRDefault="00625BA9" w:rsidP="006128F6">
      <w:pPr>
        <w:pStyle w:val="ListParagraph"/>
        <w:numPr>
          <w:ilvl w:val="0"/>
          <w:numId w:val="16"/>
        </w:numPr>
        <w:tabs>
          <w:tab w:val="clear" w:pos="567"/>
        </w:tabs>
        <w:autoSpaceDE w:val="0"/>
        <w:autoSpaceDN w:val="0"/>
        <w:adjustRightInd w:val="0"/>
        <w:spacing w:line="240" w:lineRule="auto"/>
        <w:ind w:left="567" w:hanging="567"/>
        <w:rPr>
          <w:rFonts w:eastAsia="Calibri"/>
          <w:szCs w:val="22"/>
        </w:rPr>
      </w:pPr>
      <w:r w:rsidRPr="00CE427E">
        <w:rPr>
          <w:rFonts w:eastAsia="Calibri"/>
          <w:szCs w:val="22"/>
        </w:rPr>
        <w:t>intravenous docetaxel – 100 mg/m</w:t>
      </w:r>
      <w:r w:rsidRPr="00CE427E">
        <w:rPr>
          <w:rFonts w:eastAsia="Calibri"/>
          <w:szCs w:val="22"/>
          <w:vertAlign w:val="superscript"/>
        </w:rPr>
        <w:t>2</w:t>
      </w:r>
      <w:r w:rsidRPr="00CE427E">
        <w:rPr>
          <w:rFonts w:eastAsia="Calibri"/>
          <w:szCs w:val="22"/>
        </w:rPr>
        <w:t xml:space="preserve"> as</w:t>
      </w:r>
      <w:r w:rsidR="00D0629E" w:rsidRPr="00CE427E">
        <w:rPr>
          <w:rFonts w:eastAsia="Calibri"/>
          <w:szCs w:val="22"/>
        </w:rPr>
        <w:t xml:space="preserve"> an intravenous infusion over 1 </w:t>
      </w:r>
      <w:r w:rsidRPr="00CE427E">
        <w:rPr>
          <w:rFonts w:eastAsia="Calibri"/>
          <w:szCs w:val="22"/>
        </w:rPr>
        <w:t>hour, given every 3 weeks for 4 cycles (day 2 of first docetaxel cycle, then day 1 of each subsequent cycle)</w:t>
      </w:r>
    </w:p>
    <w:p w14:paraId="28E20EE9" w14:textId="77777777" w:rsidR="00625BA9" w:rsidRPr="00CE427E" w:rsidRDefault="00625BA9" w:rsidP="006128F6">
      <w:pPr>
        <w:tabs>
          <w:tab w:val="clear" w:pos="567"/>
        </w:tabs>
        <w:autoSpaceDE w:val="0"/>
        <w:autoSpaceDN w:val="0"/>
        <w:adjustRightInd w:val="0"/>
        <w:spacing w:line="240" w:lineRule="auto"/>
        <w:rPr>
          <w:rFonts w:eastAsia="Calibri"/>
          <w:szCs w:val="22"/>
        </w:rPr>
      </w:pPr>
      <w:r w:rsidRPr="00CE427E">
        <w:rPr>
          <w:rFonts w:eastAsia="Calibri"/>
          <w:szCs w:val="22"/>
        </w:rPr>
        <w:t>or</w:t>
      </w:r>
    </w:p>
    <w:p w14:paraId="0362C55C" w14:textId="77777777" w:rsidR="00625BA9" w:rsidRPr="00CE427E" w:rsidRDefault="00625BA9" w:rsidP="006128F6">
      <w:pPr>
        <w:pStyle w:val="ListParagraph"/>
        <w:numPr>
          <w:ilvl w:val="0"/>
          <w:numId w:val="16"/>
        </w:numPr>
        <w:tabs>
          <w:tab w:val="clear" w:pos="567"/>
        </w:tabs>
        <w:autoSpaceDE w:val="0"/>
        <w:autoSpaceDN w:val="0"/>
        <w:adjustRightInd w:val="0"/>
        <w:spacing w:line="240" w:lineRule="auto"/>
        <w:ind w:left="567" w:hanging="567"/>
        <w:rPr>
          <w:rFonts w:eastAsia="Calibri"/>
          <w:szCs w:val="22"/>
        </w:rPr>
      </w:pPr>
      <w:r w:rsidRPr="00CE427E">
        <w:rPr>
          <w:rFonts w:eastAsia="Calibri"/>
          <w:szCs w:val="22"/>
        </w:rPr>
        <w:t>intravenous docetaxel – 75 mg/m</w:t>
      </w:r>
      <w:r w:rsidRPr="00CE427E">
        <w:rPr>
          <w:rFonts w:eastAsia="Calibri"/>
          <w:szCs w:val="22"/>
          <w:vertAlign w:val="superscript"/>
        </w:rPr>
        <w:t>2</w:t>
      </w:r>
      <w:r w:rsidRPr="00CE427E">
        <w:rPr>
          <w:rFonts w:eastAsia="Calibri"/>
          <w:szCs w:val="22"/>
        </w:rPr>
        <w:t xml:space="preserve"> as an intravenous infusion over 1</w:t>
      </w:r>
      <w:r w:rsidR="00D0629E" w:rsidRPr="00CE427E">
        <w:rPr>
          <w:rFonts w:eastAsia="Calibri"/>
          <w:szCs w:val="22"/>
        </w:rPr>
        <w:t> </w:t>
      </w:r>
      <w:r w:rsidRPr="00CE427E">
        <w:rPr>
          <w:rFonts w:eastAsia="Calibri"/>
          <w:szCs w:val="22"/>
        </w:rPr>
        <w:t xml:space="preserve">hour, given every </w:t>
      </w:r>
      <w:r w:rsidR="00D0629E" w:rsidRPr="00CE427E">
        <w:rPr>
          <w:rFonts w:eastAsia="Calibri"/>
          <w:szCs w:val="22"/>
        </w:rPr>
        <w:t>3</w:t>
      </w:r>
      <w:r w:rsidRPr="00CE427E">
        <w:rPr>
          <w:rFonts w:eastAsia="Calibri"/>
          <w:szCs w:val="22"/>
        </w:rPr>
        <w:t> weeks for 6 cycles (day 2 of cycle 1, then day 1 of each subsequent cycle)</w:t>
      </w:r>
    </w:p>
    <w:p w14:paraId="7F39FD2F" w14:textId="77777777" w:rsidR="00625BA9" w:rsidRPr="00CE427E" w:rsidRDefault="00625BA9" w:rsidP="006128F6">
      <w:pPr>
        <w:tabs>
          <w:tab w:val="clear" w:pos="567"/>
        </w:tabs>
        <w:autoSpaceDE w:val="0"/>
        <w:autoSpaceDN w:val="0"/>
        <w:adjustRightInd w:val="0"/>
        <w:spacing w:line="240" w:lineRule="auto"/>
        <w:rPr>
          <w:rFonts w:eastAsia="Calibri"/>
          <w:szCs w:val="22"/>
        </w:rPr>
      </w:pPr>
      <w:r w:rsidRPr="00CE427E">
        <w:rPr>
          <w:rFonts w:eastAsia="Calibri"/>
          <w:szCs w:val="22"/>
        </w:rPr>
        <w:t>which was followed by:</w:t>
      </w:r>
    </w:p>
    <w:p w14:paraId="6EB2FF10" w14:textId="54206002" w:rsidR="00625BA9" w:rsidRPr="00CE427E" w:rsidRDefault="00625BA9" w:rsidP="006128F6">
      <w:pPr>
        <w:pStyle w:val="ListParagraph"/>
        <w:numPr>
          <w:ilvl w:val="0"/>
          <w:numId w:val="16"/>
        </w:numPr>
        <w:tabs>
          <w:tab w:val="clear" w:pos="567"/>
        </w:tabs>
        <w:autoSpaceDE w:val="0"/>
        <w:autoSpaceDN w:val="0"/>
        <w:adjustRightInd w:val="0"/>
        <w:spacing w:line="240" w:lineRule="auto"/>
        <w:ind w:left="567" w:hanging="567"/>
        <w:rPr>
          <w:rFonts w:eastAsia="Calibri"/>
          <w:szCs w:val="22"/>
        </w:rPr>
      </w:pPr>
      <w:r w:rsidRPr="00CE427E">
        <w:rPr>
          <w:rFonts w:eastAsia="Calibri"/>
          <w:szCs w:val="22"/>
        </w:rPr>
        <w:t>carboplatin – at target AU</w:t>
      </w:r>
      <w:r w:rsidR="00D0629E" w:rsidRPr="00CE427E">
        <w:rPr>
          <w:rFonts w:eastAsia="Calibri"/>
          <w:szCs w:val="22"/>
        </w:rPr>
        <w:t>C</w:t>
      </w:r>
      <w:r w:rsidRPr="00CE427E">
        <w:rPr>
          <w:rFonts w:eastAsia="Calibri"/>
          <w:szCs w:val="22"/>
        </w:rPr>
        <w:t> = 6 mg/mL/min administered by intravenous infusion over 30</w:t>
      </w:r>
      <w:r w:rsidRPr="00CE427E">
        <w:rPr>
          <w:rFonts w:eastAsia="Calibri"/>
          <w:szCs w:val="22"/>
        </w:rPr>
        <w:noBreakHyphen/>
        <w:t>60 minutes repeated every 3 weeks for a total of six cycles</w:t>
      </w:r>
    </w:p>
    <w:p w14:paraId="63F006EA" w14:textId="77777777" w:rsidR="00625BA9" w:rsidRPr="00CE427E" w:rsidRDefault="00625BA9" w:rsidP="006128F6">
      <w:pPr>
        <w:tabs>
          <w:tab w:val="clear" w:pos="567"/>
        </w:tabs>
        <w:autoSpaceDE w:val="0"/>
        <w:autoSpaceDN w:val="0"/>
        <w:adjustRightInd w:val="0"/>
        <w:spacing w:line="240" w:lineRule="auto"/>
        <w:rPr>
          <w:rFonts w:eastAsia="Calibri"/>
          <w:szCs w:val="22"/>
        </w:rPr>
      </w:pPr>
    </w:p>
    <w:p w14:paraId="0A4633D3" w14:textId="79100E21" w:rsidR="00625BA9" w:rsidRPr="00CE427E" w:rsidRDefault="005613F7" w:rsidP="006128F6">
      <w:pPr>
        <w:tabs>
          <w:tab w:val="clear" w:pos="567"/>
        </w:tabs>
        <w:autoSpaceDE w:val="0"/>
        <w:autoSpaceDN w:val="0"/>
        <w:adjustRightInd w:val="0"/>
        <w:spacing w:line="240" w:lineRule="auto"/>
        <w:rPr>
          <w:rFonts w:eastAsia="Calibri"/>
          <w:szCs w:val="22"/>
        </w:rPr>
      </w:pPr>
      <w:r w:rsidRPr="00CE427E">
        <w:rPr>
          <w:rFonts w:eastAsia="Calibri"/>
          <w:szCs w:val="22"/>
        </w:rPr>
        <w:t>T</w:t>
      </w:r>
      <w:r w:rsidR="0093307D" w:rsidRPr="00CE427E">
        <w:rPr>
          <w:rFonts w:eastAsia="Calibri"/>
          <w:szCs w:val="22"/>
        </w:rPr>
        <w:t>rastuzumab</w:t>
      </w:r>
      <w:r w:rsidR="00625BA9" w:rsidRPr="00CE427E">
        <w:rPr>
          <w:rFonts w:eastAsia="Calibri"/>
          <w:szCs w:val="22"/>
        </w:rPr>
        <w:t xml:space="preserve"> was administered weekly with chemotherapy and 3</w:t>
      </w:r>
      <w:r w:rsidR="00211448" w:rsidRPr="00CE427E">
        <w:rPr>
          <w:rFonts w:eastAsia="Calibri"/>
          <w:szCs w:val="22"/>
        </w:rPr>
        <w:t>-</w:t>
      </w:r>
      <w:r w:rsidR="00625BA9" w:rsidRPr="00CE427E">
        <w:rPr>
          <w:rFonts w:eastAsia="Calibri"/>
          <w:szCs w:val="22"/>
        </w:rPr>
        <w:t>week</w:t>
      </w:r>
      <w:r w:rsidR="00D0629E" w:rsidRPr="00CE427E">
        <w:rPr>
          <w:rFonts w:eastAsia="Calibri"/>
          <w:szCs w:val="22"/>
        </w:rPr>
        <w:t>ly thereafter for a total of 52 </w:t>
      </w:r>
      <w:r w:rsidR="00625BA9" w:rsidRPr="00CE427E">
        <w:rPr>
          <w:rFonts w:eastAsia="Calibri"/>
          <w:szCs w:val="22"/>
        </w:rPr>
        <w:t>weeks.</w:t>
      </w:r>
    </w:p>
    <w:p w14:paraId="423EDFF2" w14:textId="77777777" w:rsidR="00D0629E" w:rsidRPr="00CE427E" w:rsidRDefault="00D0629E" w:rsidP="006128F6">
      <w:pPr>
        <w:tabs>
          <w:tab w:val="clear" w:pos="567"/>
        </w:tabs>
        <w:autoSpaceDE w:val="0"/>
        <w:autoSpaceDN w:val="0"/>
        <w:adjustRightInd w:val="0"/>
        <w:spacing w:line="240" w:lineRule="auto"/>
        <w:rPr>
          <w:rFonts w:eastAsia="Calibri"/>
          <w:szCs w:val="22"/>
        </w:rPr>
      </w:pPr>
    </w:p>
    <w:p w14:paraId="01222CE5" w14:textId="77FB0D48" w:rsidR="00D0629E" w:rsidRPr="00CE427E" w:rsidRDefault="00625BA9" w:rsidP="006128F6">
      <w:pPr>
        <w:tabs>
          <w:tab w:val="clear" w:pos="567"/>
        </w:tabs>
        <w:autoSpaceDE w:val="0"/>
        <w:autoSpaceDN w:val="0"/>
        <w:adjustRightInd w:val="0"/>
        <w:spacing w:line="240" w:lineRule="auto"/>
        <w:rPr>
          <w:rFonts w:eastAsia="Calibri"/>
          <w:szCs w:val="22"/>
        </w:rPr>
      </w:pPr>
      <w:r w:rsidRPr="00CE427E">
        <w:rPr>
          <w:rFonts w:eastAsia="Calibri"/>
          <w:szCs w:val="22"/>
        </w:rPr>
        <w:t>The efficacy results from the BCIRG 006 are summari</w:t>
      </w:r>
      <w:r w:rsidR="00D0629E" w:rsidRPr="00CE427E">
        <w:rPr>
          <w:rFonts w:eastAsia="Calibri"/>
          <w:szCs w:val="22"/>
        </w:rPr>
        <w:t>s</w:t>
      </w:r>
      <w:r w:rsidRPr="00CE427E">
        <w:rPr>
          <w:rFonts w:eastAsia="Calibri"/>
          <w:szCs w:val="22"/>
        </w:rPr>
        <w:t>ed in Tables</w:t>
      </w:r>
      <w:r w:rsidR="00D0629E" w:rsidRPr="00CE427E">
        <w:rPr>
          <w:rFonts w:eastAsia="Calibri"/>
          <w:szCs w:val="22"/>
        </w:rPr>
        <w:t> </w:t>
      </w:r>
      <w:r w:rsidRPr="00CE427E">
        <w:rPr>
          <w:rFonts w:eastAsia="Calibri"/>
          <w:szCs w:val="22"/>
        </w:rPr>
        <w:t>9</w:t>
      </w:r>
      <w:r w:rsidR="00D0629E" w:rsidRPr="00CE427E">
        <w:rPr>
          <w:rFonts w:eastAsia="Calibri"/>
          <w:szCs w:val="22"/>
        </w:rPr>
        <w:t xml:space="preserve"> and 10. The median duration of </w:t>
      </w:r>
      <w:r w:rsidRPr="00CE427E">
        <w:rPr>
          <w:rFonts w:eastAsia="Calibri"/>
          <w:szCs w:val="22"/>
        </w:rPr>
        <w:t>follow</w:t>
      </w:r>
      <w:r w:rsidR="002F7418" w:rsidRPr="00CE427E">
        <w:rPr>
          <w:rFonts w:eastAsia="Calibri"/>
          <w:szCs w:val="22"/>
        </w:rPr>
        <w:t>-</w:t>
      </w:r>
      <w:r w:rsidRPr="00CE427E">
        <w:rPr>
          <w:rFonts w:eastAsia="Calibri"/>
          <w:szCs w:val="22"/>
        </w:rPr>
        <w:t>up was 2.9</w:t>
      </w:r>
      <w:r w:rsidR="00D0629E" w:rsidRPr="00CE427E">
        <w:rPr>
          <w:rFonts w:eastAsia="Calibri"/>
          <w:szCs w:val="22"/>
        </w:rPr>
        <w:t> </w:t>
      </w:r>
      <w:r w:rsidRPr="00CE427E">
        <w:rPr>
          <w:rFonts w:eastAsia="Calibri"/>
          <w:szCs w:val="22"/>
        </w:rPr>
        <w:t>years in the AC</w:t>
      </w:r>
      <w:r w:rsidRPr="006128F6">
        <w:rPr>
          <w:rFonts w:eastAsia="TimesNewRomanPSMT"/>
          <w:szCs w:val="22"/>
        </w:rPr>
        <w:t>→</w:t>
      </w:r>
      <w:r w:rsidR="00D0629E" w:rsidRPr="00CE427E">
        <w:rPr>
          <w:rFonts w:eastAsia="Calibri"/>
          <w:szCs w:val="22"/>
        </w:rPr>
        <w:t>D arm and 3.0 </w:t>
      </w:r>
      <w:r w:rsidRPr="00CE427E">
        <w:rPr>
          <w:rFonts w:eastAsia="Calibri"/>
          <w:szCs w:val="22"/>
        </w:rPr>
        <w:t>years in each of the AC</w:t>
      </w:r>
      <w:r w:rsidRPr="006128F6">
        <w:rPr>
          <w:rFonts w:eastAsia="TimesNewRomanPSMT"/>
          <w:szCs w:val="22"/>
        </w:rPr>
        <w:t>→</w:t>
      </w:r>
      <w:r w:rsidR="00D0629E" w:rsidRPr="00CE427E">
        <w:rPr>
          <w:rFonts w:eastAsia="Calibri"/>
          <w:szCs w:val="22"/>
        </w:rPr>
        <w:t>DH and DCarbH arms.</w:t>
      </w:r>
    </w:p>
    <w:p w14:paraId="172108D6" w14:textId="77777777" w:rsidR="00D0629E" w:rsidRPr="00CE427E" w:rsidRDefault="00D0629E" w:rsidP="006128F6">
      <w:pPr>
        <w:tabs>
          <w:tab w:val="clear" w:pos="567"/>
        </w:tabs>
        <w:autoSpaceDE w:val="0"/>
        <w:autoSpaceDN w:val="0"/>
        <w:adjustRightInd w:val="0"/>
        <w:spacing w:line="240" w:lineRule="auto"/>
        <w:rPr>
          <w:rFonts w:eastAsia="Calibri"/>
          <w:szCs w:val="22"/>
        </w:rPr>
      </w:pPr>
    </w:p>
    <w:p w14:paraId="695CC3B2" w14:textId="77777777" w:rsidR="00625BA9" w:rsidRPr="00CE427E" w:rsidRDefault="00625BA9" w:rsidP="001D4B28">
      <w:pPr>
        <w:tabs>
          <w:tab w:val="clear" w:pos="567"/>
        </w:tabs>
        <w:autoSpaceDE w:val="0"/>
        <w:autoSpaceDN w:val="0"/>
        <w:adjustRightInd w:val="0"/>
        <w:spacing w:line="240" w:lineRule="auto"/>
        <w:rPr>
          <w:rFonts w:eastAsia="Calibri"/>
          <w:b/>
          <w:szCs w:val="22"/>
        </w:rPr>
      </w:pPr>
      <w:r w:rsidRPr="00CE427E">
        <w:rPr>
          <w:rFonts w:eastAsia="Calibri"/>
          <w:b/>
          <w:szCs w:val="22"/>
        </w:rPr>
        <w:t xml:space="preserve">Table 9 Overview of </w:t>
      </w:r>
      <w:r w:rsidR="00D0629E" w:rsidRPr="00CE427E">
        <w:rPr>
          <w:rFonts w:eastAsia="Calibri"/>
          <w:b/>
          <w:szCs w:val="22"/>
        </w:rPr>
        <w:t>e</w:t>
      </w:r>
      <w:r w:rsidRPr="00CE427E">
        <w:rPr>
          <w:rFonts w:eastAsia="Calibri"/>
          <w:b/>
          <w:szCs w:val="22"/>
        </w:rPr>
        <w:t xml:space="preserve">fficacy </w:t>
      </w:r>
      <w:r w:rsidR="00D0629E" w:rsidRPr="00CE427E">
        <w:rPr>
          <w:rFonts w:eastAsia="Calibri"/>
          <w:b/>
          <w:szCs w:val="22"/>
        </w:rPr>
        <w:t>a</w:t>
      </w:r>
      <w:r w:rsidRPr="00CE427E">
        <w:rPr>
          <w:rFonts w:eastAsia="Calibri"/>
          <w:b/>
          <w:szCs w:val="22"/>
        </w:rPr>
        <w:t>nalyses BCIRG 006 AC</w:t>
      </w:r>
      <w:r w:rsidRPr="006128F6">
        <w:rPr>
          <w:rFonts w:eastAsia="TimesNewRomanPSMT"/>
          <w:b/>
          <w:szCs w:val="22"/>
        </w:rPr>
        <w:t>→</w:t>
      </w:r>
      <w:r w:rsidRPr="00CE427E">
        <w:rPr>
          <w:rFonts w:eastAsia="Calibri"/>
          <w:b/>
          <w:szCs w:val="22"/>
        </w:rPr>
        <w:t>D versus AC</w:t>
      </w:r>
      <w:r w:rsidRPr="006128F6">
        <w:rPr>
          <w:rFonts w:eastAsia="TimesNewRomanPSMT"/>
          <w:b/>
          <w:szCs w:val="22"/>
        </w:rPr>
        <w:t>→</w:t>
      </w:r>
      <w:r w:rsidRPr="00CE427E">
        <w:rPr>
          <w:rFonts w:eastAsia="Calibri"/>
          <w:b/>
          <w:szCs w:val="22"/>
        </w:rPr>
        <w:t>DH</w:t>
      </w:r>
    </w:p>
    <w:p w14:paraId="26CC73B9" w14:textId="77777777" w:rsidR="00F95C5D" w:rsidRPr="00CE427E" w:rsidRDefault="00F95C5D" w:rsidP="001D4B28">
      <w:pPr>
        <w:tabs>
          <w:tab w:val="clear" w:pos="567"/>
        </w:tabs>
        <w:autoSpaceDE w:val="0"/>
        <w:autoSpaceDN w:val="0"/>
        <w:adjustRightInd w:val="0"/>
        <w:spacing w:line="240" w:lineRule="auto"/>
        <w:rPr>
          <w:rFonts w:eastAsia="Calibr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1959"/>
        <w:gridCol w:w="2138"/>
        <w:gridCol w:w="2115"/>
      </w:tblGrid>
      <w:tr w:rsidR="00F95C5D" w:rsidRPr="006128F6" w14:paraId="365FD227" w14:textId="77777777" w:rsidTr="00B355E8">
        <w:trPr>
          <w:trHeight w:val="300"/>
          <w:tblHeader/>
        </w:trPr>
        <w:tc>
          <w:tcPr>
            <w:tcW w:w="1701" w:type="pct"/>
            <w:shd w:val="clear" w:color="auto" w:fill="auto"/>
            <w:noWrap/>
            <w:hideMark/>
          </w:tcPr>
          <w:p w14:paraId="0C803928" w14:textId="77777777" w:rsidR="00F95C5D" w:rsidRPr="006128F6" w:rsidRDefault="00F95C5D" w:rsidP="001D4B28">
            <w:pPr>
              <w:tabs>
                <w:tab w:val="clear" w:pos="567"/>
              </w:tabs>
              <w:spacing w:line="240" w:lineRule="auto"/>
              <w:jc w:val="center"/>
              <w:rPr>
                <w:b/>
                <w:color w:val="000000"/>
                <w:szCs w:val="22"/>
                <w:lang w:eastAsia="en-GB"/>
              </w:rPr>
            </w:pPr>
            <w:r w:rsidRPr="006128F6">
              <w:rPr>
                <w:b/>
              </w:rPr>
              <w:t>Parameter</w:t>
            </w:r>
          </w:p>
        </w:tc>
        <w:tc>
          <w:tcPr>
            <w:tcW w:w="1100" w:type="pct"/>
            <w:shd w:val="clear" w:color="auto" w:fill="auto"/>
            <w:noWrap/>
          </w:tcPr>
          <w:p w14:paraId="2E1D68CF" w14:textId="77777777" w:rsidR="00F95C5D" w:rsidRPr="00CE427E" w:rsidRDefault="00F95C5D" w:rsidP="001D4B28">
            <w:pPr>
              <w:tabs>
                <w:tab w:val="clear" w:pos="567"/>
              </w:tabs>
              <w:autoSpaceDE w:val="0"/>
              <w:autoSpaceDN w:val="0"/>
              <w:adjustRightInd w:val="0"/>
              <w:spacing w:line="240" w:lineRule="auto"/>
              <w:jc w:val="center"/>
              <w:rPr>
                <w:rFonts w:eastAsia="MS Mincho"/>
                <w:b/>
                <w:szCs w:val="22"/>
                <w:lang w:eastAsia="en-GB"/>
              </w:rPr>
            </w:pPr>
            <w:r w:rsidRPr="00CE427E">
              <w:rPr>
                <w:rFonts w:eastAsia="MS Mincho"/>
                <w:b/>
                <w:szCs w:val="22"/>
                <w:lang w:eastAsia="en-GB"/>
              </w:rPr>
              <w:t>AC</w:t>
            </w:r>
            <w:r w:rsidRPr="006128F6">
              <w:rPr>
                <w:rFonts w:eastAsia="TimesNewRomanPSMT"/>
                <w:b/>
                <w:szCs w:val="22"/>
                <w:lang w:eastAsia="en-GB"/>
              </w:rPr>
              <w:t>→</w:t>
            </w:r>
            <w:r w:rsidRPr="00CE427E">
              <w:rPr>
                <w:rFonts w:eastAsia="MS Mincho"/>
                <w:b/>
                <w:szCs w:val="22"/>
                <w:lang w:eastAsia="en-GB"/>
              </w:rPr>
              <w:t>D</w:t>
            </w:r>
          </w:p>
          <w:p w14:paraId="394A864C" w14:textId="1C52E164" w:rsidR="00F95C5D" w:rsidRPr="006128F6" w:rsidRDefault="00F95C5D" w:rsidP="001D4B28">
            <w:pPr>
              <w:tabs>
                <w:tab w:val="clear" w:pos="567"/>
              </w:tabs>
              <w:spacing w:line="240" w:lineRule="auto"/>
              <w:jc w:val="center"/>
              <w:rPr>
                <w:b/>
                <w:color w:val="000000"/>
                <w:szCs w:val="22"/>
                <w:lang w:eastAsia="en-GB"/>
              </w:rPr>
            </w:pPr>
            <w:r w:rsidRPr="00CE427E">
              <w:rPr>
                <w:rFonts w:eastAsia="MS Mincho"/>
                <w:b/>
                <w:szCs w:val="22"/>
                <w:lang w:eastAsia="en-GB"/>
              </w:rPr>
              <w:t>(n</w:t>
            </w:r>
            <w:r w:rsidR="002B7BA5" w:rsidRPr="00CE427E">
              <w:rPr>
                <w:rFonts w:eastAsia="MS Mincho"/>
                <w:b/>
                <w:szCs w:val="22"/>
                <w:lang w:eastAsia="en-GB"/>
              </w:rPr>
              <w:t> </w:t>
            </w:r>
            <w:r w:rsidRPr="00CE427E">
              <w:rPr>
                <w:rFonts w:eastAsia="MS Mincho"/>
                <w:b/>
                <w:szCs w:val="22"/>
                <w:lang w:eastAsia="en-GB"/>
              </w:rPr>
              <w:t>=</w:t>
            </w:r>
            <w:r w:rsidR="002B7BA5" w:rsidRPr="00CE427E">
              <w:rPr>
                <w:rFonts w:eastAsia="MS Mincho"/>
                <w:b/>
                <w:szCs w:val="22"/>
                <w:lang w:eastAsia="en-GB"/>
              </w:rPr>
              <w:t> </w:t>
            </w:r>
            <w:r w:rsidRPr="00CE427E">
              <w:rPr>
                <w:rFonts w:eastAsia="MS Mincho"/>
                <w:b/>
                <w:szCs w:val="22"/>
                <w:lang w:eastAsia="en-GB"/>
              </w:rPr>
              <w:t>1</w:t>
            </w:r>
            <w:r w:rsidR="000B44AA">
              <w:rPr>
                <w:rFonts w:eastAsia="MS Mincho"/>
                <w:b/>
                <w:szCs w:val="22"/>
                <w:lang w:eastAsia="en-GB"/>
              </w:rPr>
              <w:t> </w:t>
            </w:r>
            <w:r w:rsidRPr="00CE427E">
              <w:rPr>
                <w:rFonts w:eastAsia="MS Mincho"/>
                <w:b/>
                <w:szCs w:val="22"/>
                <w:lang w:eastAsia="en-GB"/>
              </w:rPr>
              <w:t>073)</w:t>
            </w:r>
          </w:p>
        </w:tc>
        <w:tc>
          <w:tcPr>
            <w:tcW w:w="1015" w:type="pct"/>
            <w:shd w:val="clear" w:color="auto" w:fill="auto"/>
            <w:noWrap/>
          </w:tcPr>
          <w:p w14:paraId="7B0ED4D1" w14:textId="329D719A" w:rsidR="00F95C5D" w:rsidRPr="006128F6" w:rsidRDefault="00004652" w:rsidP="001D4B28">
            <w:pPr>
              <w:tabs>
                <w:tab w:val="clear" w:pos="567"/>
              </w:tabs>
              <w:spacing w:line="240" w:lineRule="auto"/>
              <w:jc w:val="center"/>
              <w:rPr>
                <w:b/>
                <w:color w:val="000000"/>
                <w:szCs w:val="22"/>
                <w:lang w:eastAsia="en-GB"/>
              </w:rPr>
            </w:pPr>
            <w:r w:rsidRPr="00CE427E">
              <w:rPr>
                <w:rFonts w:eastAsia="Calibri"/>
                <w:b/>
                <w:szCs w:val="22"/>
              </w:rPr>
              <w:t>AC</w:t>
            </w:r>
            <w:r w:rsidRPr="006128F6">
              <w:rPr>
                <w:rFonts w:eastAsia="TimesNewRomanPSMT"/>
                <w:b/>
                <w:szCs w:val="22"/>
              </w:rPr>
              <w:t>→</w:t>
            </w:r>
            <w:r w:rsidRPr="00CE427E">
              <w:rPr>
                <w:rFonts w:eastAsia="Calibri"/>
                <w:b/>
                <w:szCs w:val="22"/>
              </w:rPr>
              <w:t>DH</w:t>
            </w:r>
            <w:r w:rsidRPr="00CE427E">
              <w:rPr>
                <w:rFonts w:eastAsia="MS Mincho"/>
                <w:b/>
                <w:szCs w:val="22"/>
                <w:lang w:eastAsia="en-GB"/>
              </w:rPr>
              <w:t xml:space="preserve"> </w:t>
            </w:r>
            <w:r w:rsidR="00F95C5D" w:rsidRPr="00CE427E">
              <w:rPr>
                <w:rFonts w:eastAsia="MS Mincho"/>
                <w:b/>
                <w:szCs w:val="22"/>
                <w:lang w:eastAsia="en-GB"/>
              </w:rPr>
              <w:t>(n</w:t>
            </w:r>
            <w:r w:rsidR="002B7BA5" w:rsidRPr="00CE427E">
              <w:rPr>
                <w:rFonts w:eastAsia="MS Mincho"/>
                <w:b/>
                <w:szCs w:val="22"/>
                <w:lang w:eastAsia="en-GB"/>
              </w:rPr>
              <w:t> </w:t>
            </w:r>
            <w:r w:rsidR="00F95C5D" w:rsidRPr="00CE427E">
              <w:rPr>
                <w:rFonts w:eastAsia="MS Mincho"/>
                <w:b/>
                <w:szCs w:val="22"/>
                <w:lang w:eastAsia="en-GB"/>
              </w:rPr>
              <w:t>=</w:t>
            </w:r>
            <w:r w:rsidR="002B7BA5" w:rsidRPr="00CE427E">
              <w:rPr>
                <w:rFonts w:eastAsia="MS Mincho"/>
                <w:b/>
                <w:szCs w:val="22"/>
                <w:lang w:eastAsia="en-GB"/>
              </w:rPr>
              <w:t> </w:t>
            </w:r>
            <w:r w:rsidR="00F95C5D" w:rsidRPr="00CE427E">
              <w:rPr>
                <w:rFonts w:eastAsia="MS Mincho"/>
                <w:b/>
                <w:szCs w:val="22"/>
                <w:lang w:eastAsia="en-GB"/>
              </w:rPr>
              <w:t>1</w:t>
            </w:r>
            <w:r w:rsidR="000B44AA">
              <w:rPr>
                <w:rFonts w:eastAsia="MS Mincho"/>
                <w:b/>
                <w:szCs w:val="22"/>
                <w:lang w:eastAsia="en-GB"/>
              </w:rPr>
              <w:t> </w:t>
            </w:r>
            <w:r w:rsidR="00F95C5D" w:rsidRPr="00CE427E">
              <w:rPr>
                <w:rFonts w:eastAsia="MS Mincho"/>
                <w:b/>
                <w:szCs w:val="22"/>
                <w:lang w:eastAsia="en-GB"/>
              </w:rPr>
              <w:t>074)</w:t>
            </w:r>
          </w:p>
        </w:tc>
        <w:tc>
          <w:tcPr>
            <w:tcW w:w="1185" w:type="pct"/>
            <w:shd w:val="clear" w:color="auto" w:fill="auto"/>
            <w:noWrap/>
          </w:tcPr>
          <w:p w14:paraId="03075382" w14:textId="1160A795" w:rsidR="00F95C5D" w:rsidRPr="00CE427E" w:rsidRDefault="00F95C5D" w:rsidP="001D4B28">
            <w:pPr>
              <w:tabs>
                <w:tab w:val="clear" w:pos="567"/>
              </w:tabs>
              <w:autoSpaceDE w:val="0"/>
              <w:autoSpaceDN w:val="0"/>
              <w:adjustRightInd w:val="0"/>
              <w:spacing w:line="240" w:lineRule="auto"/>
              <w:jc w:val="center"/>
              <w:rPr>
                <w:rFonts w:eastAsia="MS Mincho"/>
                <w:b/>
                <w:szCs w:val="22"/>
                <w:lang w:eastAsia="en-GB"/>
              </w:rPr>
            </w:pPr>
            <w:r w:rsidRPr="00CE427E">
              <w:rPr>
                <w:rFonts w:eastAsia="MS Mincho"/>
                <w:b/>
                <w:szCs w:val="22"/>
                <w:lang w:eastAsia="en-GB"/>
              </w:rPr>
              <w:t xml:space="preserve">Hazard </w:t>
            </w:r>
            <w:r w:rsidR="00E273C9">
              <w:rPr>
                <w:rFonts w:eastAsia="MS Mincho"/>
                <w:b/>
                <w:szCs w:val="22"/>
                <w:lang w:eastAsia="en-GB"/>
              </w:rPr>
              <w:t>r</w:t>
            </w:r>
            <w:r w:rsidRPr="00CE427E">
              <w:rPr>
                <w:rFonts w:eastAsia="MS Mincho"/>
                <w:b/>
                <w:szCs w:val="22"/>
                <w:lang w:eastAsia="en-GB"/>
              </w:rPr>
              <w:t>atio vs</w:t>
            </w:r>
          </w:p>
          <w:p w14:paraId="4B1B6630" w14:textId="77777777" w:rsidR="00F95C5D" w:rsidRPr="00CE427E" w:rsidRDefault="00F95C5D" w:rsidP="001D4B28">
            <w:pPr>
              <w:tabs>
                <w:tab w:val="clear" w:pos="567"/>
              </w:tabs>
              <w:autoSpaceDE w:val="0"/>
              <w:autoSpaceDN w:val="0"/>
              <w:adjustRightInd w:val="0"/>
              <w:spacing w:line="240" w:lineRule="auto"/>
              <w:jc w:val="center"/>
              <w:rPr>
                <w:rFonts w:eastAsia="MS Mincho"/>
                <w:b/>
                <w:szCs w:val="22"/>
                <w:lang w:eastAsia="en-GB"/>
              </w:rPr>
            </w:pPr>
            <w:r w:rsidRPr="00CE427E">
              <w:rPr>
                <w:rFonts w:eastAsia="MS Mincho"/>
                <w:b/>
                <w:szCs w:val="22"/>
                <w:lang w:eastAsia="en-GB"/>
              </w:rPr>
              <w:t>AC</w:t>
            </w:r>
            <w:r w:rsidRPr="006128F6">
              <w:rPr>
                <w:rFonts w:eastAsia="TimesNewRomanPSMT"/>
                <w:b/>
                <w:szCs w:val="22"/>
                <w:lang w:eastAsia="en-GB"/>
              </w:rPr>
              <w:t>→</w:t>
            </w:r>
            <w:r w:rsidRPr="00CE427E">
              <w:rPr>
                <w:rFonts w:eastAsia="MS Mincho"/>
                <w:b/>
                <w:szCs w:val="22"/>
                <w:lang w:eastAsia="en-GB"/>
              </w:rPr>
              <w:t>D</w:t>
            </w:r>
          </w:p>
          <w:p w14:paraId="752C0F9C" w14:textId="16A4BE10" w:rsidR="00F95C5D" w:rsidRPr="006128F6" w:rsidRDefault="004442B5" w:rsidP="001D4B28">
            <w:pPr>
              <w:tabs>
                <w:tab w:val="clear" w:pos="567"/>
              </w:tabs>
              <w:spacing w:line="240" w:lineRule="auto"/>
              <w:jc w:val="center"/>
              <w:rPr>
                <w:b/>
                <w:color w:val="000000"/>
                <w:szCs w:val="22"/>
                <w:lang w:eastAsia="en-GB"/>
              </w:rPr>
            </w:pPr>
            <w:r w:rsidRPr="00CE427E">
              <w:rPr>
                <w:rFonts w:eastAsia="MS Mincho"/>
                <w:b/>
                <w:szCs w:val="22"/>
                <w:lang w:eastAsia="en-GB"/>
              </w:rPr>
              <w:t>(95</w:t>
            </w:r>
            <w:r w:rsidR="000840CF" w:rsidRPr="00CE427E">
              <w:rPr>
                <w:rFonts w:eastAsia="MS Mincho"/>
                <w:b/>
                <w:szCs w:val="22"/>
                <w:lang w:eastAsia="en-GB"/>
              </w:rPr>
              <w:t>%</w:t>
            </w:r>
            <w:r w:rsidR="00F95C5D" w:rsidRPr="00CE427E">
              <w:rPr>
                <w:rFonts w:eastAsia="MS Mincho"/>
                <w:b/>
                <w:szCs w:val="22"/>
                <w:lang w:eastAsia="en-GB"/>
              </w:rPr>
              <w:t xml:space="preserve"> CI)</w:t>
            </w:r>
            <w:r w:rsidR="00616B64" w:rsidRPr="00CE427E">
              <w:rPr>
                <w:rFonts w:eastAsia="MS Mincho"/>
                <w:b/>
                <w:szCs w:val="22"/>
                <w:lang w:eastAsia="en-GB"/>
              </w:rPr>
              <w:br/>
              <w:t>p-value</w:t>
            </w:r>
          </w:p>
        </w:tc>
      </w:tr>
      <w:tr w:rsidR="00F95C5D" w:rsidRPr="006128F6" w14:paraId="0E1032B8" w14:textId="77777777" w:rsidTr="007519ED">
        <w:trPr>
          <w:trHeight w:val="300"/>
        </w:trPr>
        <w:tc>
          <w:tcPr>
            <w:tcW w:w="1701" w:type="pct"/>
            <w:shd w:val="clear" w:color="auto" w:fill="auto"/>
            <w:noWrap/>
          </w:tcPr>
          <w:p w14:paraId="150DED06" w14:textId="77777777" w:rsidR="00F95C5D" w:rsidRPr="00CE427E" w:rsidRDefault="00F95C5D" w:rsidP="001D4B28">
            <w:pPr>
              <w:tabs>
                <w:tab w:val="clear" w:pos="567"/>
              </w:tabs>
              <w:autoSpaceDE w:val="0"/>
              <w:autoSpaceDN w:val="0"/>
              <w:adjustRightInd w:val="0"/>
              <w:spacing w:line="240" w:lineRule="auto"/>
              <w:rPr>
                <w:rFonts w:eastAsia="MS Mincho"/>
                <w:szCs w:val="22"/>
                <w:lang w:eastAsia="en-GB"/>
              </w:rPr>
            </w:pPr>
            <w:r w:rsidRPr="00CE427E">
              <w:rPr>
                <w:rFonts w:eastAsia="MS Mincho"/>
                <w:szCs w:val="22"/>
                <w:lang w:eastAsia="en-GB"/>
              </w:rPr>
              <w:t>Disease-free survival</w:t>
            </w:r>
          </w:p>
          <w:p w14:paraId="524AC443" w14:textId="77777777" w:rsidR="00F95C5D" w:rsidRPr="006128F6" w:rsidRDefault="00F95C5D" w:rsidP="001D4B28">
            <w:pPr>
              <w:tabs>
                <w:tab w:val="clear" w:pos="567"/>
              </w:tabs>
              <w:spacing w:line="240" w:lineRule="auto"/>
              <w:rPr>
                <w:color w:val="000000"/>
                <w:szCs w:val="22"/>
                <w:lang w:eastAsia="en-GB"/>
              </w:rPr>
            </w:pPr>
            <w:r w:rsidRPr="00CE427E">
              <w:rPr>
                <w:rFonts w:eastAsia="MS Mincho"/>
                <w:szCs w:val="22"/>
                <w:lang w:eastAsia="en-GB"/>
              </w:rPr>
              <w:t>No. patients with even</w:t>
            </w:r>
            <w:r w:rsidR="00223279" w:rsidRPr="00CE427E">
              <w:rPr>
                <w:rFonts w:eastAsia="MS Mincho"/>
                <w:szCs w:val="22"/>
                <w:lang w:eastAsia="en-GB"/>
              </w:rPr>
              <w:t>t</w:t>
            </w:r>
          </w:p>
        </w:tc>
        <w:tc>
          <w:tcPr>
            <w:tcW w:w="1100" w:type="pct"/>
            <w:shd w:val="clear" w:color="auto" w:fill="auto"/>
            <w:noWrap/>
          </w:tcPr>
          <w:p w14:paraId="19582A50" w14:textId="77777777" w:rsidR="00F95C5D" w:rsidRPr="006128F6" w:rsidRDefault="00F95C5D" w:rsidP="001D4B28">
            <w:pPr>
              <w:tabs>
                <w:tab w:val="clear" w:pos="567"/>
              </w:tabs>
              <w:spacing w:line="240" w:lineRule="auto"/>
              <w:jc w:val="center"/>
            </w:pPr>
          </w:p>
          <w:p w14:paraId="665C0F15" w14:textId="77777777" w:rsidR="00F95C5D" w:rsidRPr="006128F6" w:rsidRDefault="00F95C5D" w:rsidP="001D4B28">
            <w:pPr>
              <w:tabs>
                <w:tab w:val="clear" w:pos="567"/>
              </w:tabs>
              <w:spacing w:line="240" w:lineRule="auto"/>
              <w:jc w:val="center"/>
              <w:rPr>
                <w:color w:val="000000"/>
                <w:szCs w:val="22"/>
                <w:lang w:eastAsia="en-GB"/>
              </w:rPr>
            </w:pPr>
            <w:r w:rsidRPr="006128F6">
              <w:t>195</w:t>
            </w:r>
          </w:p>
        </w:tc>
        <w:tc>
          <w:tcPr>
            <w:tcW w:w="1015" w:type="pct"/>
            <w:shd w:val="clear" w:color="auto" w:fill="auto"/>
            <w:noWrap/>
          </w:tcPr>
          <w:p w14:paraId="74BB9887" w14:textId="77777777" w:rsidR="00F95C5D" w:rsidRPr="006128F6" w:rsidRDefault="00F95C5D" w:rsidP="001D4B28">
            <w:pPr>
              <w:tabs>
                <w:tab w:val="clear" w:pos="567"/>
              </w:tabs>
              <w:spacing w:line="240" w:lineRule="auto"/>
              <w:jc w:val="center"/>
            </w:pPr>
          </w:p>
          <w:p w14:paraId="5BD77591" w14:textId="77777777" w:rsidR="00F95C5D" w:rsidRPr="006128F6" w:rsidRDefault="00F95C5D" w:rsidP="001D4B28">
            <w:pPr>
              <w:tabs>
                <w:tab w:val="clear" w:pos="567"/>
              </w:tabs>
              <w:spacing w:line="240" w:lineRule="auto"/>
              <w:jc w:val="center"/>
              <w:rPr>
                <w:color w:val="000000"/>
                <w:szCs w:val="22"/>
                <w:lang w:eastAsia="en-GB"/>
              </w:rPr>
            </w:pPr>
            <w:r w:rsidRPr="006128F6">
              <w:t>134</w:t>
            </w:r>
          </w:p>
        </w:tc>
        <w:tc>
          <w:tcPr>
            <w:tcW w:w="1185" w:type="pct"/>
            <w:shd w:val="clear" w:color="auto" w:fill="auto"/>
            <w:noWrap/>
          </w:tcPr>
          <w:p w14:paraId="73C625B2" w14:textId="77777777" w:rsidR="00F95C5D" w:rsidRPr="00CE427E" w:rsidRDefault="00F95C5D" w:rsidP="001D4B28">
            <w:pPr>
              <w:tabs>
                <w:tab w:val="clear" w:pos="567"/>
              </w:tabs>
              <w:autoSpaceDE w:val="0"/>
              <w:autoSpaceDN w:val="0"/>
              <w:adjustRightInd w:val="0"/>
              <w:spacing w:line="240" w:lineRule="auto"/>
              <w:jc w:val="center"/>
              <w:rPr>
                <w:rFonts w:eastAsia="MS Mincho"/>
                <w:szCs w:val="22"/>
                <w:lang w:eastAsia="en-GB"/>
              </w:rPr>
            </w:pPr>
          </w:p>
          <w:p w14:paraId="13A11EB2" w14:textId="77777777" w:rsidR="00F95C5D" w:rsidRPr="00CE427E" w:rsidRDefault="00F95C5D" w:rsidP="001D4B28">
            <w:pPr>
              <w:tabs>
                <w:tab w:val="clear" w:pos="567"/>
              </w:tabs>
              <w:autoSpaceDE w:val="0"/>
              <w:autoSpaceDN w:val="0"/>
              <w:adjustRightInd w:val="0"/>
              <w:spacing w:line="240" w:lineRule="auto"/>
              <w:rPr>
                <w:rFonts w:eastAsia="Calibri"/>
                <w:szCs w:val="22"/>
              </w:rPr>
            </w:pPr>
            <w:r w:rsidRPr="00CE427E">
              <w:rPr>
                <w:rFonts w:eastAsia="Calibri"/>
                <w:szCs w:val="22"/>
              </w:rPr>
              <w:t>0.61 (0.49, 0.77)</w:t>
            </w:r>
          </w:p>
          <w:p w14:paraId="27233E0D" w14:textId="77777777" w:rsidR="00F95C5D" w:rsidRPr="006128F6" w:rsidRDefault="00223279" w:rsidP="001D4B28">
            <w:pPr>
              <w:tabs>
                <w:tab w:val="clear" w:pos="567"/>
              </w:tabs>
              <w:spacing w:line="240" w:lineRule="auto"/>
              <w:jc w:val="center"/>
              <w:rPr>
                <w:color w:val="000000"/>
                <w:szCs w:val="22"/>
                <w:lang w:eastAsia="en-GB"/>
              </w:rPr>
            </w:pPr>
            <w:r w:rsidRPr="00CE427E">
              <w:rPr>
                <w:rFonts w:eastAsia="Calibri"/>
                <w:szCs w:val="22"/>
              </w:rPr>
              <w:t>p </w:t>
            </w:r>
            <w:r w:rsidR="00F95C5D" w:rsidRPr="00CE427E">
              <w:rPr>
                <w:rFonts w:eastAsia="Calibri"/>
                <w:szCs w:val="22"/>
              </w:rPr>
              <w:t>&lt;</w:t>
            </w:r>
            <w:r w:rsidRPr="00CE427E">
              <w:rPr>
                <w:rFonts w:eastAsia="Calibri"/>
                <w:szCs w:val="22"/>
              </w:rPr>
              <w:t> </w:t>
            </w:r>
            <w:r w:rsidR="00F95C5D" w:rsidRPr="00CE427E">
              <w:rPr>
                <w:rFonts w:eastAsia="Calibri"/>
                <w:szCs w:val="22"/>
              </w:rPr>
              <w:t>0.0001</w:t>
            </w:r>
          </w:p>
        </w:tc>
      </w:tr>
      <w:tr w:rsidR="00F95C5D" w:rsidRPr="006128F6" w14:paraId="00F5144B" w14:textId="77777777" w:rsidTr="007519ED">
        <w:trPr>
          <w:trHeight w:val="300"/>
        </w:trPr>
        <w:tc>
          <w:tcPr>
            <w:tcW w:w="1701" w:type="pct"/>
            <w:shd w:val="clear" w:color="auto" w:fill="auto"/>
            <w:noWrap/>
          </w:tcPr>
          <w:p w14:paraId="1E7686F3" w14:textId="77777777" w:rsidR="00F95C5D" w:rsidRPr="00CE427E" w:rsidRDefault="00F95C5D" w:rsidP="001D4B28">
            <w:pPr>
              <w:tabs>
                <w:tab w:val="clear" w:pos="567"/>
              </w:tabs>
              <w:autoSpaceDE w:val="0"/>
              <w:autoSpaceDN w:val="0"/>
              <w:adjustRightInd w:val="0"/>
              <w:spacing w:line="240" w:lineRule="auto"/>
              <w:rPr>
                <w:rFonts w:eastAsia="MS Mincho"/>
                <w:szCs w:val="22"/>
                <w:lang w:eastAsia="en-GB"/>
              </w:rPr>
            </w:pPr>
            <w:r w:rsidRPr="00CE427E">
              <w:rPr>
                <w:rFonts w:eastAsia="MS Mincho"/>
                <w:szCs w:val="22"/>
                <w:lang w:eastAsia="en-GB"/>
              </w:rPr>
              <w:t>Distant recurrence</w:t>
            </w:r>
          </w:p>
          <w:p w14:paraId="4423E468" w14:textId="77777777" w:rsidR="00F95C5D" w:rsidRPr="006128F6" w:rsidRDefault="00F95C5D" w:rsidP="001D4B28">
            <w:pPr>
              <w:tabs>
                <w:tab w:val="clear" w:pos="567"/>
              </w:tabs>
              <w:spacing w:line="240" w:lineRule="auto"/>
              <w:rPr>
                <w:color w:val="000000"/>
                <w:szCs w:val="22"/>
                <w:lang w:eastAsia="en-GB"/>
              </w:rPr>
            </w:pPr>
            <w:r w:rsidRPr="00CE427E">
              <w:rPr>
                <w:rFonts w:eastAsia="MS Mincho"/>
                <w:szCs w:val="22"/>
                <w:lang w:eastAsia="en-GB"/>
              </w:rPr>
              <w:t>No. patients with event</w:t>
            </w:r>
          </w:p>
        </w:tc>
        <w:tc>
          <w:tcPr>
            <w:tcW w:w="1100" w:type="pct"/>
            <w:shd w:val="clear" w:color="auto" w:fill="auto"/>
            <w:noWrap/>
          </w:tcPr>
          <w:p w14:paraId="2FFE323D" w14:textId="77777777" w:rsidR="00F95C5D" w:rsidRPr="006128F6" w:rsidRDefault="00F95C5D" w:rsidP="001D4B28">
            <w:pPr>
              <w:tabs>
                <w:tab w:val="clear" w:pos="567"/>
              </w:tabs>
              <w:spacing w:line="240" w:lineRule="auto"/>
              <w:jc w:val="center"/>
            </w:pPr>
          </w:p>
          <w:p w14:paraId="45DA1A70" w14:textId="77777777" w:rsidR="00F95C5D" w:rsidRPr="006128F6" w:rsidRDefault="00F95C5D" w:rsidP="001D4B28">
            <w:pPr>
              <w:tabs>
                <w:tab w:val="clear" w:pos="567"/>
              </w:tabs>
              <w:spacing w:line="240" w:lineRule="auto"/>
              <w:jc w:val="center"/>
              <w:rPr>
                <w:color w:val="000000"/>
                <w:szCs w:val="22"/>
                <w:lang w:eastAsia="en-GB"/>
              </w:rPr>
            </w:pPr>
            <w:r w:rsidRPr="006128F6">
              <w:t>144</w:t>
            </w:r>
          </w:p>
        </w:tc>
        <w:tc>
          <w:tcPr>
            <w:tcW w:w="1015" w:type="pct"/>
            <w:shd w:val="clear" w:color="auto" w:fill="auto"/>
            <w:noWrap/>
          </w:tcPr>
          <w:p w14:paraId="5B351114" w14:textId="77777777" w:rsidR="00F95C5D" w:rsidRPr="006128F6" w:rsidRDefault="00F95C5D" w:rsidP="001D4B28">
            <w:pPr>
              <w:tabs>
                <w:tab w:val="clear" w:pos="567"/>
              </w:tabs>
              <w:spacing w:line="240" w:lineRule="auto"/>
              <w:jc w:val="center"/>
            </w:pPr>
          </w:p>
          <w:p w14:paraId="1DDD16AB" w14:textId="77777777" w:rsidR="00F95C5D" w:rsidRPr="006128F6" w:rsidRDefault="00F95C5D" w:rsidP="001D4B28">
            <w:pPr>
              <w:tabs>
                <w:tab w:val="clear" w:pos="567"/>
              </w:tabs>
              <w:spacing w:line="240" w:lineRule="auto"/>
              <w:jc w:val="center"/>
              <w:rPr>
                <w:color w:val="000000"/>
                <w:szCs w:val="22"/>
                <w:lang w:eastAsia="en-GB"/>
              </w:rPr>
            </w:pPr>
            <w:r w:rsidRPr="006128F6">
              <w:t>95</w:t>
            </w:r>
          </w:p>
        </w:tc>
        <w:tc>
          <w:tcPr>
            <w:tcW w:w="1185" w:type="pct"/>
            <w:shd w:val="clear" w:color="auto" w:fill="auto"/>
            <w:noWrap/>
          </w:tcPr>
          <w:p w14:paraId="45BB4EE6" w14:textId="77777777" w:rsidR="00F95C5D" w:rsidRPr="00CE427E" w:rsidRDefault="00F95C5D" w:rsidP="001D4B28">
            <w:pPr>
              <w:tabs>
                <w:tab w:val="clear" w:pos="567"/>
              </w:tabs>
              <w:autoSpaceDE w:val="0"/>
              <w:autoSpaceDN w:val="0"/>
              <w:adjustRightInd w:val="0"/>
              <w:spacing w:line="240" w:lineRule="auto"/>
              <w:jc w:val="center"/>
              <w:rPr>
                <w:rFonts w:eastAsia="MS Mincho"/>
                <w:szCs w:val="22"/>
                <w:lang w:eastAsia="en-GB"/>
              </w:rPr>
            </w:pPr>
          </w:p>
          <w:p w14:paraId="3DCEB0E9" w14:textId="77777777" w:rsidR="00F95C5D" w:rsidRPr="00CE427E" w:rsidRDefault="00F95C5D" w:rsidP="001D4B28">
            <w:pPr>
              <w:tabs>
                <w:tab w:val="clear" w:pos="567"/>
              </w:tabs>
              <w:autoSpaceDE w:val="0"/>
              <w:autoSpaceDN w:val="0"/>
              <w:adjustRightInd w:val="0"/>
              <w:spacing w:line="240" w:lineRule="auto"/>
              <w:rPr>
                <w:rFonts w:eastAsia="MS Mincho"/>
                <w:szCs w:val="22"/>
                <w:lang w:eastAsia="en-GB"/>
              </w:rPr>
            </w:pPr>
            <w:r w:rsidRPr="00CE427E">
              <w:rPr>
                <w:rFonts w:eastAsia="MS Mincho"/>
                <w:szCs w:val="22"/>
                <w:lang w:eastAsia="en-GB"/>
              </w:rPr>
              <w:t>0.59 (0.46, 0.77)</w:t>
            </w:r>
          </w:p>
          <w:p w14:paraId="3D65AEF0" w14:textId="77777777" w:rsidR="00F95C5D" w:rsidRPr="006128F6" w:rsidRDefault="00223279" w:rsidP="001D4B28">
            <w:pPr>
              <w:tabs>
                <w:tab w:val="clear" w:pos="567"/>
              </w:tabs>
              <w:autoSpaceDE w:val="0"/>
              <w:autoSpaceDN w:val="0"/>
              <w:adjustRightInd w:val="0"/>
              <w:spacing w:line="240" w:lineRule="auto"/>
              <w:jc w:val="center"/>
              <w:rPr>
                <w:color w:val="000000"/>
                <w:szCs w:val="22"/>
                <w:lang w:eastAsia="en-GB"/>
              </w:rPr>
            </w:pPr>
            <w:r w:rsidRPr="00CE427E">
              <w:rPr>
                <w:rFonts w:eastAsia="MS Mincho"/>
                <w:szCs w:val="22"/>
                <w:lang w:eastAsia="en-GB"/>
              </w:rPr>
              <w:t>p </w:t>
            </w:r>
            <w:r w:rsidR="00F95C5D" w:rsidRPr="00CE427E">
              <w:rPr>
                <w:rFonts w:eastAsia="MS Mincho"/>
                <w:szCs w:val="22"/>
                <w:lang w:eastAsia="en-GB"/>
              </w:rPr>
              <w:t>&lt;</w:t>
            </w:r>
            <w:r w:rsidRPr="00CE427E">
              <w:rPr>
                <w:rFonts w:eastAsia="MS Mincho"/>
                <w:szCs w:val="22"/>
                <w:lang w:eastAsia="en-GB"/>
              </w:rPr>
              <w:t> </w:t>
            </w:r>
            <w:r w:rsidR="00F95C5D" w:rsidRPr="00CE427E">
              <w:rPr>
                <w:rFonts w:eastAsia="MS Mincho"/>
                <w:szCs w:val="22"/>
                <w:lang w:eastAsia="en-GB"/>
              </w:rPr>
              <w:t>0.0001</w:t>
            </w:r>
          </w:p>
        </w:tc>
      </w:tr>
      <w:tr w:rsidR="00F95C5D" w:rsidRPr="006128F6" w14:paraId="7AD5B507" w14:textId="77777777" w:rsidTr="007519ED">
        <w:trPr>
          <w:trHeight w:val="300"/>
        </w:trPr>
        <w:tc>
          <w:tcPr>
            <w:tcW w:w="1701" w:type="pct"/>
            <w:shd w:val="clear" w:color="auto" w:fill="auto"/>
            <w:noWrap/>
          </w:tcPr>
          <w:p w14:paraId="55183253" w14:textId="77777777" w:rsidR="00F95C5D" w:rsidRPr="00CE427E" w:rsidRDefault="00F95C5D" w:rsidP="006128F6">
            <w:pPr>
              <w:keepNext/>
              <w:tabs>
                <w:tab w:val="clear" w:pos="567"/>
              </w:tabs>
              <w:autoSpaceDE w:val="0"/>
              <w:autoSpaceDN w:val="0"/>
              <w:adjustRightInd w:val="0"/>
              <w:spacing w:line="240" w:lineRule="auto"/>
              <w:rPr>
                <w:rFonts w:eastAsia="MS Mincho"/>
                <w:szCs w:val="22"/>
                <w:lang w:eastAsia="en-GB"/>
              </w:rPr>
            </w:pPr>
            <w:r w:rsidRPr="00CE427E">
              <w:rPr>
                <w:rFonts w:eastAsia="MS Mincho"/>
                <w:szCs w:val="22"/>
                <w:lang w:eastAsia="en-GB"/>
              </w:rPr>
              <w:lastRenderedPageBreak/>
              <w:t>Death (OS event)</w:t>
            </w:r>
          </w:p>
          <w:p w14:paraId="1C4F7305" w14:textId="77777777" w:rsidR="00F95C5D" w:rsidRPr="006128F6" w:rsidRDefault="00F95C5D" w:rsidP="006128F6">
            <w:pPr>
              <w:keepNext/>
              <w:tabs>
                <w:tab w:val="clear" w:pos="567"/>
              </w:tabs>
              <w:spacing w:line="240" w:lineRule="auto"/>
              <w:rPr>
                <w:color w:val="000000"/>
                <w:szCs w:val="22"/>
                <w:lang w:eastAsia="en-GB"/>
              </w:rPr>
            </w:pPr>
            <w:r w:rsidRPr="00CE427E">
              <w:rPr>
                <w:rFonts w:eastAsia="MS Mincho"/>
                <w:szCs w:val="22"/>
                <w:lang w:eastAsia="en-GB"/>
              </w:rPr>
              <w:t>No. patients with event</w:t>
            </w:r>
          </w:p>
        </w:tc>
        <w:tc>
          <w:tcPr>
            <w:tcW w:w="1100" w:type="pct"/>
            <w:shd w:val="clear" w:color="auto" w:fill="auto"/>
            <w:noWrap/>
          </w:tcPr>
          <w:p w14:paraId="2EFC5618" w14:textId="77777777" w:rsidR="00F95C5D" w:rsidRPr="006128F6" w:rsidRDefault="00F95C5D" w:rsidP="006128F6">
            <w:pPr>
              <w:keepNext/>
              <w:tabs>
                <w:tab w:val="clear" w:pos="567"/>
              </w:tabs>
              <w:spacing w:line="240" w:lineRule="auto"/>
              <w:jc w:val="center"/>
            </w:pPr>
          </w:p>
          <w:p w14:paraId="217F90F1" w14:textId="77777777" w:rsidR="00F95C5D" w:rsidRPr="006128F6" w:rsidRDefault="00F95C5D" w:rsidP="006128F6">
            <w:pPr>
              <w:keepNext/>
              <w:tabs>
                <w:tab w:val="clear" w:pos="567"/>
              </w:tabs>
              <w:spacing w:line="240" w:lineRule="auto"/>
              <w:jc w:val="center"/>
              <w:rPr>
                <w:color w:val="000000"/>
                <w:szCs w:val="22"/>
                <w:lang w:eastAsia="en-GB"/>
              </w:rPr>
            </w:pPr>
            <w:r w:rsidRPr="006128F6">
              <w:t>80</w:t>
            </w:r>
          </w:p>
        </w:tc>
        <w:tc>
          <w:tcPr>
            <w:tcW w:w="1015" w:type="pct"/>
            <w:shd w:val="clear" w:color="auto" w:fill="auto"/>
            <w:noWrap/>
          </w:tcPr>
          <w:p w14:paraId="35E82633" w14:textId="77777777" w:rsidR="00F95C5D" w:rsidRPr="006128F6" w:rsidRDefault="00F95C5D" w:rsidP="006128F6">
            <w:pPr>
              <w:keepNext/>
              <w:tabs>
                <w:tab w:val="clear" w:pos="567"/>
              </w:tabs>
              <w:spacing w:line="240" w:lineRule="auto"/>
              <w:jc w:val="center"/>
            </w:pPr>
          </w:p>
          <w:p w14:paraId="260E324B" w14:textId="77777777" w:rsidR="00F95C5D" w:rsidRPr="006128F6" w:rsidRDefault="00F95C5D" w:rsidP="006128F6">
            <w:pPr>
              <w:keepNext/>
              <w:tabs>
                <w:tab w:val="clear" w:pos="567"/>
              </w:tabs>
              <w:spacing w:line="240" w:lineRule="auto"/>
              <w:jc w:val="center"/>
              <w:rPr>
                <w:color w:val="000000"/>
                <w:szCs w:val="22"/>
                <w:lang w:eastAsia="en-GB"/>
              </w:rPr>
            </w:pPr>
            <w:r w:rsidRPr="006128F6">
              <w:t>49</w:t>
            </w:r>
          </w:p>
        </w:tc>
        <w:tc>
          <w:tcPr>
            <w:tcW w:w="1185" w:type="pct"/>
            <w:shd w:val="clear" w:color="auto" w:fill="auto"/>
            <w:noWrap/>
          </w:tcPr>
          <w:p w14:paraId="09AC30D4" w14:textId="77777777" w:rsidR="00F95C5D" w:rsidRPr="00CE427E" w:rsidRDefault="00F95C5D" w:rsidP="006128F6">
            <w:pPr>
              <w:keepNext/>
              <w:tabs>
                <w:tab w:val="clear" w:pos="567"/>
              </w:tabs>
              <w:autoSpaceDE w:val="0"/>
              <w:autoSpaceDN w:val="0"/>
              <w:adjustRightInd w:val="0"/>
              <w:spacing w:line="240" w:lineRule="auto"/>
              <w:jc w:val="center"/>
              <w:rPr>
                <w:rFonts w:eastAsia="MS Mincho"/>
                <w:szCs w:val="22"/>
                <w:lang w:eastAsia="en-GB"/>
              </w:rPr>
            </w:pPr>
          </w:p>
          <w:p w14:paraId="2DD9F6BB" w14:textId="77777777" w:rsidR="00F95C5D" w:rsidRPr="00CE427E" w:rsidRDefault="00F95C5D" w:rsidP="006128F6">
            <w:pPr>
              <w:keepNext/>
              <w:tabs>
                <w:tab w:val="clear" w:pos="567"/>
              </w:tabs>
              <w:autoSpaceDE w:val="0"/>
              <w:autoSpaceDN w:val="0"/>
              <w:adjustRightInd w:val="0"/>
              <w:spacing w:line="240" w:lineRule="auto"/>
              <w:rPr>
                <w:rFonts w:eastAsia="MS Mincho"/>
                <w:szCs w:val="22"/>
                <w:lang w:eastAsia="en-GB"/>
              </w:rPr>
            </w:pPr>
            <w:r w:rsidRPr="00CE427E">
              <w:rPr>
                <w:rFonts w:eastAsia="MS Mincho"/>
                <w:szCs w:val="22"/>
                <w:lang w:eastAsia="en-GB"/>
              </w:rPr>
              <w:t>0.58 (0.40, 0.83)</w:t>
            </w:r>
          </w:p>
          <w:p w14:paraId="1DDB22E0" w14:textId="77777777" w:rsidR="00F95C5D" w:rsidRPr="006128F6" w:rsidRDefault="00223279" w:rsidP="006128F6">
            <w:pPr>
              <w:keepNext/>
              <w:tabs>
                <w:tab w:val="clear" w:pos="567"/>
              </w:tabs>
              <w:spacing w:line="240" w:lineRule="auto"/>
              <w:jc w:val="center"/>
              <w:rPr>
                <w:color w:val="000000"/>
                <w:szCs w:val="22"/>
                <w:lang w:eastAsia="en-GB"/>
              </w:rPr>
            </w:pPr>
            <w:r w:rsidRPr="00CE427E">
              <w:rPr>
                <w:rFonts w:eastAsia="MS Mincho"/>
                <w:szCs w:val="22"/>
                <w:lang w:eastAsia="en-GB"/>
              </w:rPr>
              <w:t>p </w:t>
            </w:r>
            <w:r w:rsidR="00F95C5D" w:rsidRPr="00CE427E">
              <w:rPr>
                <w:rFonts w:eastAsia="MS Mincho"/>
                <w:szCs w:val="22"/>
                <w:lang w:eastAsia="en-GB"/>
              </w:rPr>
              <w:t>=</w:t>
            </w:r>
            <w:r w:rsidRPr="00CE427E">
              <w:rPr>
                <w:rFonts w:eastAsia="MS Mincho"/>
                <w:szCs w:val="22"/>
                <w:lang w:eastAsia="en-GB"/>
              </w:rPr>
              <w:t> </w:t>
            </w:r>
            <w:r w:rsidR="00F95C5D" w:rsidRPr="00CE427E">
              <w:rPr>
                <w:rFonts w:eastAsia="MS Mincho"/>
                <w:szCs w:val="22"/>
                <w:lang w:eastAsia="en-GB"/>
              </w:rPr>
              <w:t>0.0024</w:t>
            </w:r>
          </w:p>
        </w:tc>
      </w:tr>
    </w:tbl>
    <w:p w14:paraId="738EBC95" w14:textId="3B4028DC" w:rsidR="00D0629E" w:rsidRPr="00CE427E" w:rsidRDefault="00D0629E" w:rsidP="00F41634">
      <w:pPr>
        <w:tabs>
          <w:tab w:val="clear" w:pos="567"/>
        </w:tabs>
        <w:autoSpaceDE w:val="0"/>
        <w:autoSpaceDN w:val="0"/>
        <w:adjustRightInd w:val="0"/>
        <w:spacing w:line="240" w:lineRule="auto"/>
        <w:rPr>
          <w:rFonts w:eastAsia="Calibri"/>
          <w:sz w:val="20"/>
        </w:rPr>
      </w:pPr>
      <w:r w:rsidRPr="00CE427E">
        <w:rPr>
          <w:rFonts w:eastAsia="Calibri"/>
          <w:sz w:val="20"/>
        </w:rPr>
        <w:t>AC</w:t>
      </w:r>
      <w:r w:rsidRPr="006128F6">
        <w:rPr>
          <w:rFonts w:eastAsia="TimesNewRomanPSMT"/>
          <w:sz w:val="20"/>
        </w:rPr>
        <w:t>→</w:t>
      </w:r>
      <w:r w:rsidRPr="00CE427E">
        <w:rPr>
          <w:rFonts w:eastAsia="Calibri"/>
          <w:sz w:val="20"/>
        </w:rPr>
        <w:t>D </w:t>
      </w:r>
      <w:r w:rsidR="002B7BA5" w:rsidRPr="00CE427E">
        <w:rPr>
          <w:rFonts w:eastAsia="Calibri"/>
          <w:sz w:val="20"/>
        </w:rPr>
        <w:t>= </w:t>
      </w:r>
      <w:r w:rsidRPr="00CE427E">
        <w:rPr>
          <w:rFonts w:eastAsia="Calibri"/>
          <w:sz w:val="20"/>
        </w:rPr>
        <w:t>doxorubicin plus cyclophosphamide, followed by docetaxel; AC</w:t>
      </w:r>
      <w:r w:rsidRPr="006128F6">
        <w:rPr>
          <w:rFonts w:eastAsia="TimesNewRomanPSMT"/>
          <w:sz w:val="20"/>
        </w:rPr>
        <w:t>→</w:t>
      </w:r>
      <w:r w:rsidR="00223279" w:rsidRPr="00CE427E">
        <w:rPr>
          <w:rFonts w:eastAsia="Calibri"/>
          <w:sz w:val="20"/>
        </w:rPr>
        <w:t xml:space="preserve">DH = doxorubicin plus </w:t>
      </w:r>
      <w:r w:rsidRPr="00CE427E">
        <w:rPr>
          <w:rFonts w:eastAsia="Calibri"/>
          <w:sz w:val="20"/>
        </w:rPr>
        <w:t>cyclophosphamide, followed by docetaxel plus trastuzumab; CI = confidence interval</w:t>
      </w:r>
    </w:p>
    <w:p w14:paraId="45E5A7D3" w14:textId="77777777" w:rsidR="00D0629E" w:rsidRPr="00CE427E" w:rsidRDefault="00D0629E" w:rsidP="006128F6">
      <w:pPr>
        <w:spacing w:line="240" w:lineRule="auto"/>
        <w:ind w:left="561" w:hanging="561"/>
        <w:outlineLvl w:val="0"/>
        <w:rPr>
          <w:rFonts w:eastAsia="Calibri"/>
          <w:szCs w:val="22"/>
        </w:rPr>
      </w:pPr>
    </w:p>
    <w:p w14:paraId="166421B2" w14:textId="77777777" w:rsidR="00D0629E" w:rsidRPr="00CE427E" w:rsidRDefault="00D0629E" w:rsidP="006128F6">
      <w:pPr>
        <w:keepNext/>
        <w:spacing w:line="240" w:lineRule="auto"/>
        <w:ind w:left="561" w:hanging="561"/>
        <w:outlineLvl w:val="0"/>
        <w:rPr>
          <w:rFonts w:eastAsia="Calibri"/>
          <w:b/>
          <w:szCs w:val="22"/>
        </w:rPr>
      </w:pPr>
      <w:r w:rsidRPr="00CE427E">
        <w:rPr>
          <w:rFonts w:eastAsia="Calibri"/>
          <w:b/>
          <w:szCs w:val="22"/>
        </w:rPr>
        <w:t>Table 10 Overview of efficacy analyses BCIRG 006 AC</w:t>
      </w:r>
      <w:r w:rsidRPr="006128F6">
        <w:rPr>
          <w:rFonts w:eastAsia="TimesNewRomanPSMT"/>
          <w:b/>
          <w:szCs w:val="22"/>
        </w:rPr>
        <w:t>→</w:t>
      </w:r>
      <w:r w:rsidRPr="00CE427E">
        <w:rPr>
          <w:rFonts w:eastAsia="Calibri"/>
          <w:b/>
          <w:szCs w:val="22"/>
        </w:rPr>
        <w:t>D versus DCarbH</w:t>
      </w:r>
    </w:p>
    <w:p w14:paraId="1A6D6D8D" w14:textId="77777777" w:rsidR="00D0629E" w:rsidRPr="00CE427E" w:rsidRDefault="00D0629E" w:rsidP="006128F6">
      <w:pPr>
        <w:spacing w:line="240" w:lineRule="auto"/>
        <w:ind w:left="561" w:hanging="561"/>
        <w:outlineLvl w:val="0"/>
        <w:rPr>
          <w:rFonts w:eastAsia="Calibr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2043"/>
        <w:gridCol w:w="1885"/>
        <w:gridCol w:w="2199"/>
      </w:tblGrid>
      <w:tr w:rsidR="0058537E" w:rsidRPr="006128F6" w14:paraId="14B26B93" w14:textId="77777777" w:rsidTr="007519ED">
        <w:trPr>
          <w:trHeight w:val="300"/>
        </w:trPr>
        <w:tc>
          <w:tcPr>
            <w:tcW w:w="1701" w:type="pct"/>
            <w:shd w:val="clear" w:color="auto" w:fill="auto"/>
            <w:noWrap/>
            <w:hideMark/>
          </w:tcPr>
          <w:p w14:paraId="7310836D" w14:textId="77777777" w:rsidR="0058537E" w:rsidRPr="006128F6" w:rsidRDefault="0058537E" w:rsidP="006128F6">
            <w:pPr>
              <w:tabs>
                <w:tab w:val="clear" w:pos="567"/>
              </w:tabs>
              <w:spacing w:line="240" w:lineRule="auto"/>
              <w:jc w:val="center"/>
              <w:rPr>
                <w:b/>
                <w:color w:val="000000"/>
                <w:szCs w:val="22"/>
                <w:lang w:eastAsia="en-GB"/>
              </w:rPr>
            </w:pPr>
            <w:r w:rsidRPr="006128F6">
              <w:rPr>
                <w:b/>
              </w:rPr>
              <w:t>Parameter</w:t>
            </w:r>
          </w:p>
        </w:tc>
        <w:tc>
          <w:tcPr>
            <w:tcW w:w="1100" w:type="pct"/>
            <w:shd w:val="clear" w:color="auto" w:fill="auto"/>
            <w:noWrap/>
          </w:tcPr>
          <w:p w14:paraId="5B8ED831" w14:textId="77777777" w:rsidR="0058537E" w:rsidRPr="00CE427E" w:rsidRDefault="0058537E" w:rsidP="006128F6">
            <w:pPr>
              <w:tabs>
                <w:tab w:val="clear" w:pos="567"/>
              </w:tabs>
              <w:autoSpaceDE w:val="0"/>
              <w:autoSpaceDN w:val="0"/>
              <w:adjustRightInd w:val="0"/>
              <w:spacing w:line="240" w:lineRule="auto"/>
              <w:jc w:val="center"/>
              <w:rPr>
                <w:rFonts w:eastAsia="MS Mincho"/>
                <w:b/>
                <w:szCs w:val="22"/>
                <w:lang w:eastAsia="en-GB"/>
              </w:rPr>
            </w:pPr>
            <w:r w:rsidRPr="00CE427E">
              <w:rPr>
                <w:rFonts w:eastAsia="MS Mincho"/>
                <w:b/>
                <w:szCs w:val="22"/>
                <w:lang w:eastAsia="en-GB"/>
              </w:rPr>
              <w:t>AC</w:t>
            </w:r>
            <w:r w:rsidRPr="006128F6">
              <w:rPr>
                <w:rFonts w:eastAsia="TimesNewRomanPSMT"/>
                <w:b/>
                <w:szCs w:val="22"/>
                <w:lang w:eastAsia="en-GB"/>
              </w:rPr>
              <w:t>→</w:t>
            </w:r>
            <w:r w:rsidRPr="00CE427E">
              <w:rPr>
                <w:rFonts w:eastAsia="MS Mincho"/>
                <w:b/>
                <w:szCs w:val="22"/>
                <w:lang w:eastAsia="en-GB"/>
              </w:rPr>
              <w:t>D</w:t>
            </w:r>
          </w:p>
          <w:p w14:paraId="1208C9B6" w14:textId="5D1BE43B" w:rsidR="0058537E" w:rsidRPr="006128F6" w:rsidRDefault="0058537E" w:rsidP="006128F6">
            <w:pPr>
              <w:tabs>
                <w:tab w:val="clear" w:pos="567"/>
              </w:tabs>
              <w:spacing w:line="240" w:lineRule="auto"/>
              <w:jc w:val="center"/>
              <w:rPr>
                <w:b/>
                <w:color w:val="000000"/>
                <w:szCs w:val="22"/>
                <w:lang w:eastAsia="en-GB"/>
              </w:rPr>
            </w:pPr>
            <w:r w:rsidRPr="00CE427E">
              <w:rPr>
                <w:rFonts w:eastAsia="MS Mincho"/>
                <w:b/>
                <w:szCs w:val="22"/>
                <w:lang w:eastAsia="en-GB"/>
              </w:rPr>
              <w:t>(n</w:t>
            </w:r>
            <w:r w:rsidR="002B7BA5" w:rsidRPr="00CE427E">
              <w:rPr>
                <w:rFonts w:eastAsia="MS Mincho"/>
                <w:b/>
                <w:szCs w:val="22"/>
                <w:lang w:eastAsia="en-GB"/>
              </w:rPr>
              <w:t> </w:t>
            </w:r>
            <w:r w:rsidRPr="00CE427E">
              <w:rPr>
                <w:rFonts w:eastAsia="MS Mincho"/>
                <w:b/>
                <w:szCs w:val="22"/>
                <w:lang w:eastAsia="en-GB"/>
              </w:rPr>
              <w:t>=</w:t>
            </w:r>
            <w:r w:rsidR="002B7BA5" w:rsidRPr="00CE427E">
              <w:rPr>
                <w:rFonts w:eastAsia="MS Mincho"/>
                <w:b/>
                <w:szCs w:val="22"/>
                <w:lang w:eastAsia="en-GB"/>
              </w:rPr>
              <w:t> </w:t>
            </w:r>
            <w:r w:rsidRPr="00CE427E">
              <w:rPr>
                <w:rFonts w:eastAsia="MS Mincho"/>
                <w:b/>
                <w:szCs w:val="22"/>
                <w:lang w:eastAsia="en-GB"/>
              </w:rPr>
              <w:t>1</w:t>
            </w:r>
            <w:r w:rsidR="000B44AA">
              <w:rPr>
                <w:rFonts w:eastAsia="MS Mincho"/>
                <w:b/>
                <w:szCs w:val="22"/>
                <w:lang w:eastAsia="en-GB"/>
              </w:rPr>
              <w:t> </w:t>
            </w:r>
            <w:r w:rsidRPr="00CE427E">
              <w:rPr>
                <w:rFonts w:eastAsia="MS Mincho"/>
                <w:b/>
                <w:szCs w:val="22"/>
                <w:lang w:eastAsia="en-GB"/>
              </w:rPr>
              <w:t>073)</w:t>
            </w:r>
          </w:p>
        </w:tc>
        <w:tc>
          <w:tcPr>
            <w:tcW w:w="1015" w:type="pct"/>
            <w:shd w:val="clear" w:color="auto" w:fill="auto"/>
            <w:noWrap/>
          </w:tcPr>
          <w:p w14:paraId="762F12E5" w14:textId="77777777" w:rsidR="0058537E" w:rsidRPr="00CE427E" w:rsidRDefault="0058537E" w:rsidP="006128F6">
            <w:pPr>
              <w:tabs>
                <w:tab w:val="clear" w:pos="567"/>
              </w:tabs>
              <w:autoSpaceDE w:val="0"/>
              <w:autoSpaceDN w:val="0"/>
              <w:adjustRightInd w:val="0"/>
              <w:spacing w:line="240" w:lineRule="auto"/>
              <w:jc w:val="center"/>
              <w:rPr>
                <w:rFonts w:eastAsia="MS Mincho"/>
                <w:b/>
                <w:szCs w:val="22"/>
                <w:lang w:eastAsia="en-GB"/>
              </w:rPr>
            </w:pPr>
            <w:r w:rsidRPr="00CE427E">
              <w:rPr>
                <w:rFonts w:eastAsia="MS Mincho"/>
                <w:b/>
                <w:szCs w:val="22"/>
                <w:lang w:eastAsia="en-GB"/>
              </w:rPr>
              <w:t>DCarbH</w:t>
            </w:r>
          </w:p>
          <w:p w14:paraId="06F4DBD9" w14:textId="120F899F" w:rsidR="0058537E" w:rsidRPr="006128F6" w:rsidRDefault="0058537E" w:rsidP="006128F6">
            <w:pPr>
              <w:tabs>
                <w:tab w:val="clear" w:pos="567"/>
              </w:tabs>
              <w:spacing w:line="240" w:lineRule="auto"/>
              <w:jc w:val="center"/>
              <w:rPr>
                <w:b/>
                <w:color w:val="000000"/>
                <w:szCs w:val="22"/>
                <w:lang w:eastAsia="en-GB"/>
              </w:rPr>
            </w:pPr>
            <w:r w:rsidRPr="00CE427E">
              <w:rPr>
                <w:rFonts w:eastAsia="MS Mincho"/>
                <w:b/>
                <w:szCs w:val="22"/>
                <w:lang w:eastAsia="en-GB"/>
              </w:rPr>
              <w:t>(n</w:t>
            </w:r>
            <w:r w:rsidR="002B7BA5" w:rsidRPr="00CE427E">
              <w:rPr>
                <w:rFonts w:eastAsia="MS Mincho"/>
                <w:b/>
                <w:szCs w:val="22"/>
                <w:lang w:eastAsia="en-GB"/>
              </w:rPr>
              <w:t> </w:t>
            </w:r>
            <w:r w:rsidRPr="00CE427E">
              <w:rPr>
                <w:rFonts w:eastAsia="MS Mincho"/>
                <w:b/>
                <w:szCs w:val="22"/>
                <w:lang w:eastAsia="en-GB"/>
              </w:rPr>
              <w:t>=</w:t>
            </w:r>
            <w:r w:rsidR="002B7BA5" w:rsidRPr="00CE427E">
              <w:rPr>
                <w:rFonts w:eastAsia="MS Mincho"/>
                <w:b/>
                <w:szCs w:val="22"/>
                <w:lang w:eastAsia="en-GB"/>
              </w:rPr>
              <w:t> </w:t>
            </w:r>
            <w:r w:rsidRPr="00CE427E">
              <w:rPr>
                <w:rFonts w:eastAsia="MS Mincho"/>
                <w:b/>
                <w:szCs w:val="22"/>
                <w:lang w:eastAsia="en-GB"/>
              </w:rPr>
              <w:t>1</w:t>
            </w:r>
            <w:r w:rsidR="000B44AA">
              <w:rPr>
                <w:rFonts w:eastAsia="MS Mincho"/>
                <w:b/>
                <w:szCs w:val="22"/>
                <w:lang w:eastAsia="en-GB"/>
              </w:rPr>
              <w:t> </w:t>
            </w:r>
            <w:r w:rsidRPr="00CE427E">
              <w:rPr>
                <w:rFonts w:eastAsia="MS Mincho"/>
                <w:b/>
                <w:szCs w:val="22"/>
                <w:lang w:eastAsia="en-GB"/>
              </w:rPr>
              <w:t>074)</w:t>
            </w:r>
          </w:p>
        </w:tc>
        <w:tc>
          <w:tcPr>
            <w:tcW w:w="1185" w:type="pct"/>
            <w:shd w:val="clear" w:color="auto" w:fill="auto"/>
            <w:noWrap/>
          </w:tcPr>
          <w:p w14:paraId="7AA2C2A9" w14:textId="4409CCAE" w:rsidR="0058537E" w:rsidRPr="00CE427E" w:rsidRDefault="0058537E" w:rsidP="006128F6">
            <w:pPr>
              <w:tabs>
                <w:tab w:val="clear" w:pos="567"/>
              </w:tabs>
              <w:autoSpaceDE w:val="0"/>
              <w:autoSpaceDN w:val="0"/>
              <w:adjustRightInd w:val="0"/>
              <w:spacing w:line="240" w:lineRule="auto"/>
              <w:jc w:val="center"/>
              <w:rPr>
                <w:rFonts w:eastAsia="MS Mincho"/>
                <w:b/>
                <w:szCs w:val="22"/>
                <w:lang w:eastAsia="en-GB"/>
              </w:rPr>
            </w:pPr>
            <w:r w:rsidRPr="00CE427E">
              <w:rPr>
                <w:rFonts w:eastAsia="MS Mincho"/>
                <w:b/>
                <w:szCs w:val="22"/>
                <w:lang w:eastAsia="en-GB"/>
              </w:rPr>
              <w:t xml:space="preserve">Hazard </w:t>
            </w:r>
            <w:r w:rsidR="00975B60">
              <w:rPr>
                <w:rFonts w:eastAsia="MS Mincho"/>
                <w:b/>
                <w:szCs w:val="22"/>
                <w:lang w:eastAsia="en-GB"/>
              </w:rPr>
              <w:t>r</w:t>
            </w:r>
            <w:r w:rsidRPr="00CE427E">
              <w:rPr>
                <w:rFonts w:eastAsia="MS Mincho"/>
                <w:b/>
                <w:szCs w:val="22"/>
                <w:lang w:eastAsia="en-GB"/>
              </w:rPr>
              <w:t>atio vs</w:t>
            </w:r>
          </w:p>
          <w:p w14:paraId="5112BB63" w14:textId="77777777" w:rsidR="0058537E" w:rsidRPr="00CE427E" w:rsidRDefault="0058537E" w:rsidP="006128F6">
            <w:pPr>
              <w:tabs>
                <w:tab w:val="clear" w:pos="567"/>
              </w:tabs>
              <w:autoSpaceDE w:val="0"/>
              <w:autoSpaceDN w:val="0"/>
              <w:adjustRightInd w:val="0"/>
              <w:spacing w:line="240" w:lineRule="auto"/>
              <w:jc w:val="center"/>
              <w:rPr>
                <w:rFonts w:eastAsia="MS Mincho"/>
                <w:b/>
                <w:szCs w:val="22"/>
                <w:lang w:eastAsia="en-GB"/>
              </w:rPr>
            </w:pPr>
            <w:r w:rsidRPr="00CE427E">
              <w:rPr>
                <w:rFonts w:eastAsia="MS Mincho"/>
                <w:b/>
                <w:szCs w:val="22"/>
                <w:lang w:eastAsia="en-GB"/>
              </w:rPr>
              <w:t>AC</w:t>
            </w:r>
            <w:r w:rsidRPr="006128F6">
              <w:rPr>
                <w:rFonts w:eastAsia="TimesNewRomanPSMT"/>
                <w:b/>
                <w:szCs w:val="22"/>
                <w:lang w:eastAsia="en-GB"/>
              </w:rPr>
              <w:t>→</w:t>
            </w:r>
            <w:r w:rsidRPr="00CE427E">
              <w:rPr>
                <w:rFonts w:eastAsia="MS Mincho"/>
                <w:b/>
                <w:szCs w:val="22"/>
                <w:lang w:eastAsia="en-GB"/>
              </w:rPr>
              <w:t>D</w:t>
            </w:r>
          </w:p>
          <w:p w14:paraId="56ABB7AE" w14:textId="3CB0D233" w:rsidR="0058537E" w:rsidRPr="006128F6" w:rsidRDefault="004442B5" w:rsidP="006128F6">
            <w:pPr>
              <w:tabs>
                <w:tab w:val="clear" w:pos="567"/>
              </w:tabs>
              <w:spacing w:line="240" w:lineRule="auto"/>
              <w:jc w:val="center"/>
              <w:rPr>
                <w:b/>
                <w:color w:val="000000"/>
                <w:szCs w:val="22"/>
                <w:lang w:eastAsia="en-GB"/>
              </w:rPr>
            </w:pPr>
            <w:r w:rsidRPr="00CE427E">
              <w:rPr>
                <w:rFonts w:eastAsia="MS Mincho"/>
                <w:b/>
                <w:szCs w:val="22"/>
                <w:lang w:eastAsia="en-GB"/>
              </w:rPr>
              <w:t>(95</w:t>
            </w:r>
            <w:r w:rsidR="000840CF" w:rsidRPr="00CE427E">
              <w:rPr>
                <w:rFonts w:eastAsia="MS Mincho"/>
                <w:b/>
                <w:szCs w:val="22"/>
                <w:lang w:eastAsia="en-GB"/>
              </w:rPr>
              <w:t>%</w:t>
            </w:r>
            <w:r w:rsidR="0058537E" w:rsidRPr="00CE427E">
              <w:rPr>
                <w:rFonts w:eastAsia="MS Mincho"/>
                <w:b/>
                <w:szCs w:val="22"/>
                <w:lang w:eastAsia="en-GB"/>
              </w:rPr>
              <w:t xml:space="preserve"> CI)</w:t>
            </w:r>
          </w:p>
        </w:tc>
      </w:tr>
      <w:tr w:rsidR="0058537E" w:rsidRPr="006128F6" w14:paraId="72CE7213" w14:textId="77777777" w:rsidTr="007519ED">
        <w:trPr>
          <w:trHeight w:val="300"/>
        </w:trPr>
        <w:tc>
          <w:tcPr>
            <w:tcW w:w="1701" w:type="pct"/>
            <w:shd w:val="clear" w:color="auto" w:fill="auto"/>
            <w:noWrap/>
          </w:tcPr>
          <w:p w14:paraId="1BD5A652" w14:textId="77777777" w:rsidR="0058537E" w:rsidRPr="00CE427E" w:rsidRDefault="0058537E" w:rsidP="006128F6">
            <w:pPr>
              <w:tabs>
                <w:tab w:val="clear" w:pos="567"/>
              </w:tabs>
              <w:autoSpaceDE w:val="0"/>
              <w:autoSpaceDN w:val="0"/>
              <w:adjustRightInd w:val="0"/>
              <w:spacing w:line="240" w:lineRule="auto"/>
              <w:rPr>
                <w:rFonts w:eastAsia="MS Mincho"/>
                <w:szCs w:val="22"/>
                <w:lang w:eastAsia="en-GB"/>
              </w:rPr>
            </w:pPr>
            <w:r w:rsidRPr="00CE427E">
              <w:rPr>
                <w:rFonts w:eastAsia="MS Mincho"/>
                <w:szCs w:val="22"/>
                <w:lang w:eastAsia="en-GB"/>
              </w:rPr>
              <w:t>Disease-free survival</w:t>
            </w:r>
          </w:p>
          <w:p w14:paraId="6E5A48F1" w14:textId="77777777" w:rsidR="0058537E" w:rsidRPr="006128F6" w:rsidRDefault="0058537E" w:rsidP="006128F6">
            <w:pPr>
              <w:tabs>
                <w:tab w:val="clear" w:pos="567"/>
              </w:tabs>
              <w:spacing w:line="240" w:lineRule="auto"/>
              <w:rPr>
                <w:color w:val="000000"/>
                <w:szCs w:val="22"/>
                <w:lang w:eastAsia="en-GB"/>
              </w:rPr>
            </w:pPr>
            <w:r w:rsidRPr="00CE427E">
              <w:rPr>
                <w:rFonts w:eastAsia="MS Mincho"/>
                <w:szCs w:val="22"/>
                <w:lang w:eastAsia="en-GB"/>
              </w:rPr>
              <w:t>No. patients with even</w:t>
            </w:r>
            <w:r w:rsidR="00F95C5D" w:rsidRPr="00CE427E">
              <w:rPr>
                <w:rFonts w:eastAsia="MS Mincho"/>
                <w:szCs w:val="22"/>
                <w:lang w:eastAsia="en-GB"/>
              </w:rPr>
              <w:t>t</w:t>
            </w:r>
          </w:p>
        </w:tc>
        <w:tc>
          <w:tcPr>
            <w:tcW w:w="1100" w:type="pct"/>
            <w:shd w:val="clear" w:color="auto" w:fill="auto"/>
            <w:noWrap/>
          </w:tcPr>
          <w:p w14:paraId="18AD2563" w14:textId="77777777" w:rsidR="00F95C5D" w:rsidRPr="006128F6" w:rsidRDefault="00F95C5D" w:rsidP="006128F6">
            <w:pPr>
              <w:tabs>
                <w:tab w:val="clear" w:pos="567"/>
              </w:tabs>
              <w:spacing w:line="240" w:lineRule="auto"/>
              <w:jc w:val="center"/>
            </w:pPr>
          </w:p>
          <w:p w14:paraId="458006BB" w14:textId="77777777" w:rsidR="0058537E" w:rsidRPr="006128F6" w:rsidRDefault="0058537E" w:rsidP="006128F6">
            <w:pPr>
              <w:tabs>
                <w:tab w:val="clear" w:pos="567"/>
              </w:tabs>
              <w:spacing w:line="240" w:lineRule="auto"/>
              <w:jc w:val="center"/>
              <w:rPr>
                <w:color w:val="000000"/>
                <w:szCs w:val="22"/>
                <w:lang w:eastAsia="en-GB"/>
              </w:rPr>
            </w:pPr>
            <w:r w:rsidRPr="006128F6">
              <w:t>195</w:t>
            </w:r>
          </w:p>
        </w:tc>
        <w:tc>
          <w:tcPr>
            <w:tcW w:w="1015" w:type="pct"/>
            <w:shd w:val="clear" w:color="auto" w:fill="auto"/>
            <w:noWrap/>
          </w:tcPr>
          <w:p w14:paraId="5B8EFD83" w14:textId="77777777" w:rsidR="00F95C5D" w:rsidRPr="006128F6" w:rsidRDefault="00F95C5D" w:rsidP="006128F6">
            <w:pPr>
              <w:tabs>
                <w:tab w:val="clear" w:pos="567"/>
              </w:tabs>
              <w:spacing w:line="240" w:lineRule="auto"/>
              <w:jc w:val="center"/>
            </w:pPr>
          </w:p>
          <w:p w14:paraId="17A072AB" w14:textId="77777777" w:rsidR="0058537E" w:rsidRPr="006128F6" w:rsidRDefault="0058537E" w:rsidP="006128F6">
            <w:pPr>
              <w:tabs>
                <w:tab w:val="clear" w:pos="567"/>
              </w:tabs>
              <w:spacing w:line="240" w:lineRule="auto"/>
              <w:jc w:val="center"/>
              <w:rPr>
                <w:color w:val="000000"/>
                <w:szCs w:val="22"/>
                <w:lang w:eastAsia="en-GB"/>
              </w:rPr>
            </w:pPr>
            <w:r w:rsidRPr="006128F6">
              <w:t>145</w:t>
            </w:r>
          </w:p>
        </w:tc>
        <w:tc>
          <w:tcPr>
            <w:tcW w:w="1185" w:type="pct"/>
            <w:shd w:val="clear" w:color="auto" w:fill="auto"/>
            <w:noWrap/>
          </w:tcPr>
          <w:p w14:paraId="015BC911" w14:textId="77777777" w:rsidR="00F95C5D" w:rsidRPr="00CE427E" w:rsidRDefault="00F95C5D" w:rsidP="006128F6">
            <w:pPr>
              <w:tabs>
                <w:tab w:val="clear" w:pos="567"/>
              </w:tabs>
              <w:autoSpaceDE w:val="0"/>
              <w:autoSpaceDN w:val="0"/>
              <w:adjustRightInd w:val="0"/>
              <w:spacing w:line="240" w:lineRule="auto"/>
              <w:jc w:val="center"/>
              <w:rPr>
                <w:rFonts w:eastAsia="MS Mincho"/>
                <w:szCs w:val="22"/>
                <w:lang w:eastAsia="en-GB"/>
              </w:rPr>
            </w:pPr>
          </w:p>
          <w:p w14:paraId="393D3478" w14:textId="77777777" w:rsidR="0058537E" w:rsidRPr="00CE427E" w:rsidRDefault="0058537E" w:rsidP="006128F6">
            <w:pPr>
              <w:tabs>
                <w:tab w:val="clear" w:pos="567"/>
              </w:tabs>
              <w:autoSpaceDE w:val="0"/>
              <w:autoSpaceDN w:val="0"/>
              <w:adjustRightInd w:val="0"/>
              <w:spacing w:line="240" w:lineRule="auto"/>
              <w:jc w:val="center"/>
              <w:rPr>
                <w:rFonts w:eastAsia="MS Mincho"/>
                <w:szCs w:val="22"/>
                <w:lang w:eastAsia="en-GB"/>
              </w:rPr>
            </w:pPr>
            <w:r w:rsidRPr="00CE427E">
              <w:rPr>
                <w:rFonts w:eastAsia="MS Mincho"/>
                <w:szCs w:val="22"/>
                <w:lang w:eastAsia="en-GB"/>
              </w:rPr>
              <w:t>0.67 (0.54, 0.83)</w:t>
            </w:r>
          </w:p>
          <w:p w14:paraId="7C12A846" w14:textId="77777777" w:rsidR="0058537E" w:rsidRPr="006128F6" w:rsidRDefault="002B7BA5" w:rsidP="006128F6">
            <w:pPr>
              <w:tabs>
                <w:tab w:val="clear" w:pos="567"/>
              </w:tabs>
              <w:spacing w:line="240" w:lineRule="auto"/>
              <w:jc w:val="center"/>
              <w:rPr>
                <w:color w:val="000000"/>
                <w:szCs w:val="22"/>
                <w:lang w:eastAsia="en-GB"/>
              </w:rPr>
            </w:pPr>
            <w:r w:rsidRPr="00CE427E">
              <w:rPr>
                <w:rFonts w:eastAsia="MS Mincho"/>
                <w:szCs w:val="22"/>
                <w:lang w:eastAsia="en-GB"/>
              </w:rPr>
              <w:t>p </w:t>
            </w:r>
            <w:r w:rsidR="0058537E" w:rsidRPr="00CE427E">
              <w:rPr>
                <w:rFonts w:eastAsia="MS Mincho"/>
                <w:szCs w:val="22"/>
                <w:lang w:eastAsia="en-GB"/>
              </w:rPr>
              <w:t>=</w:t>
            </w:r>
            <w:r w:rsidRPr="00CE427E">
              <w:rPr>
                <w:rFonts w:eastAsia="MS Mincho"/>
                <w:szCs w:val="22"/>
                <w:lang w:eastAsia="en-GB"/>
              </w:rPr>
              <w:t> </w:t>
            </w:r>
            <w:r w:rsidR="0058537E" w:rsidRPr="00CE427E">
              <w:rPr>
                <w:rFonts w:eastAsia="MS Mincho"/>
                <w:szCs w:val="22"/>
                <w:lang w:eastAsia="en-GB"/>
              </w:rPr>
              <w:t>0.0003</w:t>
            </w:r>
          </w:p>
        </w:tc>
      </w:tr>
      <w:tr w:rsidR="0058537E" w:rsidRPr="006128F6" w14:paraId="562B58F7" w14:textId="77777777" w:rsidTr="007519ED">
        <w:trPr>
          <w:trHeight w:val="300"/>
        </w:trPr>
        <w:tc>
          <w:tcPr>
            <w:tcW w:w="1701" w:type="pct"/>
            <w:shd w:val="clear" w:color="auto" w:fill="auto"/>
            <w:noWrap/>
          </w:tcPr>
          <w:p w14:paraId="74FB2B6D" w14:textId="77777777" w:rsidR="0058537E" w:rsidRPr="00CE427E" w:rsidRDefault="0058537E" w:rsidP="006128F6">
            <w:pPr>
              <w:tabs>
                <w:tab w:val="clear" w:pos="567"/>
              </w:tabs>
              <w:autoSpaceDE w:val="0"/>
              <w:autoSpaceDN w:val="0"/>
              <w:adjustRightInd w:val="0"/>
              <w:spacing w:line="240" w:lineRule="auto"/>
              <w:rPr>
                <w:rFonts w:eastAsia="MS Mincho"/>
                <w:szCs w:val="22"/>
                <w:lang w:eastAsia="en-GB"/>
              </w:rPr>
            </w:pPr>
            <w:r w:rsidRPr="00CE427E">
              <w:rPr>
                <w:rFonts w:eastAsia="MS Mincho"/>
                <w:szCs w:val="22"/>
                <w:lang w:eastAsia="en-GB"/>
              </w:rPr>
              <w:t>Distant recurrence</w:t>
            </w:r>
          </w:p>
          <w:p w14:paraId="62BDDD6C" w14:textId="77777777" w:rsidR="0058537E" w:rsidRPr="006128F6" w:rsidRDefault="0058537E" w:rsidP="006128F6">
            <w:pPr>
              <w:tabs>
                <w:tab w:val="clear" w:pos="567"/>
              </w:tabs>
              <w:spacing w:line="240" w:lineRule="auto"/>
              <w:rPr>
                <w:color w:val="000000"/>
                <w:szCs w:val="22"/>
                <w:lang w:eastAsia="en-GB"/>
              </w:rPr>
            </w:pPr>
            <w:r w:rsidRPr="00CE427E">
              <w:rPr>
                <w:rFonts w:eastAsia="MS Mincho"/>
                <w:szCs w:val="22"/>
                <w:lang w:eastAsia="en-GB"/>
              </w:rPr>
              <w:t>No. patients with event</w:t>
            </w:r>
          </w:p>
        </w:tc>
        <w:tc>
          <w:tcPr>
            <w:tcW w:w="1100" w:type="pct"/>
            <w:shd w:val="clear" w:color="auto" w:fill="auto"/>
            <w:noWrap/>
          </w:tcPr>
          <w:p w14:paraId="28E45692" w14:textId="77777777" w:rsidR="00F95C5D" w:rsidRPr="006128F6" w:rsidRDefault="00F95C5D" w:rsidP="006128F6">
            <w:pPr>
              <w:tabs>
                <w:tab w:val="clear" w:pos="567"/>
              </w:tabs>
              <w:spacing w:line="240" w:lineRule="auto"/>
              <w:jc w:val="center"/>
            </w:pPr>
          </w:p>
          <w:p w14:paraId="5AD9ECD0" w14:textId="77777777" w:rsidR="0058537E" w:rsidRPr="006128F6" w:rsidRDefault="0058537E" w:rsidP="006128F6">
            <w:pPr>
              <w:tabs>
                <w:tab w:val="clear" w:pos="567"/>
              </w:tabs>
              <w:spacing w:line="240" w:lineRule="auto"/>
              <w:jc w:val="center"/>
              <w:rPr>
                <w:color w:val="000000"/>
                <w:szCs w:val="22"/>
                <w:lang w:eastAsia="en-GB"/>
              </w:rPr>
            </w:pPr>
            <w:r w:rsidRPr="006128F6">
              <w:t>144</w:t>
            </w:r>
          </w:p>
        </w:tc>
        <w:tc>
          <w:tcPr>
            <w:tcW w:w="1015" w:type="pct"/>
            <w:shd w:val="clear" w:color="auto" w:fill="auto"/>
            <w:noWrap/>
          </w:tcPr>
          <w:p w14:paraId="755ED63B" w14:textId="77777777" w:rsidR="00F95C5D" w:rsidRPr="006128F6" w:rsidRDefault="00F95C5D" w:rsidP="006128F6">
            <w:pPr>
              <w:tabs>
                <w:tab w:val="clear" w:pos="567"/>
              </w:tabs>
              <w:spacing w:line="240" w:lineRule="auto"/>
              <w:jc w:val="center"/>
            </w:pPr>
          </w:p>
          <w:p w14:paraId="524D7A23" w14:textId="77777777" w:rsidR="0058537E" w:rsidRPr="006128F6" w:rsidRDefault="0058537E" w:rsidP="006128F6">
            <w:pPr>
              <w:tabs>
                <w:tab w:val="clear" w:pos="567"/>
              </w:tabs>
              <w:spacing w:line="240" w:lineRule="auto"/>
              <w:jc w:val="center"/>
              <w:rPr>
                <w:color w:val="000000"/>
                <w:szCs w:val="22"/>
                <w:lang w:eastAsia="en-GB"/>
              </w:rPr>
            </w:pPr>
            <w:r w:rsidRPr="006128F6">
              <w:t>103</w:t>
            </w:r>
          </w:p>
        </w:tc>
        <w:tc>
          <w:tcPr>
            <w:tcW w:w="1185" w:type="pct"/>
            <w:shd w:val="clear" w:color="auto" w:fill="auto"/>
            <w:noWrap/>
          </w:tcPr>
          <w:p w14:paraId="01536F5A" w14:textId="77777777" w:rsidR="00F95C5D" w:rsidRPr="00CE427E" w:rsidRDefault="00F95C5D" w:rsidP="006128F6">
            <w:pPr>
              <w:tabs>
                <w:tab w:val="clear" w:pos="567"/>
              </w:tabs>
              <w:autoSpaceDE w:val="0"/>
              <w:autoSpaceDN w:val="0"/>
              <w:adjustRightInd w:val="0"/>
              <w:spacing w:line="240" w:lineRule="auto"/>
              <w:jc w:val="center"/>
              <w:rPr>
                <w:rFonts w:eastAsia="MS Mincho"/>
                <w:szCs w:val="22"/>
                <w:lang w:eastAsia="en-GB"/>
              </w:rPr>
            </w:pPr>
          </w:p>
          <w:p w14:paraId="78E392FA" w14:textId="77777777" w:rsidR="0058537E" w:rsidRPr="00CE427E" w:rsidRDefault="0058537E" w:rsidP="006128F6">
            <w:pPr>
              <w:tabs>
                <w:tab w:val="clear" w:pos="567"/>
              </w:tabs>
              <w:autoSpaceDE w:val="0"/>
              <w:autoSpaceDN w:val="0"/>
              <w:adjustRightInd w:val="0"/>
              <w:spacing w:line="240" w:lineRule="auto"/>
              <w:jc w:val="center"/>
              <w:rPr>
                <w:rFonts w:eastAsia="MS Mincho"/>
                <w:szCs w:val="22"/>
                <w:lang w:eastAsia="en-GB"/>
              </w:rPr>
            </w:pPr>
            <w:r w:rsidRPr="00CE427E">
              <w:rPr>
                <w:rFonts w:eastAsia="MS Mincho"/>
                <w:szCs w:val="22"/>
                <w:lang w:eastAsia="en-GB"/>
              </w:rPr>
              <w:t>0.65 (0.50, 0.84)</w:t>
            </w:r>
          </w:p>
          <w:p w14:paraId="4D8A855E" w14:textId="77777777" w:rsidR="0058537E" w:rsidRPr="006128F6" w:rsidRDefault="0058537E" w:rsidP="006128F6">
            <w:pPr>
              <w:tabs>
                <w:tab w:val="clear" w:pos="567"/>
              </w:tabs>
              <w:spacing w:line="240" w:lineRule="auto"/>
              <w:jc w:val="center"/>
              <w:rPr>
                <w:color w:val="000000"/>
                <w:szCs w:val="22"/>
                <w:lang w:eastAsia="en-GB"/>
              </w:rPr>
            </w:pPr>
            <w:r w:rsidRPr="00CE427E">
              <w:rPr>
                <w:rFonts w:eastAsia="MS Mincho"/>
                <w:szCs w:val="22"/>
                <w:lang w:eastAsia="en-GB"/>
              </w:rPr>
              <w:t>p</w:t>
            </w:r>
            <w:r w:rsidR="002B7BA5" w:rsidRPr="00CE427E">
              <w:rPr>
                <w:rFonts w:eastAsia="MS Mincho"/>
                <w:szCs w:val="22"/>
                <w:lang w:eastAsia="en-GB"/>
              </w:rPr>
              <w:t> </w:t>
            </w:r>
            <w:r w:rsidRPr="00CE427E">
              <w:rPr>
                <w:rFonts w:eastAsia="MS Mincho"/>
                <w:szCs w:val="22"/>
                <w:lang w:eastAsia="en-GB"/>
              </w:rPr>
              <w:t>=</w:t>
            </w:r>
            <w:r w:rsidR="002B7BA5" w:rsidRPr="00CE427E">
              <w:rPr>
                <w:rFonts w:eastAsia="MS Mincho"/>
                <w:szCs w:val="22"/>
                <w:lang w:eastAsia="en-GB"/>
              </w:rPr>
              <w:t> </w:t>
            </w:r>
            <w:r w:rsidRPr="00CE427E">
              <w:rPr>
                <w:rFonts w:eastAsia="MS Mincho"/>
                <w:szCs w:val="22"/>
                <w:lang w:eastAsia="en-GB"/>
              </w:rPr>
              <w:t>0.0008</w:t>
            </w:r>
          </w:p>
        </w:tc>
      </w:tr>
      <w:tr w:rsidR="0058537E" w:rsidRPr="006128F6" w14:paraId="1E46DE18" w14:textId="77777777" w:rsidTr="007519ED">
        <w:trPr>
          <w:trHeight w:val="300"/>
        </w:trPr>
        <w:tc>
          <w:tcPr>
            <w:tcW w:w="1701" w:type="pct"/>
            <w:shd w:val="clear" w:color="auto" w:fill="auto"/>
            <w:noWrap/>
          </w:tcPr>
          <w:p w14:paraId="5800D232" w14:textId="77777777" w:rsidR="0058537E" w:rsidRPr="00CE427E" w:rsidRDefault="0058537E" w:rsidP="006128F6">
            <w:pPr>
              <w:tabs>
                <w:tab w:val="clear" w:pos="567"/>
              </w:tabs>
              <w:autoSpaceDE w:val="0"/>
              <w:autoSpaceDN w:val="0"/>
              <w:adjustRightInd w:val="0"/>
              <w:spacing w:line="240" w:lineRule="auto"/>
              <w:rPr>
                <w:rFonts w:eastAsia="MS Mincho"/>
                <w:szCs w:val="22"/>
                <w:lang w:eastAsia="en-GB"/>
              </w:rPr>
            </w:pPr>
            <w:r w:rsidRPr="00CE427E">
              <w:rPr>
                <w:rFonts w:eastAsia="MS Mincho"/>
                <w:szCs w:val="22"/>
                <w:lang w:eastAsia="en-GB"/>
              </w:rPr>
              <w:t>Death (OS event)</w:t>
            </w:r>
          </w:p>
          <w:p w14:paraId="328CB988" w14:textId="77777777" w:rsidR="0058537E" w:rsidRPr="006128F6" w:rsidRDefault="0058537E" w:rsidP="006128F6">
            <w:pPr>
              <w:tabs>
                <w:tab w:val="clear" w:pos="567"/>
              </w:tabs>
              <w:spacing w:line="240" w:lineRule="auto"/>
              <w:rPr>
                <w:color w:val="000000"/>
                <w:szCs w:val="22"/>
                <w:lang w:eastAsia="en-GB"/>
              </w:rPr>
            </w:pPr>
            <w:r w:rsidRPr="00CE427E">
              <w:rPr>
                <w:rFonts w:eastAsia="MS Mincho"/>
                <w:szCs w:val="22"/>
                <w:lang w:eastAsia="en-GB"/>
              </w:rPr>
              <w:t>No. patients with event</w:t>
            </w:r>
          </w:p>
        </w:tc>
        <w:tc>
          <w:tcPr>
            <w:tcW w:w="1100" w:type="pct"/>
            <w:shd w:val="clear" w:color="auto" w:fill="auto"/>
            <w:noWrap/>
          </w:tcPr>
          <w:p w14:paraId="5BB6696D" w14:textId="77777777" w:rsidR="00F95C5D" w:rsidRPr="006128F6" w:rsidRDefault="00F95C5D" w:rsidP="006128F6">
            <w:pPr>
              <w:tabs>
                <w:tab w:val="clear" w:pos="567"/>
              </w:tabs>
              <w:spacing w:line="240" w:lineRule="auto"/>
              <w:jc w:val="center"/>
            </w:pPr>
          </w:p>
          <w:p w14:paraId="7FF75E53" w14:textId="77777777" w:rsidR="0058537E" w:rsidRPr="006128F6" w:rsidRDefault="0058537E" w:rsidP="006128F6">
            <w:pPr>
              <w:tabs>
                <w:tab w:val="clear" w:pos="567"/>
              </w:tabs>
              <w:spacing w:line="240" w:lineRule="auto"/>
              <w:jc w:val="center"/>
              <w:rPr>
                <w:color w:val="000000"/>
                <w:szCs w:val="22"/>
                <w:lang w:eastAsia="en-GB"/>
              </w:rPr>
            </w:pPr>
            <w:r w:rsidRPr="006128F6">
              <w:t>80</w:t>
            </w:r>
          </w:p>
        </w:tc>
        <w:tc>
          <w:tcPr>
            <w:tcW w:w="1015" w:type="pct"/>
            <w:shd w:val="clear" w:color="auto" w:fill="auto"/>
            <w:noWrap/>
          </w:tcPr>
          <w:p w14:paraId="4FEA8D4A" w14:textId="77777777" w:rsidR="00F95C5D" w:rsidRPr="006128F6" w:rsidRDefault="00F95C5D" w:rsidP="006128F6">
            <w:pPr>
              <w:tabs>
                <w:tab w:val="clear" w:pos="567"/>
              </w:tabs>
              <w:spacing w:line="240" w:lineRule="auto"/>
              <w:jc w:val="center"/>
            </w:pPr>
          </w:p>
          <w:p w14:paraId="743B2287" w14:textId="77777777" w:rsidR="0058537E" w:rsidRPr="006128F6" w:rsidRDefault="0058537E" w:rsidP="006128F6">
            <w:pPr>
              <w:tabs>
                <w:tab w:val="clear" w:pos="567"/>
              </w:tabs>
              <w:spacing w:line="240" w:lineRule="auto"/>
              <w:jc w:val="center"/>
              <w:rPr>
                <w:color w:val="000000"/>
                <w:szCs w:val="22"/>
                <w:lang w:eastAsia="en-GB"/>
              </w:rPr>
            </w:pPr>
            <w:r w:rsidRPr="006128F6">
              <w:t>56</w:t>
            </w:r>
          </w:p>
        </w:tc>
        <w:tc>
          <w:tcPr>
            <w:tcW w:w="1185" w:type="pct"/>
            <w:shd w:val="clear" w:color="auto" w:fill="auto"/>
            <w:noWrap/>
          </w:tcPr>
          <w:p w14:paraId="1BA87C4C" w14:textId="77777777" w:rsidR="00F95C5D" w:rsidRPr="00CE427E" w:rsidRDefault="00F95C5D" w:rsidP="006128F6">
            <w:pPr>
              <w:tabs>
                <w:tab w:val="clear" w:pos="567"/>
              </w:tabs>
              <w:autoSpaceDE w:val="0"/>
              <w:autoSpaceDN w:val="0"/>
              <w:adjustRightInd w:val="0"/>
              <w:spacing w:line="240" w:lineRule="auto"/>
              <w:jc w:val="center"/>
              <w:rPr>
                <w:rFonts w:eastAsia="MS Mincho"/>
                <w:szCs w:val="22"/>
                <w:lang w:eastAsia="en-GB"/>
              </w:rPr>
            </w:pPr>
          </w:p>
          <w:p w14:paraId="29B52EC7" w14:textId="77777777" w:rsidR="0058537E" w:rsidRPr="00CE427E" w:rsidRDefault="0058537E" w:rsidP="006128F6">
            <w:pPr>
              <w:tabs>
                <w:tab w:val="clear" w:pos="567"/>
              </w:tabs>
              <w:autoSpaceDE w:val="0"/>
              <w:autoSpaceDN w:val="0"/>
              <w:adjustRightInd w:val="0"/>
              <w:spacing w:line="240" w:lineRule="auto"/>
              <w:jc w:val="center"/>
              <w:rPr>
                <w:rFonts w:eastAsia="MS Mincho"/>
                <w:szCs w:val="22"/>
                <w:lang w:eastAsia="en-GB"/>
              </w:rPr>
            </w:pPr>
            <w:r w:rsidRPr="00CE427E">
              <w:rPr>
                <w:rFonts w:eastAsia="MS Mincho"/>
                <w:szCs w:val="22"/>
                <w:lang w:eastAsia="en-GB"/>
              </w:rPr>
              <w:t>0.66 (0.47, 0.93)</w:t>
            </w:r>
          </w:p>
          <w:p w14:paraId="26D0407E" w14:textId="77777777" w:rsidR="0058537E" w:rsidRPr="006128F6" w:rsidRDefault="0058537E" w:rsidP="006128F6">
            <w:pPr>
              <w:tabs>
                <w:tab w:val="clear" w:pos="567"/>
              </w:tabs>
              <w:spacing w:line="240" w:lineRule="auto"/>
              <w:jc w:val="center"/>
              <w:rPr>
                <w:color w:val="000000"/>
                <w:szCs w:val="22"/>
                <w:lang w:eastAsia="en-GB"/>
              </w:rPr>
            </w:pPr>
            <w:r w:rsidRPr="00CE427E">
              <w:rPr>
                <w:rFonts w:eastAsia="MS Mincho"/>
                <w:szCs w:val="22"/>
                <w:lang w:eastAsia="en-GB"/>
              </w:rPr>
              <w:t>p</w:t>
            </w:r>
            <w:r w:rsidR="002B7BA5" w:rsidRPr="00CE427E">
              <w:rPr>
                <w:rFonts w:eastAsia="MS Mincho"/>
                <w:szCs w:val="22"/>
                <w:lang w:eastAsia="en-GB"/>
              </w:rPr>
              <w:t> </w:t>
            </w:r>
            <w:r w:rsidRPr="00CE427E">
              <w:rPr>
                <w:rFonts w:eastAsia="MS Mincho"/>
                <w:szCs w:val="22"/>
                <w:lang w:eastAsia="en-GB"/>
              </w:rPr>
              <w:t>=</w:t>
            </w:r>
            <w:r w:rsidR="002B7BA5" w:rsidRPr="00CE427E">
              <w:rPr>
                <w:rFonts w:eastAsia="MS Mincho"/>
                <w:szCs w:val="22"/>
                <w:lang w:eastAsia="en-GB"/>
              </w:rPr>
              <w:t> </w:t>
            </w:r>
            <w:r w:rsidRPr="00CE427E">
              <w:rPr>
                <w:rFonts w:eastAsia="MS Mincho"/>
                <w:szCs w:val="22"/>
                <w:lang w:eastAsia="en-GB"/>
              </w:rPr>
              <w:t>0.0182</w:t>
            </w:r>
          </w:p>
        </w:tc>
      </w:tr>
    </w:tbl>
    <w:p w14:paraId="16170B3A" w14:textId="7F8084C1" w:rsidR="00D0629E" w:rsidRPr="00CE427E" w:rsidRDefault="00D0629E" w:rsidP="006128F6">
      <w:pPr>
        <w:tabs>
          <w:tab w:val="clear" w:pos="567"/>
        </w:tabs>
        <w:autoSpaceDE w:val="0"/>
        <w:autoSpaceDN w:val="0"/>
        <w:adjustRightInd w:val="0"/>
        <w:spacing w:line="240" w:lineRule="auto"/>
        <w:rPr>
          <w:rFonts w:eastAsia="Calibri"/>
          <w:sz w:val="20"/>
        </w:rPr>
      </w:pPr>
      <w:r w:rsidRPr="00CE427E">
        <w:rPr>
          <w:rFonts w:eastAsia="Calibri"/>
          <w:sz w:val="20"/>
        </w:rPr>
        <w:t>AC</w:t>
      </w:r>
      <w:r w:rsidRPr="006128F6">
        <w:rPr>
          <w:rFonts w:eastAsia="TimesNewRomanPSMT"/>
          <w:sz w:val="20"/>
        </w:rPr>
        <w:t>→</w:t>
      </w:r>
      <w:r w:rsidRPr="00CE427E">
        <w:rPr>
          <w:rFonts w:eastAsia="Calibri"/>
          <w:sz w:val="20"/>
        </w:rPr>
        <w:t>D = doxorubicin plus cyclophosphamide, followed by docetaxel; DCarbH = docetaxel,</w:t>
      </w:r>
      <w:r w:rsidR="0084603D" w:rsidRPr="00CE427E" w:rsidDel="0084603D">
        <w:rPr>
          <w:rFonts w:eastAsia="Calibri"/>
          <w:sz w:val="20"/>
        </w:rPr>
        <w:t xml:space="preserve"> </w:t>
      </w:r>
      <w:r w:rsidRPr="00CE427E">
        <w:rPr>
          <w:rFonts w:eastAsia="Calibri"/>
          <w:sz w:val="20"/>
        </w:rPr>
        <w:t>carboplatin and trastuzumab; CI = confidence interval</w:t>
      </w:r>
    </w:p>
    <w:p w14:paraId="0D165DC8" w14:textId="77777777" w:rsidR="00D0629E" w:rsidRPr="00CE427E" w:rsidRDefault="00D0629E" w:rsidP="006128F6">
      <w:pPr>
        <w:tabs>
          <w:tab w:val="clear" w:pos="567"/>
        </w:tabs>
        <w:autoSpaceDE w:val="0"/>
        <w:autoSpaceDN w:val="0"/>
        <w:adjustRightInd w:val="0"/>
        <w:spacing w:line="240" w:lineRule="auto"/>
        <w:rPr>
          <w:rFonts w:eastAsia="Calibri"/>
          <w:szCs w:val="22"/>
        </w:rPr>
      </w:pPr>
    </w:p>
    <w:p w14:paraId="2E186D7E" w14:textId="76E56EB1" w:rsidR="00D0629E" w:rsidRPr="00CE427E" w:rsidRDefault="00D0629E" w:rsidP="006128F6">
      <w:pPr>
        <w:tabs>
          <w:tab w:val="clear" w:pos="567"/>
        </w:tabs>
        <w:autoSpaceDE w:val="0"/>
        <w:autoSpaceDN w:val="0"/>
        <w:adjustRightInd w:val="0"/>
        <w:spacing w:line="240" w:lineRule="auto"/>
        <w:rPr>
          <w:rFonts w:eastAsia="Calibri"/>
          <w:szCs w:val="22"/>
        </w:rPr>
      </w:pPr>
      <w:r w:rsidRPr="00CE427E">
        <w:rPr>
          <w:rFonts w:eastAsia="Calibri"/>
          <w:szCs w:val="22"/>
        </w:rPr>
        <w:t>In the BCIRG 006 study for the primary endpoint, DFS, the hazard ratio translates into an absolute benefit, in terms of 3</w:t>
      </w:r>
      <w:r w:rsidRPr="00CE427E">
        <w:rPr>
          <w:rFonts w:eastAsia="Calibri"/>
          <w:szCs w:val="22"/>
        </w:rPr>
        <w:noBreakHyphen/>
        <w:t>year disease-free survival rate estimates of 5.8 percentage points (86.7</w:t>
      </w:r>
      <w:r w:rsidR="000840CF" w:rsidRPr="00CE427E">
        <w:rPr>
          <w:rFonts w:eastAsia="Calibri"/>
          <w:szCs w:val="22"/>
        </w:rPr>
        <w:t>%</w:t>
      </w:r>
      <w:r w:rsidRPr="00CE427E">
        <w:rPr>
          <w:rFonts w:eastAsia="Calibri"/>
          <w:szCs w:val="22"/>
        </w:rPr>
        <w:t xml:space="preserve"> versus 80.9</w:t>
      </w:r>
      <w:r w:rsidR="000840CF" w:rsidRPr="00CE427E">
        <w:rPr>
          <w:rFonts w:eastAsia="Calibri"/>
          <w:szCs w:val="22"/>
        </w:rPr>
        <w:t>%</w:t>
      </w:r>
      <w:r w:rsidRPr="00CE427E">
        <w:rPr>
          <w:rFonts w:eastAsia="Calibri"/>
          <w:szCs w:val="22"/>
        </w:rPr>
        <w:t>) in favour of the AC</w:t>
      </w:r>
      <w:r w:rsidRPr="006128F6">
        <w:rPr>
          <w:rFonts w:eastAsia="TimesNewRomanPSMT"/>
          <w:szCs w:val="22"/>
        </w:rPr>
        <w:t>→</w:t>
      </w:r>
      <w:r w:rsidRPr="00CE427E">
        <w:rPr>
          <w:rFonts w:eastAsia="Calibri"/>
          <w:szCs w:val="22"/>
        </w:rPr>
        <w:t>DH (</w:t>
      </w:r>
      <w:r w:rsidR="0093307D" w:rsidRPr="00CE427E">
        <w:rPr>
          <w:rFonts w:eastAsia="Calibri"/>
          <w:szCs w:val="22"/>
        </w:rPr>
        <w:t>trastuzumab</w:t>
      </w:r>
      <w:r w:rsidRPr="00CE427E">
        <w:rPr>
          <w:rFonts w:eastAsia="Calibri"/>
          <w:szCs w:val="22"/>
        </w:rPr>
        <w:t>) arm and 4.6 percentage points (85.5</w:t>
      </w:r>
      <w:r w:rsidR="000840CF" w:rsidRPr="00CE427E">
        <w:rPr>
          <w:rFonts w:eastAsia="Calibri"/>
          <w:szCs w:val="22"/>
        </w:rPr>
        <w:t>%</w:t>
      </w:r>
      <w:r w:rsidRPr="00CE427E">
        <w:rPr>
          <w:rFonts w:eastAsia="Calibri"/>
          <w:szCs w:val="22"/>
        </w:rPr>
        <w:t xml:space="preserve"> versus 80.9</w:t>
      </w:r>
      <w:r w:rsidR="000840CF" w:rsidRPr="00CE427E">
        <w:rPr>
          <w:rFonts w:eastAsia="Calibri"/>
          <w:szCs w:val="22"/>
        </w:rPr>
        <w:t>%</w:t>
      </w:r>
      <w:r w:rsidRPr="00CE427E">
        <w:rPr>
          <w:rFonts w:eastAsia="Calibri"/>
          <w:szCs w:val="22"/>
        </w:rPr>
        <w:t>) in favour of the DCarbH (</w:t>
      </w:r>
      <w:r w:rsidR="0093307D" w:rsidRPr="00CE427E">
        <w:rPr>
          <w:rFonts w:eastAsia="Calibri"/>
          <w:szCs w:val="22"/>
        </w:rPr>
        <w:t>trastuzumab</w:t>
      </w:r>
      <w:r w:rsidRPr="00CE427E">
        <w:rPr>
          <w:rFonts w:eastAsia="Calibri"/>
          <w:szCs w:val="22"/>
        </w:rPr>
        <w:t>) arm compared to AC</w:t>
      </w:r>
      <w:r w:rsidRPr="006128F6">
        <w:rPr>
          <w:rFonts w:eastAsia="TimesNewRomanPSMT"/>
          <w:szCs w:val="22"/>
        </w:rPr>
        <w:t>→</w:t>
      </w:r>
      <w:r w:rsidRPr="00CE427E">
        <w:rPr>
          <w:rFonts w:eastAsia="Calibri"/>
          <w:szCs w:val="22"/>
        </w:rPr>
        <w:t>D.</w:t>
      </w:r>
    </w:p>
    <w:p w14:paraId="7A2D3836" w14:textId="77777777" w:rsidR="00D0629E" w:rsidRPr="00CE427E" w:rsidRDefault="00D0629E" w:rsidP="006128F6">
      <w:pPr>
        <w:tabs>
          <w:tab w:val="clear" w:pos="567"/>
        </w:tabs>
        <w:autoSpaceDE w:val="0"/>
        <w:autoSpaceDN w:val="0"/>
        <w:adjustRightInd w:val="0"/>
        <w:spacing w:line="240" w:lineRule="auto"/>
        <w:rPr>
          <w:rFonts w:eastAsia="Calibri"/>
          <w:szCs w:val="22"/>
        </w:rPr>
      </w:pPr>
    </w:p>
    <w:p w14:paraId="5A99ADB0" w14:textId="3095B1CE" w:rsidR="00D0629E" w:rsidRPr="00CE427E" w:rsidRDefault="00D0629E" w:rsidP="006128F6">
      <w:pPr>
        <w:tabs>
          <w:tab w:val="clear" w:pos="567"/>
        </w:tabs>
        <w:autoSpaceDE w:val="0"/>
        <w:autoSpaceDN w:val="0"/>
        <w:adjustRightInd w:val="0"/>
        <w:spacing w:line="240" w:lineRule="auto"/>
        <w:rPr>
          <w:rFonts w:eastAsia="Calibri"/>
          <w:szCs w:val="22"/>
        </w:rPr>
      </w:pPr>
      <w:r w:rsidRPr="00CE427E">
        <w:rPr>
          <w:rFonts w:eastAsia="Calibri"/>
          <w:szCs w:val="22"/>
        </w:rPr>
        <w:t>In study BCIRG 006, 213/1</w:t>
      </w:r>
      <w:r w:rsidR="000B44AA">
        <w:rPr>
          <w:rFonts w:eastAsia="Calibri"/>
          <w:szCs w:val="22"/>
        </w:rPr>
        <w:t> </w:t>
      </w:r>
      <w:r w:rsidRPr="00CE427E">
        <w:rPr>
          <w:rFonts w:eastAsia="Calibri"/>
          <w:szCs w:val="22"/>
        </w:rPr>
        <w:t>075 patients in the DCarbH (TCH) arm, 221/1</w:t>
      </w:r>
      <w:r w:rsidR="000B44AA">
        <w:rPr>
          <w:rFonts w:eastAsia="Calibri"/>
          <w:szCs w:val="22"/>
        </w:rPr>
        <w:t> </w:t>
      </w:r>
      <w:r w:rsidRPr="00CE427E">
        <w:rPr>
          <w:rFonts w:eastAsia="Calibri"/>
          <w:szCs w:val="22"/>
        </w:rPr>
        <w:t>074 patients in the AC</w:t>
      </w:r>
      <w:r w:rsidRPr="006128F6">
        <w:rPr>
          <w:rFonts w:eastAsia="SymbolMT"/>
          <w:szCs w:val="22"/>
        </w:rPr>
        <w:t>→</w:t>
      </w:r>
      <w:r w:rsidRPr="00CE427E">
        <w:rPr>
          <w:rFonts w:eastAsia="Calibri"/>
          <w:szCs w:val="22"/>
        </w:rPr>
        <w:t>DH</w:t>
      </w:r>
      <w:r w:rsidR="0084603D" w:rsidRPr="00CE427E" w:rsidDel="0084603D">
        <w:rPr>
          <w:rFonts w:eastAsia="Calibri"/>
          <w:szCs w:val="22"/>
        </w:rPr>
        <w:t xml:space="preserve"> </w:t>
      </w:r>
      <w:r w:rsidRPr="00CE427E">
        <w:rPr>
          <w:rFonts w:eastAsia="Calibri"/>
          <w:szCs w:val="22"/>
        </w:rPr>
        <w:t>(AC</w:t>
      </w:r>
      <w:r w:rsidRPr="006128F6">
        <w:rPr>
          <w:rFonts w:eastAsia="SymbolMT"/>
          <w:szCs w:val="22"/>
        </w:rPr>
        <w:t>→</w:t>
      </w:r>
      <w:r w:rsidRPr="00CE427E">
        <w:rPr>
          <w:rFonts w:eastAsia="Calibri"/>
          <w:szCs w:val="22"/>
        </w:rPr>
        <w:t>TH) arm, and 217/1</w:t>
      </w:r>
      <w:r w:rsidR="000B44AA">
        <w:rPr>
          <w:rFonts w:eastAsia="Calibri"/>
          <w:szCs w:val="22"/>
        </w:rPr>
        <w:t> </w:t>
      </w:r>
      <w:r w:rsidRPr="00CE427E">
        <w:rPr>
          <w:rFonts w:eastAsia="Calibri"/>
          <w:szCs w:val="22"/>
        </w:rPr>
        <w:t>073 in the AC</w:t>
      </w:r>
      <w:r w:rsidRPr="006128F6">
        <w:rPr>
          <w:rFonts w:eastAsia="TimesNewRomanPSMT"/>
          <w:szCs w:val="22"/>
        </w:rPr>
        <w:t>→</w:t>
      </w:r>
      <w:r w:rsidRPr="00CE427E">
        <w:rPr>
          <w:rFonts w:eastAsia="Calibri"/>
          <w:szCs w:val="22"/>
        </w:rPr>
        <w:t>D (AC</w:t>
      </w:r>
      <w:r w:rsidRPr="006128F6">
        <w:rPr>
          <w:rFonts w:eastAsia="SymbolMT"/>
          <w:szCs w:val="22"/>
        </w:rPr>
        <w:t>→</w:t>
      </w:r>
      <w:r w:rsidRPr="00CE427E">
        <w:rPr>
          <w:rFonts w:eastAsia="Calibri"/>
          <w:szCs w:val="22"/>
        </w:rPr>
        <w:t xml:space="preserve">T) arm had a Karnofsky performance status </w:t>
      </w:r>
      <w:r w:rsidRPr="006128F6">
        <w:rPr>
          <w:rFonts w:eastAsia="TimesNewRomanPSMT"/>
          <w:szCs w:val="22"/>
        </w:rPr>
        <w:t>≤ </w:t>
      </w:r>
      <w:r w:rsidRPr="00CE427E">
        <w:rPr>
          <w:rFonts w:eastAsia="Calibri"/>
          <w:szCs w:val="22"/>
        </w:rPr>
        <w:t>90</w:t>
      </w:r>
      <w:r w:rsidR="0084603D" w:rsidRPr="00CE427E" w:rsidDel="0084603D">
        <w:rPr>
          <w:rFonts w:eastAsia="Calibri"/>
          <w:szCs w:val="22"/>
        </w:rPr>
        <w:t xml:space="preserve"> </w:t>
      </w:r>
      <w:r w:rsidRPr="00CE427E">
        <w:rPr>
          <w:rFonts w:eastAsia="Calibri"/>
          <w:szCs w:val="22"/>
        </w:rPr>
        <w:t>(either 80 or 90). No disease-free survival (DFS) benefit was noticed in this subgroup of patients (hazard ratio = </w:t>
      </w:r>
      <w:r w:rsidR="004442B5" w:rsidRPr="00CE427E">
        <w:rPr>
          <w:rFonts w:eastAsia="Calibri"/>
          <w:szCs w:val="22"/>
        </w:rPr>
        <w:t>1.16, 95</w:t>
      </w:r>
      <w:r w:rsidR="000840CF" w:rsidRPr="00CE427E">
        <w:rPr>
          <w:rFonts w:eastAsia="Calibri"/>
          <w:szCs w:val="22"/>
        </w:rPr>
        <w:t>%</w:t>
      </w:r>
      <w:r w:rsidRPr="00CE427E">
        <w:rPr>
          <w:rFonts w:eastAsia="Calibri"/>
          <w:szCs w:val="22"/>
        </w:rPr>
        <w:t xml:space="preserve"> CI [0.73, 1.83] for DCarbH (TCH) versus AC</w:t>
      </w:r>
      <w:r w:rsidRPr="006128F6">
        <w:rPr>
          <w:rFonts w:eastAsia="SymbolMT"/>
          <w:szCs w:val="22"/>
        </w:rPr>
        <w:t>→</w:t>
      </w:r>
      <w:r w:rsidRPr="00CE427E">
        <w:rPr>
          <w:rFonts w:eastAsia="Calibri"/>
          <w:szCs w:val="22"/>
        </w:rPr>
        <w:t>D (AC</w:t>
      </w:r>
      <w:r w:rsidRPr="006128F6">
        <w:rPr>
          <w:rFonts w:eastAsia="SymbolMT"/>
          <w:szCs w:val="22"/>
        </w:rPr>
        <w:t>→</w:t>
      </w:r>
      <w:r w:rsidRPr="00CE427E">
        <w:rPr>
          <w:rFonts w:eastAsia="Calibri"/>
          <w:szCs w:val="22"/>
        </w:rPr>
        <w:t>T); hazard ratio 0.97, 95</w:t>
      </w:r>
      <w:r w:rsidR="000840CF" w:rsidRPr="00CE427E">
        <w:rPr>
          <w:rFonts w:eastAsia="Calibri"/>
          <w:szCs w:val="22"/>
        </w:rPr>
        <w:t>%</w:t>
      </w:r>
      <w:r w:rsidRPr="00CE427E">
        <w:rPr>
          <w:rFonts w:eastAsia="Calibri"/>
          <w:szCs w:val="22"/>
        </w:rPr>
        <w:t> CI [0.60, 1.55] for AC</w:t>
      </w:r>
      <w:r w:rsidRPr="006128F6">
        <w:rPr>
          <w:rFonts w:eastAsia="SymbolMT"/>
          <w:szCs w:val="22"/>
        </w:rPr>
        <w:t>→</w:t>
      </w:r>
      <w:r w:rsidRPr="00CE427E">
        <w:rPr>
          <w:rFonts w:eastAsia="Calibri"/>
          <w:szCs w:val="22"/>
        </w:rPr>
        <w:t>DH (AC</w:t>
      </w:r>
      <w:r w:rsidRPr="006128F6">
        <w:rPr>
          <w:rFonts w:eastAsia="SymbolMT"/>
          <w:szCs w:val="22"/>
        </w:rPr>
        <w:t>→</w:t>
      </w:r>
      <w:r w:rsidRPr="00CE427E">
        <w:rPr>
          <w:rFonts w:eastAsia="Calibri"/>
          <w:szCs w:val="22"/>
        </w:rPr>
        <w:t>TH) versus AC</w:t>
      </w:r>
      <w:r w:rsidRPr="006128F6">
        <w:rPr>
          <w:rFonts w:eastAsia="SymbolMT"/>
          <w:szCs w:val="22"/>
        </w:rPr>
        <w:t>→</w:t>
      </w:r>
      <w:r w:rsidRPr="00CE427E">
        <w:rPr>
          <w:rFonts w:eastAsia="Calibri"/>
          <w:szCs w:val="22"/>
        </w:rPr>
        <w:t>D).</w:t>
      </w:r>
    </w:p>
    <w:p w14:paraId="54A91EEA" w14:textId="77777777" w:rsidR="00D0629E" w:rsidRPr="00CE427E" w:rsidRDefault="00D0629E" w:rsidP="006128F6">
      <w:pPr>
        <w:tabs>
          <w:tab w:val="clear" w:pos="567"/>
        </w:tabs>
        <w:autoSpaceDE w:val="0"/>
        <w:autoSpaceDN w:val="0"/>
        <w:adjustRightInd w:val="0"/>
        <w:spacing w:line="240" w:lineRule="auto"/>
        <w:rPr>
          <w:rFonts w:eastAsia="Calibri"/>
          <w:szCs w:val="22"/>
        </w:rPr>
      </w:pPr>
    </w:p>
    <w:p w14:paraId="7713D903" w14:textId="21563C49" w:rsidR="00D0629E" w:rsidRPr="00CE427E" w:rsidRDefault="00D0629E" w:rsidP="006E75D1">
      <w:pPr>
        <w:tabs>
          <w:tab w:val="clear" w:pos="567"/>
        </w:tabs>
        <w:autoSpaceDE w:val="0"/>
        <w:autoSpaceDN w:val="0"/>
        <w:adjustRightInd w:val="0"/>
        <w:spacing w:line="240" w:lineRule="auto"/>
        <w:rPr>
          <w:rFonts w:eastAsia="Calibri"/>
          <w:szCs w:val="22"/>
        </w:rPr>
      </w:pPr>
      <w:r w:rsidRPr="00CE427E">
        <w:rPr>
          <w:rFonts w:eastAsia="Calibri"/>
          <w:szCs w:val="22"/>
        </w:rPr>
        <w:t>In addition a post</w:t>
      </w:r>
      <w:r w:rsidRPr="00CE427E">
        <w:rPr>
          <w:rFonts w:eastAsia="Calibri"/>
          <w:szCs w:val="22"/>
        </w:rPr>
        <w:noBreakHyphen/>
        <w:t>hoc exploratory analysis was performed on the data sets from the joint analysis (JA) NSABP B-31/NCCTG N9831* and BCIRG</w:t>
      </w:r>
      <w:r w:rsidR="004B5AAE" w:rsidRPr="00CE427E">
        <w:rPr>
          <w:rFonts w:eastAsia="Calibri"/>
          <w:szCs w:val="22"/>
        </w:rPr>
        <w:t xml:space="preserve"> </w:t>
      </w:r>
      <w:r w:rsidRPr="00CE427E">
        <w:rPr>
          <w:rFonts w:eastAsia="Calibri"/>
          <w:szCs w:val="22"/>
        </w:rPr>
        <w:t xml:space="preserve">006 clinical studies combining DFS events and symptomatic cardiac events and summarised in </w:t>
      </w:r>
      <w:r w:rsidR="007519ED" w:rsidRPr="00CE427E">
        <w:rPr>
          <w:rFonts w:eastAsia="Calibri"/>
          <w:szCs w:val="22"/>
        </w:rPr>
        <w:t>t</w:t>
      </w:r>
      <w:r w:rsidRPr="00CE427E">
        <w:rPr>
          <w:rFonts w:eastAsia="Calibri"/>
          <w:szCs w:val="22"/>
        </w:rPr>
        <w:t>able 11:</w:t>
      </w:r>
    </w:p>
    <w:p w14:paraId="4F793868" w14:textId="77777777" w:rsidR="00D0629E" w:rsidRPr="00CE427E" w:rsidRDefault="00D0629E" w:rsidP="006E75D1">
      <w:pPr>
        <w:tabs>
          <w:tab w:val="clear" w:pos="567"/>
        </w:tabs>
        <w:autoSpaceDE w:val="0"/>
        <w:autoSpaceDN w:val="0"/>
        <w:adjustRightInd w:val="0"/>
        <w:spacing w:line="240" w:lineRule="auto"/>
        <w:rPr>
          <w:rFonts w:eastAsia="Calibri"/>
          <w:szCs w:val="22"/>
        </w:rPr>
      </w:pPr>
    </w:p>
    <w:p w14:paraId="7875D268" w14:textId="04537B17" w:rsidR="00D0629E" w:rsidRPr="00CE427E" w:rsidRDefault="00D0629E" w:rsidP="006E75D1">
      <w:pPr>
        <w:tabs>
          <w:tab w:val="clear" w:pos="567"/>
        </w:tabs>
        <w:autoSpaceDE w:val="0"/>
        <w:autoSpaceDN w:val="0"/>
        <w:adjustRightInd w:val="0"/>
        <w:spacing w:line="240" w:lineRule="auto"/>
        <w:rPr>
          <w:rFonts w:eastAsia="Calibri"/>
          <w:b/>
          <w:szCs w:val="22"/>
        </w:rPr>
      </w:pPr>
      <w:r w:rsidRPr="00CE427E">
        <w:rPr>
          <w:rFonts w:eastAsia="Calibri"/>
          <w:b/>
          <w:szCs w:val="22"/>
        </w:rPr>
        <w:t>Table 11 Post-hoc exploratory analysis results from the joint analysis NSABP B</w:t>
      </w:r>
      <w:r w:rsidRPr="00CE427E">
        <w:rPr>
          <w:rFonts w:eastAsia="Calibri"/>
          <w:b/>
          <w:szCs w:val="22"/>
        </w:rPr>
        <w:noBreakHyphen/>
        <w:t>31/NCCTG N9831</w:t>
      </w:r>
      <w:r w:rsidR="00FD4897" w:rsidRPr="006128F6">
        <w:rPr>
          <w:b/>
          <w:color w:val="000000"/>
          <w:szCs w:val="22"/>
          <w:vertAlign w:val="superscript"/>
          <w:lang w:eastAsia="en-GB"/>
        </w:rPr>
        <w:t>*</w:t>
      </w:r>
      <w:r w:rsidRPr="00CE427E">
        <w:rPr>
          <w:rFonts w:eastAsia="Calibri"/>
          <w:b/>
          <w:szCs w:val="22"/>
        </w:rPr>
        <w:t xml:space="preserve"> and BCIRG</w:t>
      </w:r>
      <w:r w:rsidR="004B5AAE" w:rsidRPr="00CE427E">
        <w:rPr>
          <w:rFonts w:eastAsia="Calibri"/>
          <w:b/>
          <w:szCs w:val="22"/>
        </w:rPr>
        <w:t xml:space="preserve"> </w:t>
      </w:r>
      <w:r w:rsidRPr="00CE427E">
        <w:rPr>
          <w:rFonts w:eastAsia="Calibri"/>
          <w:b/>
          <w:szCs w:val="22"/>
        </w:rPr>
        <w:t>006 clinical studies combining DFS events and symptomatic cardiac events</w:t>
      </w:r>
    </w:p>
    <w:p w14:paraId="5B15DDCF" w14:textId="77777777" w:rsidR="00D0629E" w:rsidRPr="00CE427E" w:rsidRDefault="00D0629E" w:rsidP="006E75D1">
      <w:pPr>
        <w:tabs>
          <w:tab w:val="clear" w:pos="567"/>
        </w:tabs>
        <w:autoSpaceDE w:val="0"/>
        <w:autoSpaceDN w:val="0"/>
        <w:adjustRightInd w:val="0"/>
        <w:spacing w:line="240" w:lineRule="auto"/>
        <w:rPr>
          <w:rFonts w:eastAsia="Calibr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127"/>
        <w:gridCol w:w="1844"/>
        <w:gridCol w:w="1947"/>
      </w:tblGrid>
      <w:tr w:rsidR="0061532E" w:rsidRPr="006128F6" w14:paraId="749B74FD" w14:textId="77777777" w:rsidTr="006E75D1">
        <w:trPr>
          <w:trHeight w:val="300"/>
          <w:tblHeader/>
        </w:trPr>
        <w:tc>
          <w:tcPr>
            <w:tcW w:w="1814" w:type="pct"/>
            <w:shd w:val="clear" w:color="auto" w:fill="auto"/>
            <w:noWrap/>
            <w:hideMark/>
          </w:tcPr>
          <w:p w14:paraId="70EB3C1E" w14:textId="77777777" w:rsidR="0061532E" w:rsidRPr="006128F6" w:rsidRDefault="0061532E" w:rsidP="006E75D1">
            <w:pPr>
              <w:tabs>
                <w:tab w:val="clear" w:pos="567"/>
              </w:tabs>
              <w:spacing w:line="240" w:lineRule="auto"/>
              <w:rPr>
                <w:b/>
                <w:color w:val="000000"/>
                <w:szCs w:val="22"/>
                <w:lang w:eastAsia="en-GB"/>
              </w:rPr>
            </w:pPr>
          </w:p>
        </w:tc>
        <w:tc>
          <w:tcPr>
            <w:tcW w:w="1145" w:type="pct"/>
            <w:shd w:val="clear" w:color="auto" w:fill="auto"/>
            <w:noWrap/>
            <w:hideMark/>
          </w:tcPr>
          <w:p w14:paraId="0B6E36A6" w14:textId="77777777" w:rsidR="0058537E" w:rsidRPr="006128F6" w:rsidRDefault="0061532E" w:rsidP="006E75D1">
            <w:pPr>
              <w:tabs>
                <w:tab w:val="clear" w:pos="567"/>
              </w:tabs>
              <w:spacing w:line="240" w:lineRule="auto"/>
              <w:jc w:val="center"/>
              <w:rPr>
                <w:b/>
                <w:color w:val="000000"/>
                <w:szCs w:val="22"/>
                <w:lang w:eastAsia="en-GB"/>
              </w:rPr>
            </w:pPr>
            <w:r w:rsidRPr="006128F6">
              <w:rPr>
                <w:b/>
                <w:color w:val="000000"/>
                <w:szCs w:val="22"/>
                <w:lang w:eastAsia="en-GB"/>
              </w:rPr>
              <w:t>AC</w:t>
            </w:r>
            <w:r w:rsidR="0058537E" w:rsidRPr="006128F6">
              <w:rPr>
                <w:rFonts w:eastAsia="TimesNewRomanPSMT"/>
                <w:b/>
                <w:szCs w:val="22"/>
              </w:rPr>
              <w:t>→</w:t>
            </w:r>
            <w:r w:rsidRPr="006128F6">
              <w:rPr>
                <w:b/>
                <w:color w:val="000000"/>
                <w:szCs w:val="22"/>
                <w:lang w:eastAsia="en-GB"/>
              </w:rPr>
              <w:t>PH</w:t>
            </w:r>
          </w:p>
          <w:p w14:paraId="1E333993" w14:textId="46FE08FA" w:rsidR="0061532E" w:rsidRPr="006128F6" w:rsidRDefault="0058537E" w:rsidP="006E75D1">
            <w:pPr>
              <w:tabs>
                <w:tab w:val="clear" w:pos="567"/>
              </w:tabs>
              <w:spacing w:line="240" w:lineRule="auto"/>
              <w:jc w:val="center"/>
              <w:rPr>
                <w:b/>
                <w:color w:val="000000"/>
                <w:szCs w:val="22"/>
                <w:lang w:eastAsia="en-GB"/>
              </w:rPr>
            </w:pPr>
            <w:r w:rsidRPr="006128F6">
              <w:rPr>
                <w:b/>
                <w:color w:val="000000"/>
                <w:szCs w:val="22"/>
                <w:lang w:eastAsia="en-GB"/>
              </w:rPr>
              <w:t>(vs</w:t>
            </w:r>
            <w:r w:rsidR="001608C3">
              <w:rPr>
                <w:b/>
                <w:color w:val="000000"/>
                <w:szCs w:val="22"/>
                <w:lang w:eastAsia="en-GB"/>
              </w:rPr>
              <w:t xml:space="preserve"> </w:t>
            </w:r>
            <w:r w:rsidRPr="006128F6">
              <w:rPr>
                <w:b/>
                <w:color w:val="000000"/>
                <w:szCs w:val="22"/>
                <w:lang w:eastAsia="en-GB"/>
              </w:rPr>
              <w:t>AC</w:t>
            </w:r>
            <w:r w:rsidRPr="006128F6">
              <w:rPr>
                <w:rFonts w:eastAsia="TimesNewRomanPSMT"/>
                <w:b/>
                <w:szCs w:val="22"/>
              </w:rPr>
              <w:t>→</w:t>
            </w:r>
            <w:r w:rsidRPr="006128F6">
              <w:rPr>
                <w:b/>
                <w:color w:val="000000"/>
                <w:szCs w:val="22"/>
                <w:lang w:eastAsia="en-GB"/>
              </w:rPr>
              <w:t>P) (NSABP B</w:t>
            </w:r>
            <w:r w:rsidRPr="006128F6">
              <w:rPr>
                <w:b/>
                <w:color w:val="000000"/>
                <w:szCs w:val="22"/>
                <w:lang w:eastAsia="en-GB"/>
              </w:rPr>
              <w:noBreakHyphen/>
              <w:t>31 and NCCTG N9831)</w:t>
            </w:r>
            <w:r w:rsidRPr="006128F6">
              <w:rPr>
                <w:b/>
                <w:color w:val="000000"/>
                <w:szCs w:val="22"/>
                <w:vertAlign w:val="superscript"/>
                <w:lang w:eastAsia="en-GB"/>
              </w:rPr>
              <w:t>*</w:t>
            </w:r>
          </w:p>
        </w:tc>
        <w:tc>
          <w:tcPr>
            <w:tcW w:w="993" w:type="pct"/>
            <w:shd w:val="clear" w:color="auto" w:fill="auto"/>
            <w:noWrap/>
            <w:hideMark/>
          </w:tcPr>
          <w:p w14:paraId="2E3489E1" w14:textId="77777777" w:rsidR="0058537E" w:rsidRPr="006128F6" w:rsidRDefault="0061532E" w:rsidP="006E75D1">
            <w:pPr>
              <w:tabs>
                <w:tab w:val="clear" w:pos="567"/>
              </w:tabs>
              <w:spacing w:line="240" w:lineRule="auto"/>
              <w:jc w:val="center"/>
              <w:rPr>
                <w:b/>
                <w:color w:val="000000"/>
                <w:szCs w:val="22"/>
                <w:lang w:eastAsia="en-GB"/>
              </w:rPr>
            </w:pPr>
            <w:r w:rsidRPr="006128F6">
              <w:rPr>
                <w:b/>
                <w:color w:val="000000"/>
                <w:szCs w:val="22"/>
                <w:lang w:eastAsia="en-GB"/>
              </w:rPr>
              <w:t>AC</w:t>
            </w:r>
            <w:r w:rsidR="0058537E" w:rsidRPr="006128F6">
              <w:rPr>
                <w:rFonts w:eastAsia="TimesNewRomanPSMT"/>
                <w:b/>
                <w:szCs w:val="22"/>
              </w:rPr>
              <w:t>→</w:t>
            </w:r>
            <w:r w:rsidRPr="006128F6">
              <w:rPr>
                <w:b/>
                <w:color w:val="000000"/>
                <w:szCs w:val="22"/>
                <w:lang w:eastAsia="en-GB"/>
              </w:rPr>
              <w:t>DH</w:t>
            </w:r>
          </w:p>
          <w:p w14:paraId="309A4F89" w14:textId="1AAB2987" w:rsidR="0061532E" w:rsidRPr="006128F6" w:rsidRDefault="0058537E" w:rsidP="006E75D1">
            <w:pPr>
              <w:tabs>
                <w:tab w:val="clear" w:pos="567"/>
              </w:tabs>
              <w:spacing w:line="240" w:lineRule="auto"/>
              <w:jc w:val="center"/>
              <w:rPr>
                <w:b/>
                <w:color w:val="000000"/>
                <w:szCs w:val="22"/>
                <w:lang w:eastAsia="en-GB"/>
              </w:rPr>
            </w:pPr>
            <w:r w:rsidRPr="006128F6">
              <w:rPr>
                <w:b/>
                <w:color w:val="000000"/>
                <w:szCs w:val="22"/>
                <w:lang w:eastAsia="en-GB"/>
              </w:rPr>
              <w:t>(vs AC</w:t>
            </w:r>
            <w:r w:rsidRPr="006128F6">
              <w:rPr>
                <w:rFonts w:eastAsia="TimesNewRomanPSMT"/>
                <w:b/>
                <w:szCs w:val="22"/>
              </w:rPr>
              <w:t>→</w:t>
            </w:r>
            <w:r w:rsidRPr="006128F6">
              <w:rPr>
                <w:b/>
                <w:color w:val="000000"/>
                <w:szCs w:val="22"/>
                <w:lang w:eastAsia="en-GB"/>
              </w:rPr>
              <w:t>D) (BCIRG 006)</w:t>
            </w:r>
          </w:p>
        </w:tc>
        <w:tc>
          <w:tcPr>
            <w:tcW w:w="1049" w:type="pct"/>
            <w:shd w:val="clear" w:color="auto" w:fill="auto"/>
            <w:noWrap/>
            <w:hideMark/>
          </w:tcPr>
          <w:p w14:paraId="2AEA0999" w14:textId="77777777" w:rsidR="0058537E" w:rsidRPr="006128F6" w:rsidRDefault="0061532E" w:rsidP="006E75D1">
            <w:pPr>
              <w:tabs>
                <w:tab w:val="clear" w:pos="567"/>
              </w:tabs>
              <w:spacing w:line="240" w:lineRule="auto"/>
              <w:jc w:val="center"/>
              <w:rPr>
                <w:b/>
                <w:color w:val="000000"/>
                <w:szCs w:val="22"/>
                <w:lang w:eastAsia="en-GB"/>
              </w:rPr>
            </w:pPr>
            <w:r w:rsidRPr="006128F6">
              <w:rPr>
                <w:b/>
                <w:color w:val="000000"/>
                <w:szCs w:val="22"/>
                <w:lang w:eastAsia="en-GB"/>
              </w:rPr>
              <w:t>DCarbH</w:t>
            </w:r>
          </w:p>
          <w:p w14:paraId="6F7EE95A" w14:textId="3364D731" w:rsidR="0058537E" w:rsidRPr="006128F6" w:rsidRDefault="0058537E" w:rsidP="006E75D1">
            <w:pPr>
              <w:tabs>
                <w:tab w:val="clear" w:pos="567"/>
              </w:tabs>
              <w:spacing w:line="240" w:lineRule="auto"/>
              <w:jc w:val="center"/>
              <w:rPr>
                <w:b/>
                <w:color w:val="000000"/>
                <w:szCs w:val="22"/>
                <w:lang w:eastAsia="en-GB"/>
              </w:rPr>
            </w:pPr>
            <w:r w:rsidRPr="006128F6">
              <w:rPr>
                <w:b/>
                <w:color w:val="000000"/>
                <w:szCs w:val="22"/>
                <w:lang w:eastAsia="en-GB"/>
              </w:rPr>
              <w:t>(vs AC</w:t>
            </w:r>
            <w:r w:rsidRPr="006128F6">
              <w:rPr>
                <w:rFonts w:eastAsia="TimesNewRomanPSMT"/>
                <w:b/>
                <w:szCs w:val="22"/>
              </w:rPr>
              <w:t>→</w:t>
            </w:r>
            <w:r w:rsidRPr="006128F6">
              <w:rPr>
                <w:b/>
                <w:color w:val="000000"/>
                <w:szCs w:val="22"/>
                <w:lang w:eastAsia="en-GB"/>
              </w:rPr>
              <w:t>D)</w:t>
            </w:r>
          </w:p>
          <w:p w14:paraId="72CB196E" w14:textId="77777777" w:rsidR="0061532E" w:rsidRPr="006128F6" w:rsidRDefault="0058537E" w:rsidP="006E75D1">
            <w:pPr>
              <w:tabs>
                <w:tab w:val="clear" w:pos="567"/>
              </w:tabs>
              <w:spacing w:line="240" w:lineRule="auto"/>
              <w:jc w:val="center"/>
              <w:rPr>
                <w:b/>
                <w:color w:val="000000"/>
                <w:szCs w:val="22"/>
                <w:lang w:eastAsia="en-GB"/>
              </w:rPr>
            </w:pPr>
            <w:r w:rsidRPr="006128F6">
              <w:rPr>
                <w:b/>
                <w:color w:val="000000"/>
                <w:szCs w:val="22"/>
                <w:lang w:eastAsia="en-GB"/>
              </w:rPr>
              <w:t>(BCIRG 006)</w:t>
            </w:r>
          </w:p>
        </w:tc>
      </w:tr>
      <w:tr w:rsidR="0061532E" w:rsidRPr="006128F6" w14:paraId="64A93D31" w14:textId="77777777" w:rsidTr="007519ED">
        <w:trPr>
          <w:trHeight w:val="300"/>
        </w:trPr>
        <w:tc>
          <w:tcPr>
            <w:tcW w:w="1814" w:type="pct"/>
            <w:shd w:val="clear" w:color="auto" w:fill="auto"/>
            <w:noWrap/>
            <w:hideMark/>
          </w:tcPr>
          <w:p w14:paraId="0AE3FAA2" w14:textId="77777777" w:rsidR="0058537E" w:rsidRPr="006128F6" w:rsidRDefault="0058537E" w:rsidP="006E75D1">
            <w:pPr>
              <w:tabs>
                <w:tab w:val="clear" w:pos="567"/>
              </w:tabs>
              <w:spacing w:line="240" w:lineRule="auto"/>
              <w:rPr>
                <w:color w:val="000000"/>
                <w:szCs w:val="22"/>
                <w:lang w:eastAsia="en-GB"/>
              </w:rPr>
            </w:pPr>
            <w:r w:rsidRPr="006128F6">
              <w:rPr>
                <w:color w:val="000000"/>
                <w:szCs w:val="22"/>
                <w:lang w:eastAsia="en-GB"/>
              </w:rPr>
              <w:t>Primary efficacy analysis</w:t>
            </w:r>
          </w:p>
          <w:p w14:paraId="6712E1E8" w14:textId="77777777" w:rsidR="0058537E" w:rsidRPr="006128F6" w:rsidRDefault="0061532E" w:rsidP="006E75D1">
            <w:pPr>
              <w:tabs>
                <w:tab w:val="clear" w:pos="567"/>
              </w:tabs>
              <w:spacing w:line="240" w:lineRule="auto"/>
              <w:rPr>
                <w:color w:val="000000"/>
                <w:szCs w:val="22"/>
                <w:lang w:eastAsia="en-GB"/>
              </w:rPr>
            </w:pPr>
            <w:r w:rsidRPr="006128F6">
              <w:rPr>
                <w:color w:val="000000"/>
                <w:szCs w:val="22"/>
                <w:lang w:eastAsia="en-GB"/>
              </w:rPr>
              <w:t>DFS Hazard ratios</w:t>
            </w:r>
          </w:p>
          <w:p w14:paraId="5A715EF1" w14:textId="2074B658" w:rsidR="0058537E" w:rsidRPr="006128F6" w:rsidRDefault="004442B5" w:rsidP="006E75D1">
            <w:pPr>
              <w:tabs>
                <w:tab w:val="clear" w:pos="567"/>
              </w:tabs>
              <w:spacing w:line="240" w:lineRule="auto"/>
              <w:rPr>
                <w:color w:val="000000"/>
                <w:szCs w:val="22"/>
                <w:lang w:eastAsia="en-GB"/>
              </w:rPr>
            </w:pPr>
            <w:r w:rsidRPr="006128F6">
              <w:rPr>
                <w:color w:val="000000"/>
                <w:szCs w:val="22"/>
                <w:lang w:eastAsia="en-GB"/>
              </w:rPr>
              <w:t>(95</w:t>
            </w:r>
            <w:r w:rsidR="000840CF" w:rsidRPr="006128F6">
              <w:rPr>
                <w:color w:val="000000"/>
                <w:szCs w:val="22"/>
                <w:lang w:eastAsia="en-GB"/>
              </w:rPr>
              <w:t>%</w:t>
            </w:r>
            <w:r w:rsidR="0058537E" w:rsidRPr="006128F6">
              <w:rPr>
                <w:color w:val="000000"/>
                <w:szCs w:val="22"/>
                <w:lang w:eastAsia="en-GB"/>
              </w:rPr>
              <w:t xml:space="preserve"> CI)</w:t>
            </w:r>
          </w:p>
          <w:p w14:paraId="4A541F56" w14:textId="77777777" w:rsidR="0061532E" w:rsidRPr="006128F6" w:rsidRDefault="0058537E" w:rsidP="006E75D1">
            <w:pPr>
              <w:tabs>
                <w:tab w:val="clear" w:pos="567"/>
              </w:tabs>
              <w:spacing w:line="240" w:lineRule="auto"/>
              <w:rPr>
                <w:color w:val="000000"/>
                <w:szCs w:val="22"/>
                <w:lang w:eastAsia="en-GB"/>
              </w:rPr>
            </w:pPr>
            <w:r w:rsidRPr="006128F6">
              <w:rPr>
                <w:color w:val="000000"/>
                <w:szCs w:val="22"/>
                <w:lang w:eastAsia="en-GB"/>
              </w:rPr>
              <w:t>p</w:t>
            </w:r>
            <w:r w:rsidRPr="006128F6">
              <w:rPr>
                <w:color w:val="000000"/>
                <w:szCs w:val="22"/>
                <w:lang w:eastAsia="en-GB"/>
              </w:rPr>
              <w:noBreakHyphen/>
              <w:t>value</w:t>
            </w:r>
          </w:p>
        </w:tc>
        <w:tc>
          <w:tcPr>
            <w:tcW w:w="1145" w:type="pct"/>
            <w:shd w:val="clear" w:color="auto" w:fill="auto"/>
            <w:noWrap/>
            <w:hideMark/>
          </w:tcPr>
          <w:p w14:paraId="184313A4" w14:textId="77777777" w:rsidR="0058537E" w:rsidRPr="006128F6" w:rsidRDefault="0058537E" w:rsidP="006E75D1">
            <w:pPr>
              <w:tabs>
                <w:tab w:val="clear" w:pos="567"/>
              </w:tabs>
              <w:spacing w:line="240" w:lineRule="auto"/>
              <w:jc w:val="center"/>
              <w:rPr>
                <w:color w:val="000000"/>
                <w:szCs w:val="22"/>
                <w:lang w:eastAsia="en-GB"/>
              </w:rPr>
            </w:pPr>
          </w:p>
          <w:p w14:paraId="6055358C" w14:textId="77777777" w:rsidR="0058537E" w:rsidRPr="006128F6" w:rsidRDefault="0061532E" w:rsidP="006E75D1">
            <w:pPr>
              <w:tabs>
                <w:tab w:val="clear" w:pos="567"/>
              </w:tabs>
              <w:spacing w:line="240" w:lineRule="auto"/>
              <w:jc w:val="center"/>
              <w:rPr>
                <w:color w:val="000000"/>
                <w:szCs w:val="22"/>
                <w:lang w:eastAsia="en-GB"/>
              </w:rPr>
            </w:pPr>
            <w:r w:rsidRPr="006128F6">
              <w:rPr>
                <w:color w:val="000000"/>
                <w:szCs w:val="22"/>
                <w:lang w:eastAsia="en-GB"/>
              </w:rPr>
              <w:t>0.48</w:t>
            </w:r>
          </w:p>
          <w:p w14:paraId="493E981E" w14:textId="77777777" w:rsidR="007519ED" w:rsidRPr="006128F6" w:rsidRDefault="0058537E" w:rsidP="006E75D1">
            <w:pPr>
              <w:tabs>
                <w:tab w:val="clear" w:pos="567"/>
              </w:tabs>
              <w:spacing w:line="240" w:lineRule="auto"/>
              <w:jc w:val="center"/>
              <w:rPr>
                <w:color w:val="000000"/>
                <w:szCs w:val="22"/>
                <w:lang w:eastAsia="en-GB"/>
              </w:rPr>
            </w:pPr>
            <w:r w:rsidRPr="006128F6">
              <w:rPr>
                <w:color w:val="000000"/>
                <w:szCs w:val="22"/>
                <w:lang w:eastAsia="en-GB"/>
              </w:rPr>
              <w:t xml:space="preserve">(0.39, 0.59) </w:t>
            </w:r>
          </w:p>
          <w:p w14:paraId="3FF413D3" w14:textId="015E8BF2" w:rsidR="0061532E" w:rsidRPr="006128F6" w:rsidRDefault="0058537E" w:rsidP="006E75D1">
            <w:pPr>
              <w:tabs>
                <w:tab w:val="clear" w:pos="567"/>
              </w:tabs>
              <w:spacing w:line="240" w:lineRule="auto"/>
              <w:jc w:val="center"/>
              <w:rPr>
                <w:color w:val="000000"/>
                <w:szCs w:val="22"/>
                <w:lang w:eastAsia="en-GB"/>
              </w:rPr>
            </w:pPr>
            <w:r w:rsidRPr="006128F6">
              <w:rPr>
                <w:color w:val="000000"/>
                <w:szCs w:val="22"/>
                <w:lang w:eastAsia="en-GB"/>
              </w:rPr>
              <w:t>p</w:t>
            </w:r>
            <w:r w:rsidR="002B7BA5" w:rsidRPr="006128F6">
              <w:rPr>
                <w:color w:val="000000"/>
                <w:szCs w:val="22"/>
                <w:lang w:eastAsia="en-GB"/>
              </w:rPr>
              <w:t> </w:t>
            </w:r>
            <w:r w:rsidRPr="006128F6">
              <w:rPr>
                <w:color w:val="000000"/>
                <w:szCs w:val="22"/>
                <w:lang w:eastAsia="en-GB"/>
              </w:rPr>
              <w:t>&lt;</w:t>
            </w:r>
            <w:r w:rsidR="002B7BA5" w:rsidRPr="006128F6">
              <w:rPr>
                <w:color w:val="000000"/>
                <w:szCs w:val="22"/>
                <w:lang w:eastAsia="en-GB"/>
              </w:rPr>
              <w:t> </w:t>
            </w:r>
            <w:r w:rsidRPr="006128F6">
              <w:rPr>
                <w:color w:val="000000"/>
                <w:szCs w:val="22"/>
                <w:lang w:eastAsia="en-GB"/>
              </w:rPr>
              <w:t>0.0001</w:t>
            </w:r>
          </w:p>
        </w:tc>
        <w:tc>
          <w:tcPr>
            <w:tcW w:w="993" w:type="pct"/>
            <w:shd w:val="clear" w:color="auto" w:fill="auto"/>
            <w:noWrap/>
            <w:hideMark/>
          </w:tcPr>
          <w:p w14:paraId="11A968EF" w14:textId="77777777" w:rsidR="0058537E" w:rsidRPr="006128F6" w:rsidRDefault="0058537E" w:rsidP="006E75D1">
            <w:pPr>
              <w:tabs>
                <w:tab w:val="clear" w:pos="567"/>
              </w:tabs>
              <w:spacing w:line="240" w:lineRule="auto"/>
              <w:jc w:val="center"/>
              <w:rPr>
                <w:color w:val="000000"/>
                <w:szCs w:val="22"/>
                <w:lang w:eastAsia="en-GB"/>
              </w:rPr>
            </w:pPr>
          </w:p>
          <w:p w14:paraId="2B2B6627" w14:textId="77777777" w:rsidR="0058537E" w:rsidRPr="006128F6" w:rsidRDefault="0061532E" w:rsidP="006E75D1">
            <w:pPr>
              <w:tabs>
                <w:tab w:val="clear" w:pos="567"/>
              </w:tabs>
              <w:spacing w:line="240" w:lineRule="auto"/>
              <w:jc w:val="center"/>
              <w:rPr>
                <w:color w:val="000000"/>
                <w:szCs w:val="22"/>
                <w:lang w:eastAsia="en-GB"/>
              </w:rPr>
            </w:pPr>
            <w:r w:rsidRPr="006128F6">
              <w:rPr>
                <w:color w:val="000000"/>
                <w:szCs w:val="22"/>
                <w:lang w:eastAsia="en-GB"/>
              </w:rPr>
              <w:t>0.61</w:t>
            </w:r>
          </w:p>
          <w:p w14:paraId="3AFAAB07" w14:textId="77777777" w:rsidR="0058537E" w:rsidRPr="006128F6" w:rsidRDefault="0058537E" w:rsidP="006E75D1">
            <w:pPr>
              <w:tabs>
                <w:tab w:val="clear" w:pos="567"/>
              </w:tabs>
              <w:spacing w:line="240" w:lineRule="auto"/>
              <w:jc w:val="center"/>
              <w:rPr>
                <w:color w:val="000000"/>
                <w:szCs w:val="22"/>
                <w:lang w:eastAsia="en-GB"/>
              </w:rPr>
            </w:pPr>
            <w:r w:rsidRPr="006128F6">
              <w:rPr>
                <w:color w:val="000000"/>
                <w:szCs w:val="22"/>
                <w:lang w:eastAsia="en-GB"/>
              </w:rPr>
              <w:t>(0.49, 0.77)</w:t>
            </w:r>
          </w:p>
          <w:p w14:paraId="3D80029C" w14:textId="77777777" w:rsidR="0061532E" w:rsidRPr="006128F6" w:rsidRDefault="002B7BA5" w:rsidP="006E75D1">
            <w:pPr>
              <w:tabs>
                <w:tab w:val="clear" w:pos="567"/>
              </w:tabs>
              <w:spacing w:line="240" w:lineRule="auto"/>
              <w:jc w:val="center"/>
              <w:rPr>
                <w:color w:val="000000"/>
                <w:szCs w:val="22"/>
                <w:lang w:eastAsia="en-GB"/>
              </w:rPr>
            </w:pPr>
            <w:r w:rsidRPr="006128F6">
              <w:rPr>
                <w:color w:val="000000"/>
                <w:szCs w:val="22"/>
                <w:lang w:eastAsia="en-GB"/>
              </w:rPr>
              <w:t>p </w:t>
            </w:r>
            <w:r w:rsidR="0058537E" w:rsidRPr="006128F6">
              <w:rPr>
                <w:color w:val="000000"/>
                <w:szCs w:val="22"/>
                <w:lang w:eastAsia="en-GB"/>
              </w:rPr>
              <w:t>&lt;</w:t>
            </w:r>
            <w:r w:rsidRPr="006128F6">
              <w:rPr>
                <w:color w:val="000000"/>
                <w:szCs w:val="22"/>
                <w:lang w:eastAsia="en-GB"/>
              </w:rPr>
              <w:t> </w:t>
            </w:r>
            <w:r w:rsidR="0058537E" w:rsidRPr="006128F6">
              <w:rPr>
                <w:color w:val="000000"/>
                <w:szCs w:val="22"/>
                <w:lang w:eastAsia="en-GB"/>
              </w:rPr>
              <w:t>0.0001</w:t>
            </w:r>
          </w:p>
        </w:tc>
        <w:tc>
          <w:tcPr>
            <w:tcW w:w="1049" w:type="pct"/>
            <w:shd w:val="clear" w:color="auto" w:fill="auto"/>
            <w:noWrap/>
            <w:hideMark/>
          </w:tcPr>
          <w:p w14:paraId="72F0F70E" w14:textId="77777777" w:rsidR="0058537E" w:rsidRPr="006128F6" w:rsidRDefault="0058537E" w:rsidP="006E75D1">
            <w:pPr>
              <w:tabs>
                <w:tab w:val="clear" w:pos="567"/>
              </w:tabs>
              <w:spacing w:line="240" w:lineRule="auto"/>
              <w:jc w:val="center"/>
              <w:rPr>
                <w:color w:val="000000"/>
                <w:szCs w:val="22"/>
                <w:lang w:eastAsia="en-GB"/>
              </w:rPr>
            </w:pPr>
          </w:p>
          <w:p w14:paraId="2142D2DE" w14:textId="77777777" w:rsidR="0061532E" w:rsidRPr="006128F6" w:rsidRDefault="0061532E" w:rsidP="006E75D1">
            <w:pPr>
              <w:tabs>
                <w:tab w:val="clear" w:pos="567"/>
              </w:tabs>
              <w:spacing w:line="240" w:lineRule="auto"/>
              <w:jc w:val="center"/>
              <w:rPr>
                <w:color w:val="000000"/>
                <w:szCs w:val="22"/>
                <w:lang w:eastAsia="en-GB"/>
              </w:rPr>
            </w:pPr>
            <w:r w:rsidRPr="006128F6">
              <w:rPr>
                <w:color w:val="000000"/>
                <w:szCs w:val="22"/>
                <w:lang w:eastAsia="en-GB"/>
              </w:rPr>
              <w:t>0.67</w:t>
            </w:r>
          </w:p>
          <w:p w14:paraId="1BA04F04" w14:textId="77777777" w:rsidR="0058537E" w:rsidRPr="006128F6" w:rsidRDefault="0058537E" w:rsidP="006E75D1">
            <w:pPr>
              <w:tabs>
                <w:tab w:val="clear" w:pos="567"/>
              </w:tabs>
              <w:spacing w:line="240" w:lineRule="auto"/>
              <w:jc w:val="center"/>
              <w:rPr>
                <w:color w:val="000000"/>
                <w:szCs w:val="22"/>
                <w:lang w:eastAsia="en-GB"/>
              </w:rPr>
            </w:pPr>
            <w:r w:rsidRPr="006128F6">
              <w:rPr>
                <w:color w:val="000000"/>
                <w:szCs w:val="22"/>
                <w:lang w:eastAsia="en-GB"/>
              </w:rPr>
              <w:t>(0.54, 0.83)</w:t>
            </w:r>
          </w:p>
          <w:p w14:paraId="7004010D" w14:textId="77777777" w:rsidR="0058537E" w:rsidRPr="006128F6" w:rsidRDefault="0058537E" w:rsidP="006E75D1">
            <w:pPr>
              <w:tabs>
                <w:tab w:val="clear" w:pos="567"/>
              </w:tabs>
              <w:spacing w:line="240" w:lineRule="auto"/>
              <w:jc w:val="center"/>
              <w:rPr>
                <w:color w:val="000000"/>
                <w:szCs w:val="22"/>
                <w:lang w:eastAsia="en-GB"/>
              </w:rPr>
            </w:pPr>
            <w:r w:rsidRPr="006128F6">
              <w:rPr>
                <w:color w:val="000000"/>
                <w:szCs w:val="22"/>
                <w:lang w:eastAsia="en-GB"/>
              </w:rPr>
              <w:t>p</w:t>
            </w:r>
            <w:r w:rsidR="002B7BA5" w:rsidRPr="006128F6">
              <w:rPr>
                <w:color w:val="000000"/>
                <w:szCs w:val="22"/>
                <w:lang w:eastAsia="en-GB"/>
              </w:rPr>
              <w:t> </w:t>
            </w:r>
            <w:r w:rsidRPr="006128F6">
              <w:rPr>
                <w:color w:val="000000"/>
                <w:szCs w:val="22"/>
                <w:lang w:eastAsia="en-GB"/>
              </w:rPr>
              <w:t>=</w:t>
            </w:r>
            <w:r w:rsidR="002B7BA5" w:rsidRPr="006128F6">
              <w:rPr>
                <w:color w:val="000000"/>
                <w:szCs w:val="22"/>
                <w:lang w:eastAsia="en-GB"/>
              </w:rPr>
              <w:t> </w:t>
            </w:r>
            <w:r w:rsidRPr="006128F6">
              <w:rPr>
                <w:color w:val="000000"/>
                <w:szCs w:val="22"/>
                <w:lang w:eastAsia="en-GB"/>
              </w:rPr>
              <w:t>0.0003</w:t>
            </w:r>
          </w:p>
        </w:tc>
      </w:tr>
      <w:tr w:rsidR="00231CDD" w:rsidRPr="006128F6" w14:paraId="32584CCB" w14:textId="77777777" w:rsidTr="007519ED">
        <w:trPr>
          <w:trHeight w:val="300"/>
        </w:trPr>
        <w:tc>
          <w:tcPr>
            <w:tcW w:w="1814" w:type="pct"/>
            <w:shd w:val="clear" w:color="auto" w:fill="auto"/>
            <w:noWrap/>
          </w:tcPr>
          <w:p w14:paraId="4B9D692D" w14:textId="77777777" w:rsidR="00231CDD" w:rsidRPr="006128F6" w:rsidRDefault="00231CDD" w:rsidP="006128F6">
            <w:pPr>
              <w:keepNext/>
              <w:tabs>
                <w:tab w:val="clear" w:pos="567"/>
              </w:tabs>
              <w:spacing w:line="240" w:lineRule="auto"/>
              <w:rPr>
                <w:color w:val="000000"/>
                <w:szCs w:val="22"/>
                <w:lang w:eastAsia="en-GB"/>
              </w:rPr>
            </w:pPr>
            <w:r w:rsidRPr="006128F6">
              <w:rPr>
                <w:color w:val="000000"/>
                <w:szCs w:val="22"/>
                <w:lang w:eastAsia="en-GB"/>
              </w:rPr>
              <w:lastRenderedPageBreak/>
              <w:t>Long term follow-up efficacy</w:t>
            </w:r>
          </w:p>
          <w:p w14:paraId="70D8BE28" w14:textId="77777777" w:rsidR="00231CDD" w:rsidRPr="006128F6" w:rsidRDefault="00231CDD" w:rsidP="006128F6">
            <w:pPr>
              <w:keepNext/>
              <w:tabs>
                <w:tab w:val="clear" w:pos="567"/>
              </w:tabs>
              <w:spacing w:line="240" w:lineRule="auto"/>
              <w:rPr>
                <w:color w:val="000000"/>
                <w:szCs w:val="22"/>
                <w:lang w:eastAsia="en-GB"/>
              </w:rPr>
            </w:pPr>
            <w:r w:rsidRPr="006128F6">
              <w:rPr>
                <w:color w:val="000000"/>
                <w:szCs w:val="22"/>
                <w:lang w:eastAsia="en-GB"/>
              </w:rPr>
              <w:t>analysis</w:t>
            </w:r>
            <w:r w:rsidRPr="006128F6">
              <w:rPr>
                <w:color w:val="000000"/>
                <w:szCs w:val="22"/>
                <w:vertAlign w:val="superscript"/>
                <w:lang w:eastAsia="en-GB"/>
              </w:rPr>
              <w:t>**</w:t>
            </w:r>
          </w:p>
          <w:p w14:paraId="46040A6E" w14:textId="77777777" w:rsidR="00231CDD" w:rsidRPr="006128F6" w:rsidRDefault="00231CDD" w:rsidP="006128F6">
            <w:pPr>
              <w:keepNext/>
              <w:tabs>
                <w:tab w:val="clear" w:pos="567"/>
              </w:tabs>
              <w:spacing w:line="240" w:lineRule="auto"/>
              <w:rPr>
                <w:color w:val="000000"/>
                <w:szCs w:val="22"/>
                <w:lang w:eastAsia="en-GB"/>
              </w:rPr>
            </w:pPr>
            <w:r w:rsidRPr="006128F6">
              <w:rPr>
                <w:color w:val="000000"/>
                <w:szCs w:val="22"/>
                <w:lang w:eastAsia="en-GB"/>
              </w:rPr>
              <w:t>DFS Hazard ratios</w:t>
            </w:r>
          </w:p>
          <w:p w14:paraId="2410E838" w14:textId="3D4EEC08" w:rsidR="00231CDD" w:rsidRPr="006128F6" w:rsidRDefault="00231CDD" w:rsidP="006128F6">
            <w:pPr>
              <w:keepNext/>
              <w:tabs>
                <w:tab w:val="clear" w:pos="567"/>
              </w:tabs>
              <w:spacing w:line="240" w:lineRule="auto"/>
              <w:rPr>
                <w:color w:val="000000"/>
                <w:szCs w:val="22"/>
                <w:lang w:eastAsia="en-GB"/>
              </w:rPr>
            </w:pPr>
            <w:r w:rsidRPr="006128F6">
              <w:rPr>
                <w:color w:val="000000"/>
                <w:szCs w:val="22"/>
                <w:lang w:eastAsia="en-GB"/>
              </w:rPr>
              <w:t>(95</w:t>
            </w:r>
            <w:r w:rsidR="000840CF" w:rsidRPr="006128F6">
              <w:rPr>
                <w:color w:val="000000"/>
                <w:szCs w:val="22"/>
                <w:lang w:eastAsia="en-GB"/>
              </w:rPr>
              <w:t>%</w:t>
            </w:r>
            <w:r w:rsidRPr="006128F6">
              <w:rPr>
                <w:color w:val="000000"/>
                <w:szCs w:val="22"/>
                <w:lang w:eastAsia="en-GB"/>
              </w:rPr>
              <w:t xml:space="preserve"> CI)</w:t>
            </w:r>
          </w:p>
          <w:p w14:paraId="37A9600C" w14:textId="77777777" w:rsidR="00231CDD" w:rsidRPr="006128F6" w:rsidRDefault="00231CDD" w:rsidP="006128F6">
            <w:pPr>
              <w:keepNext/>
              <w:tabs>
                <w:tab w:val="clear" w:pos="567"/>
              </w:tabs>
              <w:spacing w:line="240" w:lineRule="auto"/>
              <w:rPr>
                <w:color w:val="000000"/>
                <w:szCs w:val="22"/>
                <w:lang w:eastAsia="en-GB"/>
              </w:rPr>
            </w:pPr>
            <w:r w:rsidRPr="006128F6">
              <w:rPr>
                <w:color w:val="000000"/>
                <w:szCs w:val="22"/>
                <w:lang w:eastAsia="en-GB"/>
              </w:rPr>
              <w:t>p-value</w:t>
            </w:r>
          </w:p>
        </w:tc>
        <w:tc>
          <w:tcPr>
            <w:tcW w:w="1145" w:type="pct"/>
            <w:shd w:val="clear" w:color="auto" w:fill="auto"/>
            <w:noWrap/>
          </w:tcPr>
          <w:p w14:paraId="77D66C92" w14:textId="77777777" w:rsidR="00231CDD" w:rsidRPr="006128F6" w:rsidRDefault="00231CDD" w:rsidP="006128F6">
            <w:pPr>
              <w:keepNext/>
              <w:tabs>
                <w:tab w:val="clear" w:pos="567"/>
              </w:tabs>
              <w:spacing w:line="240" w:lineRule="auto"/>
              <w:jc w:val="center"/>
              <w:rPr>
                <w:color w:val="000000"/>
                <w:szCs w:val="22"/>
                <w:lang w:eastAsia="en-GB"/>
              </w:rPr>
            </w:pPr>
          </w:p>
          <w:p w14:paraId="7810106D" w14:textId="77777777" w:rsidR="00231CDD" w:rsidRPr="006128F6" w:rsidRDefault="00231CDD" w:rsidP="006128F6">
            <w:pPr>
              <w:keepNext/>
              <w:tabs>
                <w:tab w:val="clear" w:pos="567"/>
              </w:tabs>
              <w:spacing w:line="240" w:lineRule="auto"/>
              <w:jc w:val="center"/>
              <w:rPr>
                <w:color w:val="000000"/>
                <w:szCs w:val="22"/>
                <w:lang w:eastAsia="en-GB"/>
              </w:rPr>
            </w:pPr>
          </w:p>
          <w:p w14:paraId="1B531B50" w14:textId="77777777" w:rsidR="00231CDD" w:rsidRPr="006128F6" w:rsidRDefault="00231CDD" w:rsidP="006128F6">
            <w:pPr>
              <w:keepNext/>
              <w:tabs>
                <w:tab w:val="clear" w:pos="567"/>
              </w:tabs>
              <w:spacing w:line="240" w:lineRule="auto"/>
              <w:jc w:val="center"/>
              <w:rPr>
                <w:color w:val="000000"/>
                <w:szCs w:val="22"/>
                <w:lang w:eastAsia="en-GB"/>
              </w:rPr>
            </w:pPr>
            <w:r w:rsidRPr="006128F6">
              <w:rPr>
                <w:color w:val="000000"/>
                <w:szCs w:val="22"/>
                <w:lang w:eastAsia="en-GB"/>
              </w:rPr>
              <w:t>0.61</w:t>
            </w:r>
          </w:p>
          <w:p w14:paraId="5E4B8D53" w14:textId="77777777" w:rsidR="00231CDD" w:rsidRPr="006128F6" w:rsidRDefault="00231CDD" w:rsidP="006128F6">
            <w:pPr>
              <w:keepNext/>
              <w:tabs>
                <w:tab w:val="clear" w:pos="567"/>
              </w:tabs>
              <w:spacing w:line="240" w:lineRule="auto"/>
              <w:jc w:val="center"/>
              <w:rPr>
                <w:color w:val="000000"/>
                <w:szCs w:val="22"/>
                <w:lang w:eastAsia="en-GB"/>
              </w:rPr>
            </w:pPr>
            <w:r w:rsidRPr="006128F6">
              <w:rPr>
                <w:color w:val="000000"/>
                <w:szCs w:val="22"/>
                <w:lang w:eastAsia="en-GB"/>
              </w:rPr>
              <w:t>(0.54, 0.69)</w:t>
            </w:r>
          </w:p>
          <w:p w14:paraId="13798B03" w14:textId="77777777" w:rsidR="00231CDD" w:rsidRPr="006128F6" w:rsidRDefault="00231CDD" w:rsidP="006128F6">
            <w:pPr>
              <w:keepNext/>
              <w:tabs>
                <w:tab w:val="clear" w:pos="567"/>
              </w:tabs>
              <w:spacing w:line="240" w:lineRule="auto"/>
              <w:jc w:val="center"/>
              <w:rPr>
                <w:color w:val="000000"/>
                <w:szCs w:val="22"/>
                <w:lang w:eastAsia="en-GB"/>
              </w:rPr>
            </w:pPr>
            <w:r w:rsidRPr="006128F6">
              <w:rPr>
                <w:color w:val="000000"/>
                <w:szCs w:val="22"/>
                <w:lang w:eastAsia="en-GB"/>
              </w:rPr>
              <w:t>p&lt;0.0001</w:t>
            </w:r>
          </w:p>
        </w:tc>
        <w:tc>
          <w:tcPr>
            <w:tcW w:w="993" w:type="pct"/>
            <w:shd w:val="clear" w:color="auto" w:fill="auto"/>
            <w:noWrap/>
          </w:tcPr>
          <w:p w14:paraId="38D6AE1C" w14:textId="77777777" w:rsidR="00231CDD" w:rsidRPr="006128F6" w:rsidRDefault="00231CDD" w:rsidP="006128F6">
            <w:pPr>
              <w:keepNext/>
              <w:tabs>
                <w:tab w:val="clear" w:pos="567"/>
              </w:tabs>
              <w:spacing w:line="240" w:lineRule="auto"/>
              <w:jc w:val="center"/>
              <w:rPr>
                <w:color w:val="000000"/>
                <w:szCs w:val="22"/>
                <w:lang w:eastAsia="en-GB"/>
              </w:rPr>
            </w:pPr>
          </w:p>
          <w:p w14:paraId="1EE22E9B" w14:textId="77777777" w:rsidR="00231CDD" w:rsidRPr="006128F6" w:rsidRDefault="00231CDD" w:rsidP="006128F6">
            <w:pPr>
              <w:keepNext/>
              <w:tabs>
                <w:tab w:val="clear" w:pos="567"/>
              </w:tabs>
              <w:spacing w:line="240" w:lineRule="auto"/>
              <w:jc w:val="center"/>
              <w:rPr>
                <w:color w:val="000000"/>
                <w:szCs w:val="22"/>
                <w:lang w:eastAsia="en-GB"/>
              </w:rPr>
            </w:pPr>
          </w:p>
          <w:p w14:paraId="6622C041" w14:textId="77777777" w:rsidR="00231CDD" w:rsidRPr="006128F6" w:rsidRDefault="00231CDD" w:rsidP="006128F6">
            <w:pPr>
              <w:keepNext/>
              <w:tabs>
                <w:tab w:val="clear" w:pos="567"/>
              </w:tabs>
              <w:spacing w:line="240" w:lineRule="auto"/>
              <w:jc w:val="center"/>
              <w:rPr>
                <w:color w:val="000000"/>
                <w:szCs w:val="22"/>
                <w:lang w:eastAsia="en-GB"/>
              </w:rPr>
            </w:pPr>
            <w:r w:rsidRPr="006128F6">
              <w:rPr>
                <w:color w:val="000000"/>
                <w:szCs w:val="22"/>
                <w:lang w:eastAsia="en-GB"/>
              </w:rPr>
              <w:t>0.72</w:t>
            </w:r>
          </w:p>
          <w:p w14:paraId="5E36768C" w14:textId="77777777" w:rsidR="00231CDD" w:rsidRPr="006128F6" w:rsidRDefault="00231CDD" w:rsidP="006128F6">
            <w:pPr>
              <w:keepNext/>
              <w:tabs>
                <w:tab w:val="clear" w:pos="567"/>
              </w:tabs>
              <w:spacing w:line="240" w:lineRule="auto"/>
              <w:jc w:val="center"/>
              <w:rPr>
                <w:color w:val="000000"/>
                <w:szCs w:val="22"/>
                <w:lang w:eastAsia="en-GB"/>
              </w:rPr>
            </w:pPr>
            <w:r w:rsidRPr="006128F6">
              <w:rPr>
                <w:color w:val="000000"/>
                <w:szCs w:val="22"/>
                <w:lang w:eastAsia="en-GB"/>
              </w:rPr>
              <w:t>(0.61, 0.85)</w:t>
            </w:r>
          </w:p>
          <w:p w14:paraId="6A6EB924" w14:textId="77777777" w:rsidR="00231CDD" w:rsidRPr="006128F6" w:rsidRDefault="00231CDD" w:rsidP="006128F6">
            <w:pPr>
              <w:keepNext/>
              <w:tabs>
                <w:tab w:val="clear" w:pos="567"/>
              </w:tabs>
              <w:spacing w:line="240" w:lineRule="auto"/>
              <w:jc w:val="center"/>
              <w:rPr>
                <w:color w:val="000000"/>
                <w:szCs w:val="22"/>
                <w:lang w:eastAsia="en-GB"/>
              </w:rPr>
            </w:pPr>
            <w:r w:rsidRPr="006128F6">
              <w:rPr>
                <w:color w:val="000000"/>
                <w:szCs w:val="22"/>
                <w:lang w:eastAsia="en-GB"/>
              </w:rPr>
              <w:t>p&lt;0.0001</w:t>
            </w:r>
          </w:p>
        </w:tc>
        <w:tc>
          <w:tcPr>
            <w:tcW w:w="1049" w:type="pct"/>
            <w:shd w:val="clear" w:color="auto" w:fill="auto"/>
            <w:noWrap/>
          </w:tcPr>
          <w:p w14:paraId="34C18394" w14:textId="77777777" w:rsidR="00231CDD" w:rsidRPr="006128F6" w:rsidRDefault="00231CDD" w:rsidP="006128F6">
            <w:pPr>
              <w:keepNext/>
              <w:tabs>
                <w:tab w:val="clear" w:pos="567"/>
              </w:tabs>
              <w:spacing w:line="240" w:lineRule="auto"/>
              <w:jc w:val="center"/>
              <w:rPr>
                <w:color w:val="000000"/>
                <w:szCs w:val="22"/>
                <w:lang w:eastAsia="en-GB"/>
              </w:rPr>
            </w:pPr>
          </w:p>
          <w:p w14:paraId="7EE19503" w14:textId="77777777" w:rsidR="00231CDD" w:rsidRPr="006128F6" w:rsidRDefault="00231CDD" w:rsidP="006128F6">
            <w:pPr>
              <w:keepNext/>
              <w:tabs>
                <w:tab w:val="clear" w:pos="567"/>
              </w:tabs>
              <w:spacing w:line="240" w:lineRule="auto"/>
              <w:jc w:val="center"/>
              <w:rPr>
                <w:color w:val="000000"/>
                <w:szCs w:val="22"/>
                <w:lang w:eastAsia="en-GB"/>
              </w:rPr>
            </w:pPr>
          </w:p>
          <w:p w14:paraId="2F1E8289" w14:textId="77777777" w:rsidR="00231CDD" w:rsidRPr="006128F6" w:rsidRDefault="00231CDD" w:rsidP="006128F6">
            <w:pPr>
              <w:keepNext/>
              <w:tabs>
                <w:tab w:val="clear" w:pos="567"/>
              </w:tabs>
              <w:spacing w:line="240" w:lineRule="auto"/>
              <w:jc w:val="center"/>
              <w:rPr>
                <w:color w:val="000000"/>
                <w:szCs w:val="22"/>
                <w:lang w:eastAsia="en-GB"/>
              </w:rPr>
            </w:pPr>
            <w:r w:rsidRPr="006128F6">
              <w:rPr>
                <w:color w:val="000000"/>
                <w:szCs w:val="22"/>
                <w:lang w:eastAsia="en-GB"/>
              </w:rPr>
              <w:t>0.77</w:t>
            </w:r>
          </w:p>
          <w:p w14:paraId="408291B8" w14:textId="77777777" w:rsidR="00231CDD" w:rsidRPr="006128F6" w:rsidRDefault="00231CDD" w:rsidP="006128F6">
            <w:pPr>
              <w:keepNext/>
              <w:tabs>
                <w:tab w:val="clear" w:pos="567"/>
              </w:tabs>
              <w:spacing w:line="240" w:lineRule="auto"/>
              <w:jc w:val="center"/>
              <w:rPr>
                <w:color w:val="000000"/>
                <w:szCs w:val="22"/>
                <w:lang w:eastAsia="en-GB"/>
              </w:rPr>
            </w:pPr>
            <w:r w:rsidRPr="006128F6">
              <w:rPr>
                <w:color w:val="000000"/>
                <w:szCs w:val="22"/>
                <w:lang w:eastAsia="en-GB"/>
              </w:rPr>
              <w:t>(0.65, 0.90)</w:t>
            </w:r>
          </w:p>
          <w:p w14:paraId="6C1D126A" w14:textId="77777777" w:rsidR="00231CDD" w:rsidRPr="006128F6" w:rsidRDefault="00231CDD" w:rsidP="006128F6">
            <w:pPr>
              <w:keepNext/>
              <w:tabs>
                <w:tab w:val="clear" w:pos="567"/>
              </w:tabs>
              <w:spacing w:line="240" w:lineRule="auto"/>
              <w:jc w:val="center"/>
              <w:rPr>
                <w:color w:val="000000"/>
                <w:szCs w:val="22"/>
                <w:lang w:eastAsia="en-GB"/>
              </w:rPr>
            </w:pPr>
            <w:r w:rsidRPr="006128F6">
              <w:rPr>
                <w:color w:val="000000"/>
                <w:szCs w:val="22"/>
                <w:lang w:eastAsia="en-GB"/>
              </w:rPr>
              <w:t>p=0.0011</w:t>
            </w:r>
          </w:p>
        </w:tc>
      </w:tr>
      <w:tr w:rsidR="0061532E" w:rsidRPr="006128F6" w14:paraId="43710BE6" w14:textId="77777777" w:rsidTr="007519ED">
        <w:trPr>
          <w:trHeight w:val="300"/>
        </w:trPr>
        <w:tc>
          <w:tcPr>
            <w:tcW w:w="1814" w:type="pct"/>
            <w:shd w:val="clear" w:color="auto" w:fill="auto"/>
            <w:noWrap/>
            <w:hideMark/>
          </w:tcPr>
          <w:p w14:paraId="0086CAF6" w14:textId="77777777" w:rsidR="0058537E" w:rsidRPr="006128F6" w:rsidRDefault="0058537E" w:rsidP="006128F6">
            <w:pPr>
              <w:keepNext/>
              <w:tabs>
                <w:tab w:val="clear" w:pos="567"/>
              </w:tabs>
              <w:spacing w:line="240" w:lineRule="auto"/>
              <w:rPr>
                <w:color w:val="000000"/>
                <w:szCs w:val="22"/>
                <w:lang w:eastAsia="en-GB"/>
              </w:rPr>
            </w:pPr>
            <w:r w:rsidRPr="006128F6">
              <w:rPr>
                <w:color w:val="000000"/>
                <w:szCs w:val="22"/>
                <w:lang w:eastAsia="en-GB"/>
              </w:rPr>
              <w:t>Post</w:t>
            </w:r>
            <w:r w:rsidRPr="006128F6">
              <w:rPr>
                <w:color w:val="000000"/>
                <w:szCs w:val="22"/>
                <w:lang w:eastAsia="en-GB"/>
              </w:rPr>
              <w:noBreakHyphen/>
              <w:t xml:space="preserve">hoc exploratory analysis with DFS and symptomatic cardiac events </w:t>
            </w:r>
          </w:p>
          <w:p w14:paraId="3CBC1FDF" w14:textId="77777777" w:rsidR="007519ED" w:rsidRPr="006128F6" w:rsidRDefault="00231CDD" w:rsidP="006128F6">
            <w:pPr>
              <w:keepNext/>
              <w:tabs>
                <w:tab w:val="clear" w:pos="567"/>
              </w:tabs>
              <w:spacing w:line="240" w:lineRule="auto"/>
              <w:rPr>
                <w:color w:val="000000"/>
                <w:szCs w:val="22"/>
                <w:lang w:eastAsia="en-GB"/>
              </w:rPr>
            </w:pPr>
            <w:r w:rsidRPr="006128F6">
              <w:rPr>
                <w:color w:val="000000"/>
                <w:szCs w:val="22"/>
                <w:lang w:eastAsia="en-GB"/>
              </w:rPr>
              <w:t>Long term follow-up</w:t>
            </w:r>
            <w:r w:rsidRPr="006128F6">
              <w:rPr>
                <w:color w:val="000000"/>
                <w:szCs w:val="22"/>
                <w:vertAlign w:val="superscript"/>
                <w:lang w:eastAsia="en-GB"/>
              </w:rPr>
              <w:t>**</w:t>
            </w:r>
            <w:r w:rsidRPr="006128F6">
              <w:rPr>
                <w:color w:val="000000"/>
                <w:szCs w:val="22"/>
                <w:lang w:eastAsia="en-GB"/>
              </w:rPr>
              <w:t xml:space="preserve"> </w:t>
            </w:r>
          </w:p>
          <w:p w14:paraId="4E24F038" w14:textId="181F82AF" w:rsidR="0058537E" w:rsidRPr="006128F6" w:rsidRDefault="0058537E" w:rsidP="006128F6">
            <w:pPr>
              <w:keepNext/>
              <w:tabs>
                <w:tab w:val="clear" w:pos="567"/>
              </w:tabs>
              <w:spacing w:line="240" w:lineRule="auto"/>
              <w:rPr>
                <w:color w:val="000000"/>
                <w:szCs w:val="22"/>
                <w:lang w:eastAsia="en-GB"/>
              </w:rPr>
            </w:pPr>
            <w:r w:rsidRPr="006128F6">
              <w:rPr>
                <w:color w:val="000000"/>
                <w:szCs w:val="22"/>
                <w:lang w:eastAsia="en-GB"/>
              </w:rPr>
              <w:t xml:space="preserve">Hazard ratios </w:t>
            </w:r>
          </w:p>
          <w:p w14:paraId="7A207EAA" w14:textId="004A988C" w:rsidR="0061532E" w:rsidRPr="006128F6" w:rsidRDefault="004442B5" w:rsidP="006128F6">
            <w:pPr>
              <w:keepNext/>
              <w:tabs>
                <w:tab w:val="clear" w:pos="567"/>
              </w:tabs>
              <w:spacing w:line="240" w:lineRule="auto"/>
              <w:rPr>
                <w:color w:val="000000"/>
                <w:szCs w:val="22"/>
                <w:lang w:eastAsia="en-GB"/>
              </w:rPr>
            </w:pPr>
            <w:r w:rsidRPr="006128F6">
              <w:rPr>
                <w:color w:val="000000"/>
                <w:szCs w:val="22"/>
                <w:lang w:eastAsia="en-GB"/>
              </w:rPr>
              <w:t>(95</w:t>
            </w:r>
            <w:r w:rsidR="000840CF" w:rsidRPr="006128F6">
              <w:rPr>
                <w:color w:val="000000"/>
                <w:szCs w:val="22"/>
                <w:lang w:eastAsia="en-GB"/>
              </w:rPr>
              <w:t>%</w:t>
            </w:r>
            <w:r w:rsidR="0058537E" w:rsidRPr="006128F6">
              <w:rPr>
                <w:color w:val="000000"/>
                <w:szCs w:val="22"/>
                <w:lang w:eastAsia="en-GB"/>
              </w:rPr>
              <w:t xml:space="preserve"> CI)</w:t>
            </w:r>
          </w:p>
        </w:tc>
        <w:tc>
          <w:tcPr>
            <w:tcW w:w="1145" w:type="pct"/>
            <w:shd w:val="clear" w:color="auto" w:fill="auto"/>
            <w:noWrap/>
            <w:hideMark/>
          </w:tcPr>
          <w:p w14:paraId="4BA841C2" w14:textId="77777777" w:rsidR="0058537E" w:rsidRPr="006128F6" w:rsidRDefault="0058537E" w:rsidP="006128F6">
            <w:pPr>
              <w:keepNext/>
              <w:tabs>
                <w:tab w:val="clear" w:pos="567"/>
              </w:tabs>
              <w:spacing w:line="240" w:lineRule="auto"/>
              <w:jc w:val="center"/>
              <w:rPr>
                <w:color w:val="000000"/>
                <w:szCs w:val="22"/>
                <w:lang w:eastAsia="en-GB"/>
              </w:rPr>
            </w:pPr>
          </w:p>
          <w:p w14:paraId="10EF8F03" w14:textId="77777777" w:rsidR="0058537E" w:rsidRPr="006128F6" w:rsidRDefault="0058537E" w:rsidP="006128F6">
            <w:pPr>
              <w:keepNext/>
              <w:tabs>
                <w:tab w:val="clear" w:pos="567"/>
              </w:tabs>
              <w:spacing w:line="240" w:lineRule="auto"/>
              <w:jc w:val="center"/>
              <w:rPr>
                <w:color w:val="000000"/>
                <w:szCs w:val="22"/>
                <w:lang w:eastAsia="en-GB"/>
              </w:rPr>
            </w:pPr>
          </w:p>
          <w:p w14:paraId="514E3045" w14:textId="77777777" w:rsidR="0058537E" w:rsidRPr="006128F6" w:rsidRDefault="0058537E" w:rsidP="006128F6">
            <w:pPr>
              <w:keepNext/>
              <w:tabs>
                <w:tab w:val="clear" w:pos="567"/>
              </w:tabs>
              <w:spacing w:line="240" w:lineRule="auto"/>
              <w:jc w:val="center"/>
              <w:rPr>
                <w:color w:val="000000"/>
                <w:szCs w:val="22"/>
                <w:lang w:eastAsia="en-GB"/>
              </w:rPr>
            </w:pPr>
          </w:p>
          <w:p w14:paraId="3F9E9A2A" w14:textId="77777777" w:rsidR="00231CDD" w:rsidRPr="006128F6" w:rsidRDefault="00231CDD" w:rsidP="006128F6">
            <w:pPr>
              <w:keepNext/>
              <w:tabs>
                <w:tab w:val="clear" w:pos="567"/>
              </w:tabs>
              <w:spacing w:line="240" w:lineRule="auto"/>
              <w:jc w:val="center"/>
              <w:rPr>
                <w:color w:val="000000"/>
                <w:szCs w:val="22"/>
                <w:lang w:eastAsia="en-GB"/>
              </w:rPr>
            </w:pPr>
          </w:p>
          <w:p w14:paraId="428D0198" w14:textId="77777777" w:rsidR="0058537E" w:rsidRPr="006128F6" w:rsidRDefault="0061532E" w:rsidP="006128F6">
            <w:pPr>
              <w:keepNext/>
              <w:tabs>
                <w:tab w:val="clear" w:pos="567"/>
              </w:tabs>
              <w:spacing w:line="240" w:lineRule="auto"/>
              <w:jc w:val="center"/>
              <w:rPr>
                <w:color w:val="000000"/>
                <w:szCs w:val="22"/>
                <w:lang w:eastAsia="en-GB"/>
              </w:rPr>
            </w:pPr>
            <w:r w:rsidRPr="006128F6">
              <w:rPr>
                <w:color w:val="000000"/>
                <w:szCs w:val="22"/>
                <w:lang w:eastAsia="en-GB"/>
              </w:rPr>
              <w:t>0.6</w:t>
            </w:r>
            <w:r w:rsidR="00231CDD" w:rsidRPr="006128F6">
              <w:rPr>
                <w:color w:val="000000"/>
                <w:szCs w:val="22"/>
                <w:lang w:eastAsia="en-GB"/>
              </w:rPr>
              <w:t>7</w:t>
            </w:r>
          </w:p>
          <w:p w14:paraId="3682F0DF" w14:textId="77777777" w:rsidR="0061532E" w:rsidRPr="006128F6" w:rsidRDefault="0058537E" w:rsidP="006128F6">
            <w:pPr>
              <w:keepNext/>
              <w:tabs>
                <w:tab w:val="clear" w:pos="567"/>
              </w:tabs>
              <w:spacing w:line="240" w:lineRule="auto"/>
              <w:jc w:val="center"/>
              <w:rPr>
                <w:color w:val="000000"/>
                <w:szCs w:val="22"/>
                <w:lang w:eastAsia="en-GB"/>
              </w:rPr>
            </w:pPr>
            <w:r w:rsidRPr="006128F6">
              <w:rPr>
                <w:color w:val="000000"/>
                <w:szCs w:val="22"/>
                <w:lang w:eastAsia="en-GB"/>
              </w:rPr>
              <w:t>(0.</w:t>
            </w:r>
            <w:r w:rsidR="00231CDD" w:rsidRPr="006128F6">
              <w:rPr>
                <w:color w:val="000000"/>
                <w:szCs w:val="22"/>
                <w:lang w:eastAsia="en-GB"/>
              </w:rPr>
              <w:t>60</w:t>
            </w:r>
            <w:r w:rsidRPr="006128F6">
              <w:rPr>
                <w:color w:val="000000"/>
                <w:szCs w:val="22"/>
                <w:lang w:eastAsia="en-GB"/>
              </w:rPr>
              <w:t>, 0.7</w:t>
            </w:r>
            <w:r w:rsidR="00231CDD" w:rsidRPr="006128F6">
              <w:rPr>
                <w:color w:val="000000"/>
                <w:szCs w:val="22"/>
                <w:lang w:eastAsia="en-GB"/>
              </w:rPr>
              <w:t>5</w:t>
            </w:r>
            <w:r w:rsidRPr="006128F6">
              <w:rPr>
                <w:color w:val="000000"/>
                <w:szCs w:val="22"/>
                <w:lang w:eastAsia="en-GB"/>
              </w:rPr>
              <w:t>)</w:t>
            </w:r>
          </w:p>
        </w:tc>
        <w:tc>
          <w:tcPr>
            <w:tcW w:w="993" w:type="pct"/>
            <w:shd w:val="clear" w:color="auto" w:fill="auto"/>
            <w:noWrap/>
            <w:hideMark/>
          </w:tcPr>
          <w:p w14:paraId="585F6DE2" w14:textId="77777777" w:rsidR="0058537E" w:rsidRPr="006128F6" w:rsidRDefault="0058537E" w:rsidP="006128F6">
            <w:pPr>
              <w:keepNext/>
              <w:tabs>
                <w:tab w:val="clear" w:pos="567"/>
              </w:tabs>
              <w:spacing w:line="240" w:lineRule="auto"/>
              <w:jc w:val="center"/>
              <w:rPr>
                <w:color w:val="000000"/>
                <w:szCs w:val="22"/>
                <w:lang w:eastAsia="en-GB"/>
              </w:rPr>
            </w:pPr>
          </w:p>
          <w:p w14:paraId="60074CE5" w14:textId="77777777" w:rsidR="0058537E" w:rsidRPr="006128F6" w:rsidRDefault="0058537E" w:rsidP="006128F6">
            <w:pPr>
              <w:keepNext/>
              <w:tabs>
                <w:tab w:val="clear" w:pos="567"/>
              </w:tabs>
              <w:spacing w:line="240" w:lineRule="auto"/>
              <w:jc w:val="center"/>
              <w:rPr>
                <w:color w:val="000000"/>
                <w:szCs w:val="22"/>
                <w:lang w:eastAsia="en-GB"/>
              </w:rPr>
            </w:pPr>
          </w:p>
          <w:p w14:paraId="131DC636" w14:textId="77777777" w:rsidR="0058537E" w:rsidRPr="006128F6" w:rsidRDefault="0058537E" w:rsidP="006128F6">
            <w:pPr>
              <w:keepNext/>
              <w:tabs>
                <w:tab w:val="clear" w:pos="567"/>
              </w:tabs>
              <w:spacing w:line="240" w:lineRule="auto"/>
              <w:jc w:val="center"/>
              <w:rPr>
                <w:color w:val="000000"/>
                <w:szCs w:val="22"/>
                <w:lang w:eastAsia="en-GB"/>
              </w:rPr>
            </w:pPr>
          </w:p>
          <w:p w14:paraId="7849B0FF" w14:textId="77777777" w:rsidR="00231CDD" w:rsidRPr="006128F6" w:rsidRDefault="00231CDD" w:rsidP="006128F6">
            <w:pPr>
              <w:keepNext/>
              <w:tabs>
                <w:tab w:val="clear" w:pos="567"/>
              </w:tabs>
              <w:spacing w:line="240" w:lineRule="auto"/>
              <w:jc w:val="center"/>
              <w:rPr>
                <w:color w:val="000000"/>
                <w:szCs w:val="22"/>
                <w:lang w:eastAsia="en-GB"/>
              </w:rPr>
            </w:pPr>
          </w:p>
          <w:p w14:paraId="3E182D5C" w14:textId="77777777" w:rsidR="0058537E" w:rsidRPr="006128F6" w:rsidRDefault="0061532E" w:rsidP="006128F6">
            <w:pPr>
              <w:keepNext/>
              <w:tabs>
                <w:tab w:val="clear" w:pos="567"/>
              </w:tabs>
              <w:spacing w:line="240" w:lineRule="auto"/>
              <w:jc w:val="center"/>
              <w:rPr>
                <w:color w:val="000000"/>
                <w:szCs w:val="22"/>
                <w:lang w:eastAsia="en-GB"/>
              </w:rPr>
            </w:pPr>
            <w:r w:rsidRPr="006128F6">
              <w:rPr>
                <w:color w:val="000000"/>
                <w:szCs w:val="22"/>
                <w:lang w:eastAsia="en-GB"/>
              </w:rPr>
              <w:t>0.7</w:t>
            </w:r>
            <w:r w:rsidR="00231CDD" w:rsidRPr="006128F6">
              <w:rPr>
                <w:color w:val="000000"/>
                <w:szCs w:val="22"/>
                <w:lang w:eastAsia="en-GB"/>
              </w:rPr>
              <w:t>7</w:t>
            </w:r>
          </w:p>
          <w:p w14:paraId="4090ECAD" w14:textId="77777777" w:rsidR="0061532E" w:rsidRPr="006128F6" w:rsidRDefault="0058537E" w:rsidP="006128F6">
            <w:pPr>
              <w:keepNext/>
              <w:tabs>
                <w:tab w:val="clear" w:pos="567"/>
              </w:tabs>
              <w:spacing w:line="240" w:lineRule="auto"/>
              <w:jc w:val="center"/>
              <w:rPr>
                <w:color w:val="000000"/>
                <w:szCs w:val="22"/>
                <w:lang w:eastAsia="en-GB"/>
              </w:rPr>
            </w:pPr>
            <w:r w:rsidRPr="006128F6">
              <w:rPr>
                <w:color w:val="000000"/>
                <w:szCs w:val="22"/>
                <w:lang w:eastAsia="en-GB"/>
              </w:rPr>
              <w:t>(0.</w:t>
            </w:r>
            <w:r w:rsidR="00231CDD" w:rsidRPr="006128F6">
              <w:rPr>
                <w:color w:val="000000"/>
                <w:szCs w:val="22"/>
                <w:lang w:eastAsia="en-GB"/>
              </w:rPr>
              <w:t>66</w:t>
            </w:r>
            <w:r w:rsidRPr="006128F6">
              <w:rPr>
                <w:color w:val="000000"/>
                <w:szCs w:val="22"/>
                <w:lang w:eastAsia="en-GB"/>
              </w:rPr>
              <w:t>, 0.</w:t>
            </w:r>
            <w:r w:rsidR="00231CDD" w:rsidRPr="006128F6">
              <w:rPr>
                <w:color w:val="000000"/>
                <w:szCs w:val="22"/>
                <w:lang w:eastAsia="en-GB"/>
              </w:rPr>
              <w:t>90</w:t>
            </w:r>
            <w:r w:rsidRPr="006128F6">
              <w:rPr>
                <w:color w:val="000000"/>
                <w:szCs w:val="22"/>
                <w:lang w:eastAsia="en-GB"/>
              </w:rPr>
              <w:t>)</w:t>
            </w:r>
          </w:p>
        </w:tc>
        <w:tc>
          <w:tcPr>
            <w:tcW w:w="1049" w:type="pct"/>
            <w:shd w:val="clear" w:color="auto" w:fill="auto"/>
            <w:noWrap/>
            <w:hideMark/>
          </w:tcPr>
          <w:p w14:paraId="12D482EA" w14:textId="77777777" w:rsidR="0058537E" w:rsidRPr="006128F6" w:rsidRDefault="0058537E" w:rsidP="006128F6">
            <w:pPr>
              <w:keepNext/>
              <w:tabs>
                <w:tab w:val="clear" w:pos="567"/>
              </w:tabs>
              <w:spacing w:line="240" w:lineRule="auto"/>
              <w:jc w:val="center"/>
              <w:rPr>
                <w:color w:val="000000"/>
                <w:szCs w:val="22"/>
                <w:lang w:eastAsia="en-GB"/>
              </w:rPr>
            </w:pPr>
          </w:p>
          <w:p w14:paraId="7DAF0B38" w14:textId="77777777" w:rsidR="00231CDD" w:rsidRPr="006128F6" w:rsidRDefault="00231CDD" w:rsidP="006128F6">
            <w:pPr>
              <w:keepNext/>
              <w:tabs>
                <w:tab w:val="clear" w:pos="567"/>
              </w:tabs>
              <w:spacing w:line="240" w:lineRule="auto"/>
              <w:jc w:val="center"/>
              <w:rPr>
                <w:color w:val="000000"/>
                <w:szCs w:val="22"/>
                <w:lang w:eastAsia="en-GB"/>
              </w:rPr>
            </w:pPr>
          </w:p>
          <w:p w14:paraId="3F4E56BC" w14:textId="77777777" w:rsidR="0058537E" w:rsidRPr="006128F6" w:rsidRDefault="0058537E" w:rsidP="006128F6">
            <w:pPr>
              <w:keepNext/>
              <w:tabs>
                <w:tab w:val="clear" w:pos="567"/>
              </w:tabs>
              <w:spacing w:line="240" w:lineRule="auto"/>
              <w:jc w:val="center"/>
              <w:rPr>
                <w:color w:val="000000"/>
                <w:szCs w:val="22"/>
                <w:lang w:eastAsia="en-GB"/>
              </w:rPr>
            </w:pPr>
          </w:p>
          <w:p w14:paraId="3B6239A6" w14:textId="77777777" w:rsidR="0058537E" w:rsidRPr="006128F6" w:rsidRDefault="0058537E" w:rsidP="006128F6">
            <w:pPr>
              <w:keepNext/>
              <w:tabs>
                <w:tab w:val="clear" w:pos="567"/>
              </w:tabs>
              <w:spacing w:line="240" w:lineRule="auto"/>
              <w:jc w:val="center"/>
              <w:rPr>
                <w:color w:val="000000"/>
                <w:szCs w:val="22"/>
                <w:lang w:eastAsia="en-GB"/>
              </w:rPr>
            </w:pPr>
          </w:p>
          <w:p w14:paraId="424A567E" w14:textId="77777777" w:rsidR="0058537E" w:rsidRPr="006128F6" w:rsidRDefault="0061532E" w:rsidP="006128F6">
            <w:pPr>
              <w:keepNext/>
              <w:tabs>
                <w:tab w:val="clear" w:pos="567"/>
              </w:tabs>
              <w:spacing w:line="240" w:lineRule="auto"/>
              <w:jc w:val="center"/>
              <w:rPr>
                <w:color w:val="000000"/>
                <w:szCs w:val="22"/>
                <w:lang w:eastAsia="en-GB"/>
              </w:rPr>
            </w:pPr>
            <w:r w:rsidRPr="006128F6">
              <w:rPr>
                <w:color w:val="000000"/>
                <w:szCs w:val="22"/>
                <w:lang w:eastAsia="en-GB"/>
              </w:rPr>
              <w:t>0.7</w:t>
            </w:r>
            <w:r w:rsidR="00231CDD" w:rsidRPr="006128F6">
              <w:rPr>
                <w:color w:val="000000"/>
                <w:szCs w:val="22"/>
                <w:lang w:eastAsia="en-GB"/>
              </w:rPr>
              <w:t>7</w:t>
            </w:r>
          </w:p>
          <w:p w14:paraId="38E4FAAA" w14:textId="77777777" w:rsidR="0061532E" w:rsidRPr="006128F6" w:rsidRDefault="0058537E" w:rsidP="006128F6">
            <w:pPr>
              <w:keepNext/>
              <w:tabs>
                <w:tab w:val="clear" w:pos="567"/>
              </w:tabs>
              <w:spacing w:line="240" w:lineRule="auto"/>
              <w:jc w:val="center"/>
              <w:rPr>
                <w:color w:val="000000"/>
                <w:szCs w:val="22"/>
                <w:lang w:eastAsia="en-GB"/>
              </w:rPr>
            </w:pPr>
            <w:r w:rsidRPr="006128F6">
              <w:rPr>
                <w:color w:val="000000"/>
                <w:szCs w:val="22"/>
                <w:lang w:eastAsia="en-GB"/>
              </w:rPr>
              <w:t>(0.</w:t>
            </w:r>
            <w:r w:rsidR="00231CDD" w:rsidRPr="006128F6">
              <w:rPr>
                <w:color w:val="000000"/>
                <w:szCs w:val="22"/>
                <w:lang w:eastAsia="en-GB"/>
              </w:rPr>
              <w:t>66</w:t>
            </w:r>
            <w:r w:rsidRPr="006128F6">
              <w:rPr>
                <w:color w:val="000000"/>
                <w:szCs w:val="22"/>
                <w:lang w:eastAsia="en-GB"/>
              </w:rPr>
              <w:t>, 0.</w:t>
            </w:r>
            <w:r w:rsidR="00231CDD" w:rsidRPr="006128F6">
              <w:rPr>
                <w:color w:val="000000"/>
                <w:szCs w:val="22"/>
                <w:lang w:eastAsia="en-GB"/>
              </w:rPr>
              <w:t>90</w:t>
            </w:r>
            <w:r w:rsidRPr="006128F6">
              <w:rPr>
                <w:color w:val="000000"/>
                <w:szCs w:val="22"/>
                <w:lang w:eastAsia="en-GB"/>
              </w:rPr>
              <w:t>)</w:t>
            </w:r>
          </w:p>
        </w:tc>
      </w:tr>
    </w:tbl>
    <w:p w14:paraId="62E23C9C" w14:textId="77777777" w:rsidR="00D0629E" w:rsidRPr="00CE427E" w:rsidRDefault="00D0629E" w:rsidP="006128F6">
      <w:pPr>
        <w:tabs>
          <w:tab w:val="clear" w:pos="567"/>
        </w:tabs>
        <w:autoSpaceDE w:val="0"/>
        <w:autoSpaceDN w:val="0"/>
        <w:adjustRightInd w:val="0"/>
        <w:spacing w:line="240" w:lineRule="auto"/>
        <w:rPr>
          <w:rFonts w:eastAsia="Calibri"/>
          <w:sz w:val="20"/>
        </w:rPr>
      </w:pPr>
      <w:r w:rsidRPr="00CE427E">
        <w:rPr>
          <w:rFonts w:eastAsia="Calibri"/>
          <w:sz w:val="20"/>
        </w:rPr>
        <w:t>A: doxorubicin; C: cyclophosphamide; P: paclitaxel; D: docetaxel; Carb: carboplatin; H: trastuzumab CI = confidence interval</w:t>
      </w:r>
    </w:p>
    <w:p w14:paraId="1C3C2682" w14:textId="6F5B72DE" w:rsidR="00D0629E" w:rsidRPr="00CE427E" w:rsidRDefault="00D0629E" w:rsidP="006128F6">
      <w:pPr>
        <w:tabs>
          <w:tab w:val="clear" w:pos="567"/>
        </w:tabs>
        <w:autoSpaceDE w:val="0"/>
        <w:autoSpaceDN w:val="0"/>
        <w:adjustRightInd w:val="0"/>
        <w:spacing w:line="240" w:lineRule="auto"/>
        <w:rPr>
          <w:rFonts w:eastAsia="Calibri"/>
          <w:sz w:val="20"/>
        </w:rPr>
      </w:pPr>
      <w:r w:rsidRPr="00CE427E">
        <w:rPr>
          <w:rFonts w:eastAsia="Calibri"/>
          <w:sz w:val="20"/>
          <w:vertAlign w:val="superscript"/>
        </w:rPr>
        <w:t>*</w:t>
      </w:r>
      <w:r w:rsidRPr="00CE427E">
        <w:rPr>
          <w:rFonts w:eastAsia="Calibri"/>
          <w:sz w:val="20"/>
        </w:rPr>
        <w:t xml:space="preserve"> At the time of the definitive analysis of DFS. Median duration of follow</w:t>
      </w:r>
      <w:r w:rsidR="002F7418" w:rsidRPr="00CE427E">
        <w:rPr>
          <w:rFonts w:eastAsia="Calibri"/>
          <w:sz w:val="20"/>
        </w:rPr>
        <w:t>-</w:t>
      </w:r>
      <w:r w:rsidRPr="00CE427E">
        <w:rPr>
          <w:rFonts w:eastAsia="Calibri"/>
          <w:sz w:val="20"/>
        </w:rPr>
        <w:t>up was 1.8 years in the AC</w:t>
      </w:r>
      <w:r w:rsidRPr="006128F6">
        <w:rPr>
          <w:rFonts w:eastAsia="TimesNewRomanPSMT"/>
          <w:sz w:val="20"/>
        </w:rPr>
        <w:t>→</w:t>
      </w:r>
      <w:r w:rsidRPr="00CE427E">
        <w:rPr>
          <w:rFonts w:eastAsia="Calibri"/>
          <w:sz w:val="20"/>
        </w:rPr>
        <w:t>P arm and 2.0 years in the AC</w:t>
      </w:r>
      <w:r w:rsidRPr="006128F6">
        <w:rPr>
          <w:rFonts w:eastAsia="TimesNewRomanPSMT"/>
          <w:sz w:val="20"/>
        </w:rPr>
        <w:t>→</w:t>
      </w:r>
      <w:r w:rsidRPr="00CE427E">
        <w:rPr>
          <w:rFonts w:eastAsia="Calibri"/>
          <w:sz w:val="20"/>
        </w:rPr>
        <w:t>PH arm</w:t>
      </w:r>
    </w:p>
    <w:p w14:paraId="4A9E0A0A" w14:textId="586D6DDA" w:rsidR="00231CDD" w:rsidRPr="00CE427E" w:rsidRDefault="00231CDD" w:rsidP="006128F6">
      <w:pPr>
        <w:tabs>
          <w:tab w:val="clear" w:pos="567"/>
        </w:tabs>
        <w:autoSpaceDE w:val="0"/>
        <w:autoSpaceDN w:val="0"/>
        <w:adjustRightInd w:val="0"/>
        <w:spacing w:line="240" w:lineRule="auto"/>
        <w:rPr>
          <w:rFonts w:eastAsia="Calibri"/>
          <w:sz w:val="20"/>
        </w:rPr>
      </w:pPr>
      <w:r w:rsidRPr="00CE427E">
        <w:rPr>
          <w:rFonts w:eastAsia="Calibri"/>
          <w:sz w:val="20"/>
          <w:vertAlign w:val="superscript"/>
        </w:rPr>
        <w:t>**</w:t>
      </w:r>
      <w:r w:rsidRPr="00CE427E">
        <w:rPr>
          <w:rFonts w:eastAsia="Calibri"/>
          <w:sz w:val="20"/>
        </w:rPr>
        <w:t xml:space="preserve"> Median duration of long term follow-up for the Joint Analysis clinical studies was 8.3 years (range: 0.1 to 12.1) for the AC</w:t>
      </w:r>
      <w:r w:rsidRPr="006128F6">
        <w:rPr>
          <w:rFonts w:eastAsia="TimesNewRomanPSMT"/>
          <w:sz w:val="20"/>
        </w:rPr>
        <w:t>→</w:t>
      </w:r>
      <w:r w:rsidRPr="006128F6">
        <w:rPr>
          <w:color w:val="000000"/>
          <w:sz w:val="20"/>
          <w:lang w:eastAsia="en-GB"/>
        </w:rPr>
        <w:t>PH arm and 7.9 years (range: 0.0 to 12.2) for the AC</w:t>
      </w:r>
      <w:r w:rsidRPr="006128F6">
        <w:rPr>
          <w:rFonts w:eastAsia="TimesNewRomanPSMT"/>
          <w:sz w:val="20"/>
        </w:rPr>
        <w:t>→</w:t>
      </w:r>
      <w:r w:rsidRPr="006128F6">
        <w:rPr>
          <w:color w:val="000000"/>
          <w:sz w:val="20"/>
          <w:lang w:eastAsia="en-GB"/>
        </w:rPr>
        <w:t>P arm; Median duration of long term follow-up for the BCIRG 006 study was 10.3 years in both the AC</w:t>
      </w:r>
      <w:r w:rsidRPr="006128F6">
        <w:rPr>
          <w:rFonts w:eastAsia="TimesNewRomanPSMT"/>
          <w:sz w:val="20"/>
        </w:rPr>
        <w:t>→</w:t>
      </w:r>
      <w:r w:rsidRPr="006128F6">
        <w:rPr>
          <w:color w:val="000000"/>
          <w:sz w:val="20"/>
          <w:lang w:eastAsia="en-GB"/>
        </w:rPr>
        <w:t>D arm (range: 0.0 to 12.6) arm and the DCarbH arm (range: 0.0 to 13.1), and was 10.4 years (range: 0.0 to 12.7) in the AC</w:t>
      </w:r>
      <w:r w:rsidRPr="006128F6">
        <w:rPr>
          <w:rFonts w:eastAsia="TimesNewRomanPSMT"/>
          <w:sz w:val="20"/>
        </w:rPr>
        <w:t>→</w:t>
      </w:r>
      <w:r w:rsidRPr="006128F6">
        <w:rPr>
          <w:color w:val="000000"/>
          <w:sz w:val="20"/>
          <w:lang w:eastAsia="en-GB"/>
        </w:rPr>
        <w:t>DH arm</w:t>
      </w:r>
    </w:p>
    <w:p w14:paraId="2BF4000B" w14:textId="77777777" w:rsidR="00D0629E" w:rsidRPr="00CE427E" w:rsidRDefault="00D0629E" w:rsidP="006128F6">
      <w:pPr>
        <w:tabs>
          <w:tab w:val="clear" w:pos="567"/>
        </w:tabs>
        <w:autoSpaceDE w:val="0"/>
        <w:autoSpaceDN w:val="0"/>
        <w:adjustRightInd w:val="0"/>
        <w:spacing w:line="240" w:lineRule="auto"/>
        <w:rPr>
          <w:rFonts w:eastAsia="Calibri"/>
          <w:szCs w:val="22"/>
        </w:rPr>
      </w:pPr>
    </w:p>
    <w:p w14:paraId="4AB27ABD" w14:textId="77777777" w:rsidR="00D0629E" w:rsidRPr="00CE427E" w:rsidRDefault="00D0629E" w:rsidP="006128F6">
      <w:pPr>
        <w:tabs>
          <w:tab w:val="clear" w:pos="567"/>
        </w:tabs>
        <w:autoSpaceDE w:val="0"/>
        <w:autoSpaceDN w:val="0"/>
        <w:adjustRightInd w:val="0"/>
        <w:spacing w:line="240" w:lineRule="auto"/>
        <w:rPr>
          <w:rFonts w:eastAsia="Calibri"/>
          <w:i/>
          <w:iCs/>
          <w:szCs w:val="22"/>
          <w:u w:val="single"/>
        </w:rPr>
      </w:pPr>
      <w:r w:rsidRPr="00CE427E">
        <w:rPr>
          <w:rFonts w:eastAsia="Calibri"/>
          <w:i/>
          <w:iCs/>
          <w:szCs w:val="22"/>
          <w:u w:val="single"/>
        </w:rPr>
        <w:t>Early breast cancer (neoadjuvant-adjuvant setting)</w:t>
      </w:r>
    </w:p>
    <w:p w14:paraId="3C1B8F35" w14:textId="77777777" w:rsidR="00D0629E" w:rsidRPr="00CE427E" w:rsidRDefault="00D0629E" w:rsidP="006128F6">
      <w:pPr>
        <w:tabs>
          <w:tab w:val="clear" w:pos="567"/>
        </w:tabs>
        <w:autoSpaceDE w:val="0"/>
        <w:autoSpaceDN w:val="0"/>
        <w:adjustRightInd w:val="0"/>
        <w:spacing w:line="240" w:lineRule="auto"/>
        <w:rPr>
          <w:rFonts w:eastAsia="Calibri"/>
          <w:szCs w:val="22"/>
        </w:rPr>
      </w:pPr>
    </w:p>
    <w:p w14:paraId="0851C956" w14:textId="3EA040A7" w:rsidR="00D0629E" w:rsidRPr="00CE427E" w:rsidRDefault="00D0629E" w:rsidP="006128F6">
      <w:pPr>
        <w:tabs>
          <w:tab w:val="clear" w:pos="567"/>
        </w:tabs>
        <w:autoSpaceDE w:val="0"/>
        <w:autoSpaceDN w:val="0"/>
        <w:adjustRightInd w:val="0"/>
        <w:spacing w:line="240" w:lineRule="auto"/>
        <w:rPr>
          <w:rFonts w:eastAsia="Calibri"/>
          <w:szCs w:val="22"/>
        </w:rPr>
      </w:pPr>
      <w:r w:rsidRPr="00CE427E">
        <w:rPr>
          <w:rFonts w:eastAsia="Calibri"/>
          <w:szCs w:val="22"/>
        </w:rPr>
        <w:t xml:space="preserve">So far, no results are available which compare the efficacy of </w:t>
      </w:r>
      <w:r w:rsidR="0093307D" w:rsidRPr="00CE427E">
        <w:rPr>
          <w:rFonts w:eastAsia="Calibri"/>
          <w:szCs w:val="22"/>
        </w:rPr>
        <w:t>trastuzumab</w:t>
      </w:r>
      <w:r w:rsidRPr="00CE427E">
        <w:rPr>
          <w:rFonts w:eastAsia="Calibri"/>
          <w:szCs w:val="22"/>
        </w:rPr>
        <w:t xml:space="preserve"> administered with chemotherapy in the adjuvant setting with that obtained in the neoadjuvant/adjuvant setting.</w:t>
      </w:r>
    </w:p>
    <w:p w14:paraId="44A59CFE" w14:textId="77777777" w:rsidR="00D0629E" w:rsidRPr="00CE427E" w:rsidRDefault="00D0629E" w:rsidP="006128F6">
      <w:pPr>
        <w:tabs>
          <w:tab w:val="clear" w:pos="567"/>
        </w:tabs>
        <w:autoSpaceDE w:val="0"/>
        <w:autoSpaceDN w:val="0"/>
        <w:adjustRightInd w:val="0"/>
        <w:spacing w:line="240" w:lineRule="auto"/>
        <w:rPr>
          <w:rFonts w:eastAsia="Calibri"/>
          <w:szCs w:val="22"/>
        </w:rPr>
      </w:pPr>
    </w:p>
    <w:p w14:paraId="20849152" w14:textId="24DD15F2" w:rsidR="00D0629E" w:rsidRPr="00CE427E" w:rsidRDefault="00D0629E" w:rsidP="006128F6">
      <w:pPr>
        <w:tabs>
          <w:tab w:val="clear" w:pos="567"/>
        </w:tabs>
        <w:autoSpaceDE w:val="0"/>
        <w:autoSpaceDN w:val="0"/>
        <w:adjustRightInd w:val="0"/>
        <w:spacing w:line="240" w:lineRule="auto"/>
        <w:rPr>
          <w:rFonts w:eastAsia="Calibri"/>
          <w:szCs w:val="22"/>
        </w:rPr>
      </w:pPr>
      <w:r w:rsidRPr="00CE427E">
        <w:rPr>
          <w:rFonts w:eastAsia="Calibri"/>
          <w:szCs w:val="22"/>
        </w:rPr>
        <w:t>In the neoadjuvant</w:t>
      </w:r>
      <w:r w:rsidRPr="00CE427E">
        <w:rPr>
          <w:rFonts w:eastAsia="Calibri"/>
          <w:szCs w:val="22"/>
        </w:rPr>
        <w:noBreakHyphen/>
        <w:t xml:space="preserve">adjuvant </w:t>
      </w:r>
      <w:r w:rsidR="002267E7" w:rsidRPr="00CE427E">
        <w:rPr>
          <w:rFonts w:eastAsia="Calibri"/>
          <w:szCs w:val="22"/>
        </w:rPr>
        <w:t xml:space="preserve">treatment </w:t>
      </w:r>
      <w:r w:rsidRPr="00CE427E">
        <w:rPr>
          <w:rFonts w:eastAsia="Calibri"/>
          <w:szCs w:val="22"/>
        </w:rPr>
        <w:t xml:space="preserve">setting, study MO16432, a multicentre randomised </w:t>
      </w:r>
      <w:r w:rsidR="004A5EE5">
        <w:rPr>
          <w:rFonts w:eastAsia="Calibri"/>
          <w:szCs w:val="22"/>
        </w:rPr>
        <w:t>study</w:t>
      </w:r>
      <w:r w:rsidRPr="00CE427E">
        <w:rPr>
          <w:rFonts w:eastAsia="Calibri"/>
          <w:szCs w:val="22"/>
        </w:rPr>
        <w:t xml:space="preserve">, was designed to investigate the clinical efficacy of concurrent administration of </w:t>
      </w:r>
      <w:r w:rsidR="0093307D" w:rsidRPr="00CE427E">
        <w:rPr>
          <w:rFonts w:eastAsia="Calibri"/>
          <w:szCs w:val="22"/>
        </w:rPr>
        <w:t>trastuzumab</w:t>
      </w:r>
      <w:r w:rsidRPr="00CE427E">
        <w:rPr>
          <w:rFonts w:eastAsia="Calibri"/>
          <w:szCs w:val="22"/>
        </w:rPr>
        <w:t xml:space="preserve"> with neoadjuvant chemotherapy including both an anthracycline and a taxane, followed by adjuvant </w:t>
      </w:r>
      <w:r w:rsidR="0093307D" w:rsidRPr="00CE427E">
        <w:rPr>
          <w:rFonts w:eastAsia="Calibri"/>
          <w:szCs w:val="22"/>
        </w:rPr>
        <w:t>trastuzumab</w:t>
      </w:r>
      <w:r w:rsidR="00F6776F" w:rsidRPr="00CE427E">
        <w:rPr>
          <w:rFonts w:eastAsia="Calibri"/>
          <w:szCs w:val="22"/>
        </w:rPr>
        <w:t xml:space="preserve">, up to a </w:t>
      </w:r>
      <w:r w:rsidRPr="00CE427E">
        <w:rPr>
          <w:rFonts w:eastAsia="Calibri"/>
          <w:szCs w:val="22"/>
        </w:rPr>
        <w:t>total treatment duration of 1 year. The study recruited patients with newly diagnosed locally advanced (Stage III) or inflammatory EBC. Patients with HER2+ tumours were randomised to receive either neoadjuvant chemotherapy concurrently with neoadjuvant</w:t>
      </w:r>
      <w:r w:rsidR="00A5763E" w:rsidRPr="00CE427E">
        <w:rPr>
          <w:rFonts w:eastAsia="Calibri"/>
          <w:szCs w:val="22"/>
        </w:rPr>
        <w:noBreakHyphen/>
      </w:r>
      <w:r w:rsidRPr="00CE427E">
        <w:rPr>
          <w:rFonts w:eastAsia="Calibri"/>
          <w:szCs w:val="22"/>
        </w:rPr>
        <w:t>adj</w:t>
      </w:r>
      <w:r w:rsidR="00223279" w:rsidRPr="00CE427E">
        <w:rPr>
          <w:rFonts w:eastAsia="Calibri"/>
          <w:szCs w:val="22"/>
        </w:rPr>
        <w:t xml:space="preserve">uvant </w:t>
      </w:r>
      <w:r w:rsidR="0093307D" w:rsidRPr="00CE427E">
        <w:rPr>
          <w:rFonts w:eastAsia="Calibri"/>
          <w:szCs w:val="22"/>
        </w:rPr>
        <w:t>trastuzumab</w:t>
      </w:r>
      <w:r w:rsidR="00223279" w:rsidRPr="00CE427E">
        <w:rPr>
          <w:rFonts w:eastAsia="Calibri"/>
          <w:szCs w:val="22"/>
        </w:rPr>
        <w:t xml:space="preserve">, or neoadjuvant </w:t>
      </w:r>
      <w:r w:rsidRPr="00CE427E">
        <w:rPr>
          <w:rFonts w:eastAsia="Calibri"/>
          <w:szCs w:val="22"/>
        </w:rPr>
        <w:t>chemotherapy alone.</w:t>
      </w:r>
    </w:p>
    <w:p w14:paraId="18C7B07D" w14:textId="77777777" w:rsidR="00A5763E" w:rsidRPr="00CE427E" w:rsidRDefault="00A5763E" w:rsidP="006128F6">
      <w:pPr>
        <w:tabs>
          <w:tab w:val="clear" w:pos="567"/>
        </w:tabs>
        <w:autoSpaceDE w:val="0"/>
        <w:autoSpaceDN w:val="0"/>
        <w:adjustRightInd w:val="0"/>
        <w:spacing w:line="240" w:lineRule="auto"/>
        <w:rPr>
          <w:rFonts w:eastAsia="Calibri"/>
          <w:szCs w:val="22"/>
        </w:rPr>
      </w:pPr>
    </w:p>
    <w:p w14:paraId="3FCA59A4" w14:textId="796C8B9A" w:rsidR="00D0629E" w:rsidRPr="00CE427E" w:rsidRDefault="00A5763E" w:rsidP="006128F6">
      <w:pPr>
        <w:tabs>
          <w:tab w:val="clear" w:pos="567"/>
        </w:tabs>
        <w:autoSpaceDE w:val="0"/>
        <w:autoSpaceDN w:val="0"/>
        <w:adjustRightInd w:val="0"/>
        <w:spacing w:line="240" w:lineRule="auto"/>
        <w:rPr>
          <w:rFonts w:eastAsia="Calibri"/>
          <w:szCs w:val="22"/>
        </w:rPr>
      </w:pPr>
      <w:r w:rsidRPr="00CE427E">
        <w:rPr>
          <w:rFonts w:eastAsia="Calibri"/>
          <w:szCs w:val="22"/>
        </w:rPr>
        <w:t xml:space="preserve">In study MO16432, </w:t>
      </w:r>
      <w:r w:rsidR="0093307D" w:rsidRPr="00CE427E">
        <w:rPr>
          <w:rFonts w:eastAsia="Calibri"/>
          <w:szCs w:val="22"/>
        </w:rPr>
        <w:t>trastuzumab</w:t>
      </w:r>
      <w:r w:rsidRPr="00CE427E">
        <w:rPr>
          <w:rFonts w:eastAsia="Calibri"/>
          <w:szCs w:val="22"/>
        </w:rPr>
        <w:t xml:space="preserve"> (8 </w:t>
      </w:r>
      <w:r w:rsidR="00D0629E" w:rsidRPr="00CE427E">
        <w:rPr>
          <w:rFonts w:eastAsia="Calibri"/>
          <w:szCs w:val="22"/>
        </w:rPr>
        <w:t>mg</w:t>
      </w:r>
      <w:r w:rsidRPr="00CE427E">
        <w:rPr>
          <w:rFonts w:eastAsia="Calibri"/>
          <w:szCs w:val="22"/>
        </w:rPr>
        <w:t>/kg loading dose, followed by 6 mg/kg maintenance every 3 </w:t>
      </w:r>
      <w:r w:rsidR="00D0629E" w:rsidRPr="00CE427E">
        <w:rPr>
          <w:rFonts w:eastAsia="Calibri"/>
          <w:szCs w:val="22"/>
        </w:rPr>
        <w:t>weeks) was ad</w:t>
      </w:r>
      <w:r w:rsidRPr="00CE427E">
        <w:rPr>
          <w:rFonts w:eastAsia="Calibri"/>
          <w:szCs w:val="22"/>
        </w:rPr>
        <w:t>ministered concurrently with 10 </w:t>
      </w:r>
      <w:r w:rsidR="00D0629E" w:rsidRPr="00CE427E">
        <w:rPr>
          <w:rFonts w:eastAsia="Calibri"/>
          <w:szCs w:val="22"/>
        </w:rPr>
        <w:t>cyc</w:t>
      </w:r>
      <w:r w:rsidRPr="00CE427E">
        <w:rPr>
          <w:rFonts w:eastAsia="Calibri"/>
          <w:szCs w:val="22"/>
        </w:rPr>
        <w:t xml:space="preserve">les of neoadjuvant chemotherapy </w:t>
      </w:r>
      <w:r w:rsidR="00D0629E" w:rsidRPr="00CE427E">
        <w:rPr>
          <w:rFonts w:eastAsia="Calibri"/>
          <w:szCs w:val="22"/>
        </w:rPr>
        <w:t>as follows:</w:t>
      </w:r>
    </w:p>
    <w:p w14:paraId="50DDC530" w14:textId="77777777" w:rsidR="00A5763E" w:rsidRPr="00CE427E" w:rsidRDefault="00A5763E" w:rsidP="006128F6">
      <w:pPr>
        <w:tabs>
          <w:tab w:val="clear" w:pos="567"/>
        </w:tabs>
        <w:autoSpaceDE w:val="0"/>
        <w:autoSpaceDN w:val="0"/>
        <w:adjustRightInd w:val="0"/>
        <w:spacing w:line="240" w:lineRule="auto"/>
        <w:rPr>
          <w:rFonts w:eastAsia="Calibri"/>
          <w:szCs w:val="22"/>
        </w:rPr>
      </w:pPr>
    </w:p>
    <w:p w14:paraId="66E2AFC1" w14:textId="77777777" w:rsidR="00D0629E" w:rsidRPr="00CE427E" w:rsidRDefault="00D0629E" w:rsidP="006128F6">
      <w:pPr>
        <w:pStyle w:val="ListParagraph"/>
        <w:numPr>
          <w:ilvl w:val="0"/>
          <w:numId w:val="16"/>
        </w:numPr>
        <w:tabs>
          <w:tab w:val="clear" w:pos="567"/>
        </w:tabs>
        <w:autoSpaceDE w:val="0"/>
        <w:autoSpaceDN w:val="0"/>
        <w:adjustRightInd w:val="0"/>
        <w:spacing w:line="240" w:lineRule="auto"/>
        <w:ind w:left="567" w:hanging="567"/>
        <w:rPr>
          <w:rFonts w:eastAsia="Calibri"/>
          <w:szCs w:val="22"/>
        </w:rPr>
      </w:pPr>
      <w:r w:rsidRPr="00CE427E">
        <w:rPr>
          <w:rFonts w:eastAsia="Calibri"/>
          <w:szCs w:val="22"/>
        </w:rPr>
        <w:t>Doxorubicin 60</w:t>
      </w:r>
      <w:r w:rsidR="00A5763E" w:rsidRPr="00CE427E">
        <w:rPr>
          <w:rFonts w:eastAsia="Calibri"/>
          <w:szCs w:val="22"/>
        </w:rPr>
        <w:t> </w:t>
      </w:r>
      <w:r w:rsidRPr="00CE427E">
        <w:rPr>
          <w:rFonts w:eastAsia="Calibri"/>
          <w:szCs w:val="22"/>
        </w:rPr>
        <w:t>mg/m</w:t>
      </w:r>
      <w:r w:rsidRPr="00CE427E">
        <w:rPr>
          <w:rFonts w:eastAsia="Calibri"/>
          <w:szCs w:val="22"/>
          <w:vertAlign w:val="superscript"/>
        </w:rPr>
        <w:t>2</w:t>
      </w:r>
      <w:r w:rsidRPr="00CE427E">
        <w:rPr>
          <w:rFonts w:eastAsia="Calibri"/>
          <w:szCs w:val="22"/>
        </w:rPr>
        <w:t xml:space="preserve"> and paclitaxel 150</w:t>
      </w:r>
      <w:r w:rsidR="00A5763E" w:rsidRPr="00CE427E">
        <w:rPr>
          <w:rFonts w:eastAsia="Calibri"/>
          <w:szCs w:val="22"/>
        </w:rPr>
        <w:t> </w:t>
      </w:r>
      <w:r w:rsidRPr="00CE427E">
        <w:rPr>
          <w:rFonts w:eastAsia="Calibri"/>
          <w:szCs w:val="22"/>
        </w:rPr>
        <w:t>mg/m</w:t>
      </w:r>
      <w:r w:rsidRPr="00CE427E">
        <w:rPr>
          <w:rFonts w:eastAsia="Calibri"/>
          <w:szCs w:val="22"/>
          <w:vertAlign w:val="superscript"/>
        </w:rPr>
        <w:t>2</w:t>
      </w:r>
      <w:r w:rsidRPr="00CE427E">
        <w:rPr>
          <w:rFonts w:eastAsia="Calibri"/>
          <w:szCs w:val="22"/>
        </w:rPr>
        <w:t>, administered 3</w:t>
      </w:r>
      <w:r w:rsidR="00A5763E" w:rsidRPr="00CE427E">
        <w:rPr>
          <w:rFonts w:eastAsia="Calibri"/>
          <w:szCs w:val="22"/>
        </w:rPr>
        <w:noBreakHyphen/>
      </w:r>
      <w:r w:rsidRPr="00CE427E">
        <w:rPr>
          <w:rFonts w:eastAsia="Calibri"/>
          <w:szCs w:val="22"/>
        </w:rPr>
        <w:t>weekly for 3</w:t>
      </w:r>
      <w:r w:rsidR="00A5763E" w:rsidRPr="00CE427E">
        <w:rPr>
          <w:rFonts w:eastAsia="Calibri"/>
          <w:szCs w:val="22"/>
        </w:rPr>
        <w:t xml:space="preserve"> </w:t>
      </w:r>
      <w:r w:rsidRPr="00CE427E">
        <w:rPr>
          <w:rFonts w:eastAsia="Calibri"/>
          <w:szCs w:val="22"/>
        </w:rPr>
        <w:t>cycles,</w:t>
      </w:r>
    </w:p>
    <w:p w14:paraId="217D7FD8" w14:textId="77777777" w:rsidR="00F6776F" w:rsidRPr="00CE427E" w:rsidRDefault="00F6776F" w:rsidP="006128F6">
      <w:pPr>
        <w:tabs>
          <w:tab w:val="clear" w:pos="567"/>
        </w:tabs>
        <w:autoSpaceDE w:val="0"/>
        <w:autoSpaceDN w:val="0"/>
        <w:adjustRightInd w:val="0"/>
        <w:spacing w:line="240" w:lineRule="auto"/>
        <w:rPr>
          <w:rFonts w:eastAsia="Calibri"/>
          <w:szCs w:val="22"/>
        </w:rPr>
      </w:pPr>
    </w:p>
    <w:p w14:paraId="669E3731" w14:textId="77777777" w:rsidR="00D0629E" w:rsidRPr="00CE427E" w:rsidRDefault="00D0629E" w:rsidP="006128F6">
      <w:pPr>
        <w:tabs>
          <w:tab w:val="clear" w:pos="567"/>
        </w:tabs>
        <w:autoSpaceDE w:val="0"/>
        <w:autoSpaceDN w:val="0"/>
        <w:adjustRightInd w:val="0"/>
        <w:spacing w:line="240" w:lineRule="auto"/>
        <w:rPr>
          <w:rFonts w:eastAsia="Calibri"/>
          <w:szCs w:val="22"/>
        </w:rPr>
      </w:pPr>
      <w:r w:rsidRPr="00CE427E">
        <w:rPr>
          <w:rFonts w:eastAsia="Calibri"/>
          <w:szCs w:val="22"/>
        </w:rPr>
        <w:t>which was followed by</w:t>
      </w:r>
    </w:p>
    <w:p w14:paraId="5EB835B4" w14:textId="491C2030" w:rsidR="00D0629E" w:rsidRPr="00CE427E" w:rsidRDefault="00D0629E" w:rsidP="006128F6">
      <w:pPr>
        <w:pStyle w:val="ListParagraph"/>
        <w:numPr>
          <w:ilvl w:val="0"/>
          <w:numId w:val="16"/>
        </w:numPr>
        <w:tabs>
          <w:tab w:val="clear" w:pos="567"/>
        </w:tabs>
        <w:autoSpaceDE w:val="0"/>
        <w:autoSpaceDN w:val="0"/>
        <w:adjustRightInd w:val="0"/>
        <w:spacing w:line="240" w:lineRule="auto"/>
        <w:ind w:left="567" w:hanging="567"/>
        <w:rPr>
          <w:rFonts w:eastAsia="Calibri"/>
          <w:szCs w:val="22"/>
        </w:rPr>
      </w:pPr>
      <w:r w:rsidRPr="00CE427E">
        <w:rPr>
          <w:rFonts w:eastAsia="Calibri"/>
          <w:szCs w:val="22"/>
        </w:rPr>
        <w:t>Paclitaxel 175</w:t>
      </w:r>
      <w:r w:rsidR="00A5763E" w:rsidRPr="00CE427E">
        <w:rPr>
          <w:rFonts w:eastAsia="Calibri"/>
          <w:szCs w:val="22"/>
        </w:rPr>
        <w:t> </w:t>
      </w:r>
      <w:r w:rsidRPr="00CE427E">
        <w:rPr>
          <w:rFonts w:eastAsia="Calibri"/>
          <w:szCs w:val="22"/>
        </w:rPr>
        <w:t>mg/m</w:t>
      </w:r>
      <w:r w:rsidRPr="00CE427E">
        <w:rPr>
          <w:rFonts w:eastAsia="Calibri"/>
          <w:szCs w:val="22"/>
          <w:vertAlign w:val="superscript"/>
        </w:rPr>
        <w:t>2</w:t>
      </w:r>
      <w:r w:rsidRPr="00CE427E">
        <w:rPr>
          <w:rFonts w:eastAsia="Calibri"/>
          <w:szCs w:val="22"/>
        </w:rPr>
        <w:t xml:space="preserve"> administered 3</w:t>
      </w:r>
      <w:r w:rsidR="00A5763E" w:rsidRPr="00CE427E">
        <w:rPr>
          <w:rFonts w:eastAsia="Calibri"/>
          <w:szCs w:val="22"/>
        </w:rPr>
        <w:noBreakHyphen/>
        <w:t xml:space="preserve">weekly for </w:t>
      </w:r>
      <w:r w:rsidR="00616B64" w:rsidRPr="00CE427E">
        <w:rPr>
          <w:rFonts w:eastAsia="Calibri"/>
          <w:szCs w:val="22"/>
        </w:rPr>
        <w:t xml:space="preserve">4 </w:t>
      </w:r>
      <w:r w:rsidRPr="00CE427E">
        <w:rPr>
          <w:rFonts w:eastAsia="Calibri"/>
          <w:szCs w:val="22"/>
        </w:rPr>
        <w:t>cycles,</w:t>
      </w:r>
    </w:p>
    <w:p w14:paraId="5BF1319A" w14:textId="77777777" w:rsidR="00F6776F" w:rsidRPr="00CE427E" w:rsidRDefault="00F6776F" w:rsidP="006128F6">
      <w:pPr>
        <w:tabs>
          <w:tab w:val="clear" w:pos="567"/>
        </w:tabs>
        <w:autoSpaceDE w:val="0"/>
        <w:autoSpaceDN w:val="0"/>
        <w:adjustRightInd w:val="0"/>
        <w:spacing w:line="240" w:lineRule="auto"/>
        <w:rPr>
          <w:rFonts w:eastAsia="Calibri"/>
          <w:szCs w:val="22"/>
        </w:rPr>
      </w:pPr>
    </w:p>
    <w:p w14:paraId="4F08BA69" w14:textId="77777777" w:rsidR="00D0629E" w:rsidRPr="00CE427E" w:rsidRDefault="00D0629E" w:rsidP="006128F6">
      <w:pPr>
        <w:keepNext/>
        <w:keepLines/>
        <w:tabs>
          <w:tab w:val="clear" w:pos="567"/>
        </w:tabs>
        <w:autoSpaceDE w:val="0"/>
        <w:autoSpaceDN w:val="0"/>
        <w:adjustRightInd w:val="0"/>
        <w:spacing w:line="240" w:lineRule="auto"/>
        <w:rPr>
          <w:rFonts w:eastAsia="Calibri"/>
          <w:szCs w:val="22"/>
        </w:rPr>
      </w:pPr>
      <w:r w:rsidRPr="00CE427E">
        <w:rPr>
          <w:rFonts w:eastAsia="Calibri"/>
          <w:szCs w:val="22"/>
        </w:rPr>
        <w:t>which was followed by</w:t>
      </w:r>
    </w:p>
    <w:p w14:paraId="1CE42357" w14:textId="570BAA00" w:rsidR="00D0629E" w:rsidRPr="00CE427E" w:rsidRDefault="00D0629E" w:rsidP="006128F6">
      <w:pPr>
        <w:pStyle w:val="ListParagraph"/>
        <w:numPr>
          <w:ilvl w:val="0"/>
          <w:numId w:val="16"/>
        </w:numPr>
        <w:tabs>
          <w:tab w:val="clear" w:pos="567"/>
        </w:tabs>
        <w:autoSpaceDE w:val="0"/>
        <w:autoSpaceDN w:val="0"/>
        <w:adjustRightInd w:val="0"/>
        <w:spacing w:line="240" w:lineRule="auto"/>
        <w:ind w:left="567" w:hanging="567"/>
        <w:rPr>
          <w:rFonts w:eastAsia="Calibri"/>
          <w:szCs w:val="22"/>
        </w:rPr>
      </w:pPr>
      <w:r w:rsidRPr="00CE427E">
        <w:rPr>
          <w:rFonts w:eastAsia="Calibri"/>
          <w:szCs w:val="22"/>
        </w:rPr>
        <w:t>CMF on day</w:t>
      </w:r>
      <w:r w:rsidR="00A5763E" w:rsidRPr="00CE427E">
        <w:rPr>
          <w:rFonts w:eastAsia="Calibri"/>
          <w:szCs w:val="22"/>
        </w:rPr>
        <w:t xml:space="preserve"> 1 and 8 every 4 weeks for </w:t>
      </w:r>
      <w:r w:rsidR="00616B64" w:rsidRPr="00CE427E">
        <w:rPr>
          <w:rFonts w:eastAsia="Calibri"/>
          <w:szCs w:val="22"/>
        </w:rPr>
        <w:t xml:space="preserve">3 </w:t>
      </w:r>
      <w:r w:rsidRPr="00CE427E">
        <w:rPr>
          <w:rFonts w:eastAsia="Calibri"/>
          <w:szCs w:val="22"/>
        </w:rPr>
        <w:t>cycles</w:t>
      </w:r>
    </w:p>
    <w:p w14:paraId="772C883C" w14:textId="77777777" w:rsidR="00F6776F" w:rsidRPr="00CE427E" w:rsidRDefault="00F6776F" w:rsidP="006128F6">
      <w:pPr>
        <w:tabs>
          <w:tab w:val="clear" w:pos="567"/>
        </w:tabs>
        <w:autoSpaceDE w:val="0"/>
        <w:autoSpaceDN w:val="0"/>
        <w:adjustRightInd w:val="0"/>
        <w:spacing w:line="240" w:lineRule="auto"/>
        <w:rPr>
          <w:rFonts w:eastAsia="Calibri"/>
          <w:szCs w:val="22"/>
        </w:rPr>
      </w:pPr>
    </w:p>
    <w:p w14:paraId="02735884" w14:textId="77777777" w:rsidR="00A5763E" w:rsidRPr="00CE427E" w:rsidRDefault="00D0629E" w:rsidP="006128F6">
      <w:pPr>
        <w:tabs>
          <w:tab w:val="clear" w:pos="567"/>
        </w:tabs>
        <w:autoSpaceDE w:val="0"/>
        <w:autoSpaceDN w:val="0"/>
        <w:adjustRightInd w:val="0"/>
        <w:spacing w:line="240" w:lineRule="auto"/>
        <w:rPr>
          <w:rFonts w:eastAsia="Calibri"/>
          <w:szCs w:val="22"/>
        </w:rPr>
      </w:pPr>
      <w:r w:rsidRPr="00CE427E">
        <w:rPr>
          <w:rFonts w:eastAsia="Calibri"/>
          <w:szCs w:val="22"/>
        </w:rPr>
        <w:t>which was followed after surgery by</w:t>
      </w:r>
    </w:p>
    <w:p w14:paraId="1E177707" w14:textId="77777777" w:rsidR="00D0629E" w:rsidRPr="00CE427E" w:rsidRDefault="00D0629E" w:rsidP="006128F6">
      <w:pPr>
        <w:pStyle w:val="ListParagraph"/>
        <w:numPr>
          <w:ilvl w:val="0"/>
          <w:numId w:val="16"/>
        </w:numPr>
        <w:tabs>
          <w:tab w:val="clear" w:pos="567"/>
        </w:tabs>
        <w:autoSpaceDE w:val="0"/>
        <w:autoSpaceDN w:val="0"/>
        <w:adjustRightInd w:val="0"/>
        <w:spacing w:line="240" w:lineRule="auto"/>
        <w:ind w:left="567" w:hanging="567"/>
        <w:rPr>
          <w:rFonts w:eastAsia="Calibri"/>
          <w:szCs w:val="22"/>
        </w:rPr>
      </w:pPr>
      <w:r w:rsidRPr="00CE427E">
        <w:rPr>
          <w:rFonts w:eastAsia="Calibri"/>
          <w:szCs w:val="22"/>
        </w:rPr>
        <w:t>additional cycles of ad</w:t>
      </w:r>
      <w:r w:rsidR="00A5763E" w:rsidRPr="00CE427E">
        <w:rPr>
          <w:rFonts w:eastAsia="Calibri"/>
          <w:szCs w:val="22"/>
        </w:rPr>
        <w:t xml:space="preserve">juvant </w:t>
      </w:r>
      <w:r w:rsidR="0093307D" w:rsidRPr="00CE427E">
        <w:rPr>
          <w:rFonts w:eastAsia="Calibri"/>
          <w:szCs w:val="22"/>
        </w:rPr>
        <w:t>trastuzumab</w:t>
      </w:r>
      <w:r w:rsidR="00A5763E" w:rsidRPr="00CE427E">
        <w:rPr>
          <w:rFonts w:eastAsia="Calibri"/>
          <w:szCs w:val="22"/>
        </w:rPr>
        <w:t xml:space="preserve"> (to complete 1 </w:t>
      </w:r>
      <w:r w:rsidRPr="00CE427E">
        <w:rPr>
          <w:rFonts w:eastAsia="Calibri"/>
          <w:szCs w:val="22"/>
        </w:rPr>
        <w:t>year of treatment)</w:t>
      </w:r>
    </w:p>
    <w:p w14:paraId="053E0E6E" w14:textId="77777777" w:rsidR="00A5763E" w:rsidRPr="00CE427E" w:rsidRDefault="00A5763E" w:rsidP="006128F6">
      <w:pPr>
        <w:tabs>
          <w:tab w:val="clear" w:pos="567"/>
        </w:tabs>
        <w:autoSpaceDE w:val="0"/>
        <w:autoSpaceDN w:val="0"/>
        <w:adjustRightInd w:val="0"/>
        <w:spacing w:line="240" w:lineRule="auto"/>
        <w:rPr>
          <w:rFonts w:eastAsia="Calibri"/>
          <w:szCs w:val="22"/>
        </w:rPr>
      </w:pPr>
    </w:p>
    <w:p w14:paraId="38BC55FF" w14:textId="49F7CB91" w:rsidR="00D0629E" w:rsidRPr="00CE427E" w:rsidRDefault="00D0629E" w:rsidP="006128F6">
      <w:pPr>
        <w:tabs>
          <w:tab w:val="clear" w:pos="567"/>
        </w:tabs>
        <w:autoSpaceDE w:val="0"/>
        <w:autoSpaceDN w:val="0"/>
        <w:adjustRightInd w:val="0"/>
        <w:spacing w:line="240" w:lineRule="auto"/>
        <w:rPr>
          <w:rFonts w:eastAsia="Calibri"/>
          <w:szCs w:val="22"/>
        </w:rPr>
      </w:pPr>
      <w:r w:rsidRPr="00CE427E">
        <w:rPr>
          <w:rFonts w:eastAsia="Calibri"/>
          <w:szCs w:val="22"/>
        </w:rPr>
        <w:t xml:space="preserve">The efficacy results from </w:t>
      </w:r>
      <w:r w:rsidR="002267E7" w:rsidRPr="00CE427E">
        <w:rPr>
          <w:rFonts w:eastAsia="Calibri"/>
          <w:szCs w:val="22"/>
        </w:rPr>
        <w:t xml:space="preserve">study </w:t>
      </w:r>
      <w:r w:rsidRPr="00CE427E">
        <w:rPr>
          <w:rFonts w:eastAsia="Calibri"/>
          <w:szCs w:val="22"/>
        </w:rPr>
        <w:t>MO16432 are summari</w:t>
      </w:r>
      <w:r w:rsidR="00A5763E" w:rsidRPr="00CE427E">
        <w:rPr>
          <w:rFonts w:eastAsia="Calibri"/>
          <w:szCs w:val="22"/>
        </w:rPr>
        <w:t>sed in Table </w:t>
      </w:r>
      <w:r w:rsidRPr="00CE427E">
        <w:rPr>
          <w:rFonts w:eastAsia="Calibri"/>
          <w:szCs w:val="22"/>
        </w:rPr>
        <w:t>12. The median duration of follow</w:t>
      </w:r>
      <w:r w:rsidR="00A5763E" w:rsidRPr="00CE427E">
        <w:rPr>
          <w:rFonts w:eastAsia="Calibri"/>
          <w:szCs w:val="22"/>
        </w:rPr>
        <w:noBreakHyphen/>
        <w:t xml:space="preserve">up in </w:t>
      </w:r>
      <w:r w:rsidRPr="00CE427E">
        <w:rPr>
          <w:rFonts w:eastAsia="Calibri"/>
          <w:szCs w:val="22"/>
        </w:rPr>
        <w:t xml:space="preserve">the </w:t>
      </w:r>
      <w:r w:rsidR="0093307D" w:rsidRPr="00CE427E">
        <w:rPr>
          <w:rFonts w:eastAsia="Calibri"/>
          <w:szCs w:val="22"/>
        </w:rPr>
        <w:t>trastuzumab</w:t>
      </w:r>
      <w:r w:rsidRPr="00CE427E">
        <w:rPr>
          <w:rFonts w:eastAsia="Calibri"/>
          <w:szCs w:val="22"/>
        </w:rPr>
        <w:t xml:space="preserve"> arm was 3.8</w:t>
      </w:r>
      <w:r w:rsidR="00A5763E" w:rsidRPr="00CE427E">
        <w:rPr>
          <w:rFonts w:eastAsia="Calibri"/>
          <w:szCs w:val="22"/>
        </w:rPr>
        <w:t> </w:t>
      </w:r>
      <w:r w:rsidRPr="00CE427E">
        <w:rPr>
          <w:rFonts w:eastAsia="Calibri"/>
          <w:szCs w:val="22"/>
        </w:rPr>
        <w:t>years.</w:t>
      </w:r>
    </w:p>
    <w:p w14:paraId="2C3BEEC8" w14:textId="77777777" w:rsidR="00A5763E" w:rsidRPr="00CE427E" w:rsidRDefault="00A5763E" w:rsidP="006128F6">
      <w:pPr>
        <w:tabs>
          <w:tab w:val="clear" w:pos="567"/>
        </w:tabs>
        <w:autoSpaceDE w:val="0"/>
        <w:autoSpaceDN w:val="0"/>
        <w:adjustRightInd w:val="0"/>
        <w:spacing w:line="240" w:lineRule="auto"/>
        <w:rPr>
          <w:rFonts w:eastAsia="Calibri"/>
          <w:szCs w:val="22"/>
        </w:rPr>
      </w:pPr>
    </w:p>
    <w:p w14:paraId="12442BA7" w14:textId="77777777" w:rsidR="00D0629E" w:rsidRPr="00CE427E" w:rsidRDefault="00D0629E" w:rsidP="006128F6">
      <w:pPr>
        <w:keepNext/>
        <w:tabs>
          <w:tab w:val="clear" w:pos="567"/>
        </w:tabs>
        <w:autoSpaceDE w:val="0"/>
        <w:autoSpaceDN w:val="0"/>
        <w:adjustRightInd w:val="0"/>
        <w:spacing w:line="240" w:lineRule="auto"/>
        <w:rPr>
          <w:rFonts w:eastAsia="Calibri"/>
          <w:b/>
          <w:szCs w:val="22"/>
        </w:rPr>
      </w:pPr>
      <w:r w:rsidRPr="00CE427E">
        <w:rPr>
          <w:rFonts w:eastAsia="Calibri"/>
          <w:b/>
          <w:szCs w:val="22"/>
        </w:rPr>
        <w:lastRenderedPageBreak/>
        <w:t xml:space="preserve">Table 12 Efficacy </w:t>
      </w:r>
      <w:r w:rsidR="00A5763E" w:rsidRPr="00CE427E">
        <w:rPr>
          <w:rFonts w:eastAsia="Calibri"/>
          <w:b/>
          <w:szCs w:val="22"/>
        </w:rPr>
        <w:t>r</w:t>
      </w:r>
      <w:r w:rsidRPr="00CE427E">
        <w:rPr>
          <w:rFonts w:eastAsia="Calibri"/>
          <w:b/>
          <w:szCs w:val="22"/>
        </w:rPr>
        <w:t>esults from MO16432</w:t>
      </w:r>
    </w:p>
    <w:p w14:paraId="5C4B5399" w14:textId="77777777" w:rsidR="003266C7" w:rsidRPr="00CE427E" w:rsidRDefault="003266C7" w:rsidP="006128F6">
      <w:pPr>
        <w:keepNext/>
        <w:tabs>
          <w:tab w:val="clear" w:pos="567"/>
        </w:tabs>
        <w:autoSpaceDE w:val="0"/>
        <w:autoSpaceDN w:val="0"/>
        <w:adjustRightInd w:val="0"/>
        <w:spacing w:line="240" w:lineRule="auto"/>
        <w:rPr>
          <w:rFonts w:eastAsia="Calibr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1846"/>
        <w:gridCol w:w="1780"/>
        <w:gridCol w:w="2129"/>
      </w:tblGrid>
      <w:tr w:rsidR="00703123" w:rsidRPr="006128F6" w14:paraId="1FD6416E" w14:textId="77777777" w:rsidTr="007519ED">
        <w:trPr>
          <w:trHeight w:val="300"/>
        </w:trPr>
        <w:tc>
          <w:tcPr>
            <w:tcW w:w="1634" w:type="pct"/>
            <w:shd w:val="clear" w:color="auto" w:fill="auto"/>
            <w:noWrap/>
            <w:hideMark/>
          </w:tcPr>
          <w:p w14:paraId="50D2FBAF" w14:textId="77777777" w:rsidR="00703123" w:rsidRPr="006128F6" w:rsidRDefault="009F181D" w:rsidP="006128F6">
            <w:pPr>
              <w:keepNext/>
              <w:tabs>
                <w:tab w:val="clear" w:pos="567"/>
              </w:tabs>
              <w:spacing w:line="240" w:lineRule="auto"/>
              <w:jc w:val="center"/>
              <w:rPr>
                <w:b/>
                <w:color w:val="000000"/>
                <w:szCs w:val="22"/>
                <w:lang w:eastAsia="en-GB"/>
              </w:rPr>
            </w:pPr>
            <w:r w:rsidRPr="006128F6">
              <w:rPr>
                <w:b/>
                <w:color w:val="000000"/>
                <w:szCs w:val="22"/>
                <w:lang w:eastAsia="en-GB"/>
              </w:rPr>
              <w:t>Parameter</w:t>
            </w:r>
          </w:p>
        </w:tc>
        <w:tc>
          <w:tcPr>
            <w:tcW w:w="1026" w:type="pct"/>
            <w:shd w:val="clear" w:color="auto" w:fill="auto"/>
            <w:noWrap/>
            <w:hideMark/>
          </w:tcPr>
          <w:p w14:paraId="490E4004" w14:textId="77777777" w:rsidR="009F181D" w:rsidRPr="006128F6" w:rsidRDefault="009F181D" w:rsidP="006128F6">
            <w:pPr>
              <w:keepNext/>
              <w:tabs>
                <w:tab w:val="clear" w:pos="567"/>
              </w:tabs>
              <w:spacing w:line="240" w:lineRule="auto"/>
              <w:jc w:val="center"/>
              <w:rPr>
                <w:b/>
                <w:color w:val="000000"/>
                <w:szCs w:val="22"/>
                <w:lang w:eastAsia="en-GB"/>
              </w:rPr>
            </w:pPr>
            <w:r w:rsidRPr="006128F6">
              <w:rPr>
                <w:b/>
                <w:color w:val="000000"/>
                <w:szCs w:val="22"/>
                <w:lang w:eastAsia="en-GB"/>
              </w:rPr>
              <w:t xml:space="preserve">Chemo + </w:t>
            </w:r>
            <w:r w:rsidR="00F6776F" w:rsidRPr="006128F6">
              <w:rPr>
                <w:b/>
                <w:color w:val="000000"/>
                <w:szCs w:val="22"/>
                <w:lang w:eastAsia="en-GB"/>
              </w:rPr>
              <w:t>t</w:t>
            </w:r>
            <w:r w:rsidR="0093307D" w:rsidRPr="006128F6">
              <w:rPr>
                <w:b/>
                <w:color w:val="000000"/>
                <w:szCs w:val="22"/>
                <w:lang w:eastAsia="en-GB"/>
              </w:rPr>
              <w:t>rastuzumab</w:t>
            </w:r>
          </w:p>
          <w:p w14:paraId="42BAB251" w14:textId="77777777" w:rsidR="00703123" w:rsidRPr="006128F6" w:rsidRDefault="009F181D" w:rsidP="006128F6">
            <w:pPr>
              <w:keepNext/>
              <w:tabs>
                <w:tab w:val="clear" w:pos="567"/>
              </w:tabs>
              <w:spacing w:line="240" w:lineRule="auto"/>
              <w:jc w:val="center"/>
              <w:rPr>
                <w:b/>
                <w:color w:val="000000"/>
                <w:szCs w:val="22"/>
                <w:lang w:eastAsia="en-GB"/>
              </w:rPr>
            </w:pPr>
            <w:r w:rsidRPr="006128F6">
              <w:rPr>
                <w:b/>
                <w:color w:val="000000"/>
                <w:szCs w:val="22"/>
                <w:lang w:eastAsia="en-GB"/>
              </w:rPr>
              <w:t>(n</w:t>
            </w:r>
            <w:r w:rsidR="002B7BA5" w:rsidRPr="006128F6">
              <w:rPr>
                <w:b/>
                <w:color w:val="000000"/>
                <w:szCs w:val="22"/>
                <w:lang w:eastAsia="en-GB"/>
              </w:rPr>
              <w:t> </w:t>
            </w:r>
            <w:r w:rsidRPr="006128F6">
              <w:rPr>
                <w:b/>
                <w:color w:val="000000"/>
                <w:szCs w:val="22"/>
                <w:lang w:eastAsia="en-GB"/>
              </w:rPr>
              <w:t>=</w:t>
            </w:r>
            <w:r w:rsidR="002B7BA5" w:rsidRPr="006128F6">
              <w:rPr>
                <w:b/>
                <w:color w:val="000000"/>
                <w:szCs w:val="22"/>
                <w:lang w:eastAsia="en-GB"/>
              </w:rPr>
              <w:t> </w:t>
            </w:r>
            <w:r w:rsidRPr="006128F6">
              <w:rPr>
                <w:b/>
                <w:color w:val="000000"/>
                <w:szCs w:val="22"/>
                <w:lang w:eastAsia="en-GB"/>
              </w:rPr>
              <w:t>115)</w:t>
            </w:r>
          </w:p>
        </w:tc>
        <w:tc>
          <w:tcPr>
            <w:tcW w:w="890" w:type="pct"/>
            <w:shd w:val="clear" w:color="auto" w:fill="auto"/>
            <w:noWrap/>
            <w:hideMark/>
          </w:tcPr>
          <w:p w14:paraId="0F57B79A" w14:textId="77777777" w:rsidR="00703123" w:rsidRPr="006128F6" w:rsidRDefault="009F181D" w:rsidP="006128F6">
            <w:pPr>
              <w:keepNext/>
              <w:tabs>
                <w:tab w:val="clear" w:pos="567"/>
              </w:tabs>
              <w:spacing w:line="240" w:lineRule="auto"/>
              <w:jc w:val="center"/>
              <w:rPr>
                <w:b/>
                <w:color w:val="000000"/>
                <w:szCs w:val="22"/>
                <w:lang w:eastAsia="en-GB"/>
              </w:rPr>
            </w:pPr>
            <w:r w:rsidRPr="006128F6">
              <w:rPr>
                <w:b/>
                <w:color w:val="000000"/>
                <w:szCs w:val="22"/>
                <w:lang w:eastAsia="en-GB"/>
              </w:rPr>
              <w:t>Chemo only (n</w:t>
            </w:r>
            <w:r w:rsidR="002B7BA5" w:rsidRPr="006128F6">
              <w:rPr>
                <w:b/>
                <w:color w:val="000000"/>
                <w:szCs w:val="22"/>
                <w:lang w:eastAsia="en-GB"/>
              </w:rPr>
              <w:t> </w:t>
            </w:r>
            <w:r w:rsidRPr="006128F6">
              <w:rPr>
                <w:b/>
                <w:color w:val="000000"/>
                <w:szCs w:val="22"/>
                <w:lang w:eastAsia="en-GB"/>
              </w:rPr>
              <w:t>=</w:t>
            </w:r>
            <w:r w:rsidR="002B7BA5" w:rsidRPr="006128F6">
              <w:rPr>
                <w:b/>
                <w:color w:val="000000"/>
                <w:szCs w:val="22"/>
                <w:lang w:eastAsia="en-GB"/>
              </w:rPr>
              <w:t> </w:t>
            </w:r>
            <w:r w:rsidRPr="006128F6">
              <w:rPr>
                <w:b/>
                <w:color w:val="000000"/>
                <w:szCs w:val="22"/>
                <w:lang w:eastAsia="en-GB"/>
              </w:rPr>
              <w:t>116)</w:t>
            </w:r>
          </w:p>
        </w:tc>
        <w:tc>
          <w:tcPr>
            <w:tcW w:w="1450" w:type="pct"/>
            <w:shd w:val="clear" w:color="auto" w:fill="auto"/>
            <w:noWrap/>
            <w:hideMark/>
          </w:tcPr>
          <w:p w14:paraId="332B512F" w14:textId="77777777" w:rsidR="00703123" w:rsidRPr="006128F6" w:rsidRDefault="00703123" w:rsidP="006128F6">
            <w:pPr>
              <w:keepNext/>
              <w:tabs>
                <w:tab w:val="clear" w:pos="567"/>
              </w:tabs>
              <w:spacing w:line="240" w:lineRule="auto"/>
              <w:jc w:val="center"/>
              <w:rPr>
                <w:color w:val="000000"/>
                <w:szCs w:val="22"/>
                <w:lang w:eastAsia="en-GB"/>
              </w:rPr>
            </w:pPr>
          </w:p>
        </w:tc>
      </w:tr>
      <w:tr w:rsidR="00703123" w:rsidRPr="006128F6" w14:paraId="2E410342" w14:textId="77777777" w:rsidTr="007519ED">
        <w:trPr>
          <w:trHeight w:val="300"/>
        </w:trPr>
        <w:tc>
          <w:tcPr>
            <w:tcW w:w="1634" w:type="pct"/>
            <w:shd w:val="clear" w:color="auto" w:fill="auto"/>
            <w:noWrap/>
            <w:hideMark/>
          </w:tcPr>
          <w:p w14:paraId="7998EC21" w14:textId="77777777" w:rsidR="009F181D" w:rsidRPr="006128F6" w:rsidRDefault="009F181D" w:rsidP="006128F6">
            <w:pPr>
              <w:keepNext/>
              <w:tabs>
                <w:tab w:val="clear" w:pos="567"/>
              </w:tabs>
              <w:spacing w:line="240" w:lineRule="auto"/>
              <w:rPr>
                <w:color w:val="000000"/>
                <w:szCs w:val="22"/>
                <w:lang w:eastAsia="en-GB"/>
              </w:rPr>
            </w:pPr>
            <w:r w:rsidRPr="006128F6">
              <w:rPr>
                <w:color w:val="000000"/>
                <w:szCs w:val="22"/>
                <w:lang w:eastAsia="en-GB"/>
              </w:rPr>
              <w:t>Event</w:t>
            </w:r>
            <w:r w:rsidRPr="006128F6">
              <w:rPr>
                <w:color w:val="000000"/>
                <w:szCs w:val="22"/>
                <w:lang w:eastAsia="en-GB"/>
              </w:rPr>
              <w:noBreakHyphen/>
              <w:t>free survival</w:t>
            </w:r>
          </w:p>
          <w:p w14:paraId="7AA79FA7" w14:textId="77777777" w:rsidR="009F181D" w:rsidRPr="006128F6" w:rsidRDefault="009F181D" w:rsidP="006128F6">
            <w:pPr>
              <w:keepNext/>
              <w:tabs>
                <w:tab w:val="clear" w:pos="567"/>
              </w:tabs>
              <w:spacing w:line="240" w:lineRule="auto"/>
              <w:rPr>
                <w:color w:val="000000"/>
                <w:szCs w:val="22"/>
                <w:lang w:eastAsia="en-GB"/>
              </w:rPr>
            </w:pPr>
          </w:p>
          <w:p w14:paraId="0BA4B8A4" w14:textId="77777777" w:rsidR="00703123" w:rsidRPr="006128F6" w:rsidRDefault="009F181D" w:rsidP="006128F6">
            <w:pPr>
              <w:keepNext/>
              <w:tabs>
                <w:tab w:val="clear" w:pos="567"/>
              </w:tabs>
              <w:spacing w:line="240" w:lineRule="auto"/>
              <w:rPr>
                <w:color w:val="000000"/>
                <w:szCs w:val="22"/>
                <w:lang w:eastAsia="en-GB"/>
              </w:rPr>
            </w:pPr>
            <w:r w:rsidRPr="006128F6">
              <w:rPr>
                <w:color w:val="000000"/>
                <w:szCs w:val="22"/>
                <w:lang w:eastAsia="en-GB"/>
              </w:rPr>
              <w:t>No. patients with event</w:t>
            </w:r>
          </w:p>
        </w:tc>
        <w:tc>
          <w:tcPr>
            <w:tcW w:w="1026" w:type="pct"/>
            <w:shd w:val="clear" w:color="auto" w:fill="auto"/>
            <w:noWrap/>
            <w:hideMark/>
          </w:tcPr>
          <w:p w14:paraId="494C1F81" w14:textId="77777777" w:rsidR="009F181D" w:rsidRPr="006128F6" w:rsidRDefault="009F181D" w:rsidP="006128F6">
            <w:pPr>
              <w:keepNext/>
              <w:tabs>
                <w:tab w:val="clear" w:pos="567"/>
              </w:tabs>
              <w:spacing w:line="240" w:lineRule="auto"/>
              <w:jc w:val="center"/>
              <w:rPr>
                <w:color w:val="000000"/>
                <w:szCs w:val="22"/>
                <w:lang w:eastAsia="en-GB"/>
              </w:rPr>
            </w:pPr>
          </w:p>
          <w:p w14:paraId="08616CFC" w14:textId="77777777" w:rsidR="009F181D" w:rsidRPr="006128F6" w:rsidRDefault="009F181D" w:rsidP="006128F6">
            <w:pPr>
              <w:keepNext/>
              <w:tabs>
                <w:tab w:val="clear" w:pos="567"/>
              </w:tabs>
              <w:spacing w:line="240" w:lineRule="auto"/>
              <w:jc w:val="center"/>
              <w:rPr>
                <w:color w:val="000000"/>
                <w:szCs w:val="22"/>
                <w:lang w:eastAsia="en-GB"/>
              </w:rPr>
            </w:pPr>
          </w:p>
          <w:p w14:paraId="1C9EC036" w14:textId="77777777" w:rsidR="00703123" w:rsidRPr="006128F6" w:rsidRDefault="009F181D" w:rsidP="006128F6">
            <w:pPr>
              <w:keepNext/>
              <w:tabs>
                <w:tab w:val="clear" w:pos="567"/>
              </w:tabs>
              <w:spacing w:line="240" w:lineRule="auto"/>
              <w:jc w:val="center"/>
              <w:rPr>
                <w:color w:val="000000"/>
                <w:szCs w:val="22"/>
                <w:lang w:eastAsia="en-GB"/>
              </w:rPr>
            </w:pPr>
            <w:r w:rsidRPr="006128F6">
              <w:rPr>
                <w:color w:val="000000"/>
                <w:szCs w:val="22"/>
                <w:lang w:eastAsia="en-GB"/>
              </w:rPr>
              <w:t>46</w:t>
            </w:r>
          </w:p>
        </w:tc>
        <w:tc>
          <w:tcPr>
            <w:tcW w:w="890" w:type="pct"/>
            <w:shd w:val="clear" w:color="auto" w:fill="auto"/>
            <w:noWrap/>
            <w:hideMark/>
          </w:tcPr>
          <w:p w14:paraId="1140A818" w14:textId="77777777" w:rsidR="009F181D" w:rsidRPr="006128F6" w:rsidRDefault="009F181D" w:rsidP="006128F6">
            <w:pPr>
              <w:keepNext/>
              <w:tabs>
                <w:tab w:val="clear" w:pos="567"/>
              </w:tabs>
              <w:spacing w:line="240" w:lineRule="auto"/>
              <w:jc w:val="center"/>
              <w:rPr>
                <w:color w:val="000000"/>
                <w:szCs w:val="22"/>
                <w:lang w:eastAsia="en-GB"/>
              </w:rPr>
            </w:pPr>
          </w:p>
          <w:p w14:paraId="787D5757" w14:textId="77777777" w:rsidR="009F181D" w:rsidRPr="006128F6" w:rsidRDefault="009F181D" w:rsidP="006128F6">
            <w:pPr>
              <w:keepNext/>
              <w:tabs>
                <w:tab w:val="clear" w:pos="567"/>
              </w:tabs>
              <w:spacing w:line="240" w:lineRule="auto"/>
              <w:jc w:val="center"/>
              <w:rPr>
                <w:color w:val="000000"/>
                <w:szCs w:val="22"/>
                <w:lang w:eastAsia="en-GB"/>
              </w:rPr>
            </w:pPr>
          </w:p>
          <w:p w14:paraId="7B8C8E67" w14:textId="77777777" w:rsidR="00703123" w:rsidRPr="006128F6" w:rsidRDefault="009F181D" w:rsidP="006128F6">
            <w:pPr>
              <w:keepNext/>
              <w:tabs>
                <w:tab w:val="clear" w:pos="567"/>
              </w:tabs>
              <w:spacing w:line="240" w:lineRule="auto"/>
              <w:jc w:val="center"/>
              <w:rPr>
                <w:color w:val="000000"/>
                <w:szCs w:val="22"/>
                <w:lang w:eastAsia="en-GB"/>
              </w:rPr>
            </w:pPr>
            <w:r w:rsidRPr="006128F6">
              <w:rPr>
                <w:color w:val="000000"/>
                <w:szCs w:val="22"/>
                <w:lang w:eastAsia="en-GB"/>
              </w:rPr>
              <w:t>59</w:t>
            </w:r>
          </w:p>
        </w:tc>
        <w:tc>
          <w:tcPr>
            <w:tcW w:w="1450" w:type="pct"/>
            <w:shd w:val="clear" w:color="auto" w:fill="auto"/>
            <w:noWrap/>
            <w:hideMark/>
          </w:tcPr>
          <w:p w14:paraId="5A3FF18A" w14:textId="509F9F22" w:rsidR="009F181D" w:rsidRPr="006128F6" w:rsidRDefault="009F181D" w:rsidP="006128F6">
            <w:pPr>
              <w:keepNext/>
              <w:tabs>
                <w:tab w:val="clear" w:pos="567"/>
              </w:tabs>
              <w:spacing w:line="240" w:lineRule="auto"/>
              <w:jc w:val="center"/>
              <w:rPr>
                <w:color w:val="000000"/>
                <w:szCs w:val="22"/>
                <w:lang w:eastAsia="en-GB"/>
              </w:rPr>
            </w:pPr>
            <w:r w:rsidRPr="006128F6">
              <w:rPr>
                <w:color w:val="000000"/>
                <w:szCs w:val="22"/>
                <w:lang w:eastAsia="en-GB"/>
              </w:rPr>
              <w:t xml:space="preserve">Hazard </w:t>
            </w:r>
            <w:r w:rsidR="00975B60">
              <w:rPr>
                <w:color w:val="000000"/>
                <w:szCs w:val="22"/>
                <w:lang w:eastAsia="en-GB"/>
              </w:rPr>
              <w:t>r</w:t>
            </w:r>
            <w:r w:rsidRPr="006128F6">
              <w:rPr>
                <w:color w:val="000000"/>
                <w:szCs w:val="22"/>
                <w:lang w:eastAsia="en-GB"/>
              </w:rPr>
              <w:t>atio</w:t>
            </w:r>
          </w:p>
          <w:p w14:paraId="6222192B" w14:textId="2869A025" w:rsidR="009F181D" w:rsidRPr="006128F6" w:rsidRDefault="00703123" w:rsidP="006128F6">
            <w:pPr>
              <w:keepNext/>
              <w:tabs>
                <w:tab w:val="clear" w:pos="567"/>
              </w:tabs>
              <w:spacing w:line="240" w:lineRule="auto"/>
              <w:jc w:val="center"/>
              <w:rPr>
                <w:color w:val="000000"/>
                <w:szCs w:val="22"/>
                <w:lang w:eastAsia="en-GB"/>
              </w:rPr>
            </w:pPr>
            <w:r w:rsidRPr="006128F6">
              <w:rPr>
                <w:color w:val="000000"/>
                <w:szCs w:val="22"/>
                <w:lang w:eastAsia="en-GB"/>
              </w:rPr>
              <w:t>(95</w:t>
            </w:r>
            <w:r w:rsidR="000840CF" w:rsidRPr="006128F6">
              <w:rPr>
                <w:color w:val="000000"/>
                <w:szCs w:val="22"/>
                <w:lang w:eastAsia="en-GB"/>
              </w:rPr>
              <w:t>%</w:t>
            </w:r>
            <w:r w:rsidRPr="006128F6">
              <w:rPr>
                <w:color w:val="000000"/>
                <w:szCs w:val="22"/>
                <w:lang w:eastAsia="en-GB"/>
              </w:rPr>
              <w:t xml:space="preserve"> CI)</w:t>
            </w:r>
          </w:p>
          <w:p w14:paraId="512C5EE3" w14:textId="77777777" w:rsidR="00703123" w:rsidRPr="006128F6" w:rsidRDefault="009F181D" w:rsidP="006128F6">
            <w:pPr>
              <w:keepNext/>
              <w:tabs>
                <w:tab w:val="clear" w:pos="567"/>
              </w:tabs>
              <w:spacing w:line="240" w:lineRule="auto"/>
              <w:jc w:val="center"/>
              <w:rPr>
                <w:color w:val="000000"/>
                <w:szCs w:val="22"/>
                <w:lang w:eastAsia="en-GB"/>
              </w:rPr>
            </w:pPr>
            <w:r w:rsidRPr="006128F6">
              <w:rPr>
                <w:color w:val="000000"/>
                <w:szCs w:val="22"/>
                <w:lang w:eastAsia="en-GB"/>
              </w:rPr>
              <w:t>0.65 (0.44, 0.96) p</w:t>
            </w:r>
            <w:r w:rsidR="002B7BA5" w:rsidRPr="006128F6">
              <w:rPr>
                <w:color w:val="000000"/>
                <w:szCs w:val="22"/>
                <w:lang w:eastAsia="en-GB"/>
              </w:rPr>
              <w:t> </w:t>
            </w:r>
            <w:r w:rsidRPr="006128F6">
              <w:rPr>
                <w:color w:val="000000"/>
                <w:szCs w:val="22"/>
                <w:lang w:eastAsia="en-GB"/>
              </w:rPr>
              <w:t>=</w:t>
            </w:r>
            <w:r w:rsidR="002B7BA5" w:rsidRPr="006128F6">
              <w:rPr>
                <w:color w:val="000000"/>
                <w:szCs w:val="22"/>
                <w:lang w:eastAsia="en-GB"/>
              </w:rPr>
              <w:t> </w:t>
            </w:r>
            <w:r w:rsidRPr="006128F6">
              <w:rPr>
                <w:color w:val="000000"/>
                <w:szCs w:val="22"/>
                <w:lang w:eastAsia="en-GB"/>
              </w:rPr>
              <w:t>0.0275</w:t>
            </w:r>
          </w:p>
        </w:tc>
      </w:tr>
      <w:tr w:rsidR="00703123" w:rsidRPr="006128F6" w14:paraId="3FBE24E2" w14:textId="77777777" w:rsidTr="007519ED">
        <w:trPr>
          <w:trHeight w:val="300"/>
        </w:trPr>
        <w:tc>
          <w:tcPr>
            <w:tcW w:w="1634" w:type="pct"/>
            <w:shd w:val="clear" w:color="auto" w:fill="auto"/>
            <w:noWrap/>
            <w:hideMark/>
          </w:tcPr>
          <w:p w14:paraId="0F26B7D2" w14:textId="3FC204A0" w:rsidR="00703123" w:rsidRPr="006128F6" w:rsidRDefault="00703123" w:rsidP="006128F6">
            <w:pPr>
              <w:keepNext/>
              <w:tabs>
                <w:tab w:val="clear" w:pos="567"/>
              </w:tabs>
              <w:spacing w:line="240" w:lineRule="auto"/>
              <w:rPr>
                <w:color w:val="000000"/>
                <w:szCs w:val="22"/>
                <w:lang w:eastAsia="en-GB"/>
              </w:rPr>
            </w:pPr>
            <w:r w:rsidRPr="006128F6">
              <w:rPr>
                <w:color w:val="000000"/>
                <w:szCs w:val="22"/>
                <w:lang w:eastAsia="en-GB"/>
              </w:rPr>
              <w:t>Total pathological complete</w:t>
            </w:r>
            <w:r w:rsidR="009F181D" w:rsidRPr="006128F6">
              <w:rPr>
                <w:color w:val="000000"/>
                <w:szCs w:val="22"/>
                <w:lang w:eastAsia="en-GB"/>
              </w:rPr>
              <w:t xml:space="preserve"> response* (95</w:t>
            </w:r>
            <w:r w:rsidR="000840CF" w:rsidRPr="006128F6">
              <w:rPr>
                <w:color w:val="000000"/>
                <w:szCs w:val="22"/>
                <w:lang w:eastAsia="en-GB"/>
              </w:rPr>
              <w:t>%</w:t>
            </w:r>
            <w:r w:rsidR="009F181D" w:rsidRPr="006128F6">
              <w:rPr>
                <w:color w:val="000000"/>
                <w:szCs w:val="22"/>
                <w:lang w:eastAsia="en-GB"/>
              </w:rPr>
              <w:t xml:space="preserve"> CI)</w:t>
            </w:r>
          </w:p>
        </w:tc>
        <w:tc>
          <w:tcPr>
            <w:tcW w:w="1026" w:type="pct"/>
            <w:shd w:val="clear" w:color="auto" w:fill="auto"/>
            <w:noWrap/>
            <w:hideMark/>
          </w:tcPr>
          <w:p w14:paraId="5B66B9A5" w14:textId="77777777" w:rsidR="009F181D" w:rsidRPr="006128F6" w:rsidRDefault="00703123" w:rsidP="006128F6">
            <w:pPr>
              <w:keepNext/>
              <w:tabs>
                <w:tab w:val="clear" w:pos="567"/>
              </w:tabs>
              <w:spacing w:line="240" w:lineRule="auto"/>
              <w:jc w:val="center"/>
              <w:rPr>
                <w:color w:val="000000"/>
                <w:szCs w:val="22"/>
                <w:lang w:eastAsia="en-GB"/>
              </w:rPr>
            </w:pPr>
            <w:r w:rsidRPr="006128F6">
              <w:rPr>
                <w:color w:val="000000"/>
                <w:szCs w:val="22"/>
                <w:lang w:eastAsia="en-GB"/>
              </w:rPr>
              <w:t>40%</w:t>
            </w:r>
          </w:p>
          <w:p w14:paraId="0EECDE4A" w14:textId="77777777" w:rsidR="00703123" w:rsidRPr="006128F6" w:rsidRDefault="009F181D" w:rsidP="006128F6">
            <w:pPr>
              <w:keepNext/>
              <w:tabs>
                <w:tab w:val="clear" w:pos="567"/>
              </w:tabs>
              <w:spacing w:line="240" w:lineRule="auto"/>
              <w:jc w:val="center"/>
              <w:rPr>
                <w:color w:val="000000"/>
                <w:szCs w:val="22"/>
                <w:lang w:eastAsia="en-GB"/>
              </w:rPr>
            </w:pPr>
            <w:r w:rsidRPr="006128F6">
              <w:rPr>
                <w:color w:val="000000"/>
                <w:szCs w:val="22"/>
                <w:lang w:eastAsia="en-GB"/>
              </w:rPr>
              <w:t>(31.0, 49.6)</w:t>
            </w:r>
          </w:p>
        </w:tc>
        <w:tc>
          <w:tcPr>
            <w:tcW w:w="890" w:type="pct"/>
            <w:shd w:val="clear" w:color="auto" w:fill="auto"/>
            <w:noWrap/>
            <w:hideMark/>
          </w:tcPr>
          <w:p w14:paraId="30186D36" w14:textId="77777777" w:rsidR="009F181D" w:rsidRPr="006128F6" w:rsidRDefault="00A25EE8" w:rsidP="006128F6">
            <w:pPr>
              <w:keepNext/>
              <w:tabs>
                <w:tab w:val="clear" w:pos="567"/>
              </w:tabs>
              <w:spacing w:line="240" w:lineRule="auto"/>
              <w:jc w:val="center"/>
              <w:rPr>
                <w:color w:val="000000"/>
                <w:szCs w:val="22"/>
                <w:lang w:eastAsia="en-GB"/>
              </w:rPr>
            </w:pPr>
            <w:r w:rsidRPr="006128F6">
              <w:rPr>
                <w:color w:val="000000"/>
                <w:szCs w:val="22"/>
                <w:lang w:eastAsia="en-GB"/>
              </w:rPr>
              <w:t>20.7</w:t>
            </w:r>
            <w:r w:rsidR="00703123" w:rsidRPr="006128F6">
              <w:rPr>
                <w:color w:val="000000"/>
                <w:szCs w:val="22"/>
                <w:lang w:eastAsia="en-GB"/>
              </w:rPr>
              <w:t>%</w:t>
            </w:r>
          </w:p>
          <w:p w14:paraId="34229087" w14:textId="77777777" w:rsidR="00703123" w:rsidRPr="006128F6" w:rsidRDefault="009F181D" w:rsidP="006128F6">
            <w:pPr>
              <w:keepNext/>
              <w:tabs>
                <w:tab w:val="clear" w:pos="567"/>
              </w:tabs>
              <w:spacing w:line="240" w:lineRule="auto"/>
              <w:jc w:val="center"/>
              <w:rPr>
                <w:color w:val="000000"/>
                <w:szCs w:val="22"/>
                <w:lang w:eastAsia="en-GB"/>
              </w:rPr>
            </w:pPr>
            <w:r w:rsidRPr="006128F6">
              <w:rPr>
                <w:color w:val="000000"/>
                <w:szCs w:val="22"/>
                <w:lang w:eastAsia="en-GB"/>
              </w:rPr>
              <w:t>(13.7, 29.2)</w:t>
            </w:r>
          </w:p>
        </w:tc>
        <w:tc>
          <w:tcPr>
            <w:tcW w:w="1450" w:type="pct"/>
            <w:shd w:val="clear" w:color="auto" w:fill="auto"/>
            <w:noWrap/>
            <w:hideMark/>
          </w:tcPr>
          <w:p w14:paraId="2D0F51B4" w14:textId="77777777" w:rsidR="00703123" w:rsidRPr="006128F6" w:rsidRDefault="002B7BA5" w:rsidP="006128F6">
            <w:pPr>
              <w:keepNext/>
              <w:tabs>
                <w:tab w:val="clear" w:pos="567"/>
              </w:tabs>
              <w:spacing w:line="240" w:lineRule="auto"/>
              <w:jc w:val="center"/>
              <w:rPr>
                <w:color w:val="000000"/>
                <w:szCs w:val="22"/>
                <w:lang w:eastAsia="en-GB"/>
              </w:rPr>
            </w:pPr>
            <w:r w:rsidRPr="006128F6">
              <w:rPr>
                <w:color w:val="000000"/>
                <w:szCs w:val="22"/>
                <w:lang w:eastAsia="en-GB"/>
              </w:rPr>
              <w:t>p </w:t>
            </w:r>
            <w:r w:rsidR="00703123" w:rsidRPr="006128F6">
              <w:rPr>
                <w:color w:val="000000"/>
                <w:szCs w:val="22"/>
                <w:lang w:eastAsia="en-GB"/>
              </w:rPr>
              <w:t>=</w:t>
            </w:r>
            <w:r w:rsidRPr="006128F6">
              <w:rPr>
                <w:color w:val="000000"/>
                <w:szCs w:val="22"/>
                <w:lang w:eastAsia="en-GB"/>
              </w:rPr>
              <w:t> </w:t>
            </w:r>
            <w:r w:rsidR="00703123" w:rsidRPr="006128F6">
              <w:rPr>
                <w:color w:val="000000"/>
                <w:szCs w:val="22"/>
                <w:lang w:eastAsia="en-GB"/>
              </w:rPr>
              <w:t>0.0014</w:t>
            </w:r>
          </w:p>
        </w:tc>
      </w:tr>
      <w:tr w:rsidR="00703123" w:rsidRPr="006128F6" w14:paraId="59F70BE5" w14:textId="77777777" w:rsidTr="007519ED">
        <w:trPr>
          <w:trHeight w:val="300"/>
        </w:trPr>
        <w:tc>
          <w:tcPr>
            <w:tcW w:w="1634" w:type="pct"/>
            <w:shd w:val="clear" w:color="auto" w:fill="auto"/>
            <w:noWrap/>
            <w:hideMark/>
          </w:tcPr>
          <w:p w14:paraId="7C99B84E" w14:textId="77777777" w:rsidR="009F181D" w:rsidRPr="006128F6" w:rsidRDefault="009F181D" w:rsidP="006128F6">
            <w:pPr>
              <w:keepNext/>
              <w:tabs>
                <w:tab w:val="clear" w:pos="567"/>
              </w:tabs>
              <w:spacing w:line="240" w:lineRule="auto"/>
              <w:rPr>
                <w:color w:val="000000"/>
                <w:szCs w:val="22"/>
                <w:lang w:eastAsia="en-GB"/>
              </w:rPr>
            </w:pPr>
            <w:r w:rsidRPr="006128F6">
              <w:rPr>
                <w:color w:val="000000"/>
                <w:szCs w:val="22"/>
                <w:lang w:eastAsia="en-GB"/>
              </w:rPr>
              <w:t>Overall survival</w:t>
            </w:r>
          </w:p>
          <w:p w14:paraId="3040901B" w14:textId="77777777" w:rsidR="009F181D" w:rsidRPr="006128F6" w:rsidRDefault="009F181D" w:rsidP="006128F6">
            <w:pPr>
              <w:keepNext/>
              <w:tabs>
                <w:tab w:val="clear" w:pos="567"/>
              </w:tabs>
              <w:spacing w:line="240" w:lineRule="auto"/>
              <w:rPr>
                <w:color w:val="000000"/>
                <w:szCs w:val="22"/>
                <w:lang w:eastAsia="en-GB"/>
              </w:rPr>
            </w:pPr>
          </w:p>
          <w:p w14:paraId="37E53ABE" w14:textId="77777777" w:rsidR="00703123" w:rsidRPr="006128F6" w:rsidRDefault="00703123" w:rsidP="006128F6">
            <w:pPr>
              <w:keepNext/>
              <w:tabs>
                <w:tab w:val="clear" w:pos="567"/>
              </w:tabs>
              <w:spacing w:line="240" w:lineRule="auto"/>
              <w:rPr>
                <w:color w:val="000000"/>
                <w:szCs w:val="22"/>
                <w:lang w:eastAsia="en-GB"/>
              </w:rPr>
            </w:pPr>
            <w:r w:rsidRPr="006128F6">
              <w:rPr>
                <w:color w:val="000000"/>
                <w:szCs w:val="22"/>
                <w:lang w:eastAsia="en-GB"/>
              </w:rPr>
              <w:t>No. patients with event</w:t>
            </w:r>
          </w:p>
        </w:tc>
        <w:tc>
          <w:tcPr>
            <w:tcW w:w="1026" w:type="pct"/>
            <w:shd w:val="clear" w:color="auto" w:fill="auto"/>
            <w:noWrap/>
            <w:hideMark/>
          </w:tcPr>
          <w:p w14:paraId="700B6A2E" w14:textId="77777777" w:rsidR="009F181D" w:rsidRPr="006128F6" w:rsidRDefault="009F181D" w:rsidP="006128F6">
            <w:pPr>
              <w:keepNext/>
              <w:tabs>
                <w:tab w:val="clear" w:pos="567"/>
              </w:tabs>
              <w:spacing w:line="240" w:lineRule="auto"/>
              <w:jc w:val="center"/>
              <w:rPr>
                <w:color w:val="000000"/>
                <w:szCs w:val="22"/>
                <w:lang w:eastAsia="en-GB"/>
              </w:rPr>
            </w:pPr>
          </w:p>
          <w:p w14:paraId="00F55AC7" w14:textId="77777777" w:rsidR="009F181D" w:rsidRPr="006128F6" w:rsidRDefault="009F181D" w:rsidP="006128F6">
            <w:pPr>
              <w:keepNext/>
              <w:tabs>
                <w:tab w:val="clear" w:pos="567"/>
              </w:tabs>
              <w:spacing w:line="240" w:lineRule="auto"/>
              <w:jc w:val="center"/>
              <w:rPr>
                <w:color w:val="000000"/>
                <w:szCs w:val="22"/>
                <w:lang w:eastAsia="en-GB"/>
              </w:rPr>
            </w:pPr>
          </w:p>
          <w:p w14:paraId="5FA845B4" w14:textId="77777777" w:rsidR="00703123" w:rsidRPr="006128F6" w:rsidRDefault="00703123" w:rsidP="006128F6">
            <w:pPr>
              <w:keepNext/>
              <w:tabs>
                <w:tab w:val="clear" w:pos="567"/>
              </w:tabs>
              <w:spacing w:line="240" w:lineRule="auto"/>
              <w:jc w:val="center"/>
              <w:rPr>
                <w:color w:val="000000"/>
                <w:szCs w:val="22"/>
                <w:lang w:eastAsia="en-GB"/>
              </w:rPr>
            </w:pPr>
            <w:r w:rsidRPr="006128F6">
              <w:rPr>
                <w:color w:val="000000"/>
                <w:szCs w:val="22"/>
                <w:lang w:eastAsia="en-GB"/>
              </w:rPr>
              <w:t>22</w:t>
            </w:r>
          </w:p>
        </w:tc>
        <w:tc>
          <w:tcPr>
            <w:tcW w:w="890" w:type="pct"/>
            <w:shd w:val="clear" w:color="auto" w:fill="auto"/>
            <w:noWrap/>
            <w:hideMark/>
          </w:tcPr>
          <w:p w14:paraId="5586FA2F" w14:textId="77777777" w:rsidR="009F181D" w:rsidRPr="006128F6" w:rsidRDefault="009F181D" w:rsidP="006128F6">
            <w:pPr>
              <w:keepNext/>
              <w:tabs>
                <w:tab w:val="clear" w:pos="567"/>
              </w:tabs>
              <w:spacing w:line="240" w:lineRule="auto"/>
              <w:jc w:val="center"/>
              <w:rPr>
                <w:color w:val="000000"/>
                <w:szCs w:val="22"/>
                <w:lang w:eastAsia="en-GB"/>
              </w:rPr>
            </w:pPr>
          </w:p>
          <w:p w14:paraId="3638C2AE" w14:textId="77777777" w:rsidR="009F181D" w:rsidRPr="006128F6" w:rsidRDefault="009F181D" w:rsidP="006128F6">
            <w:pPr>
              <w:keepNext/>
              <w:tabs>
                <w:tab w:val="clear" w:pos="567"/>
              </w:tabs>
              <w:spacing w:line="240" w:lineRule="auto"/>
              <w:jc w:val="center"/>
              <w:rPr>
                <w:color w:val="000000"/>
                <w:szCs w:val="22"/>
                <w:lang w:eastAsia="en-GB"/>
              </w:rPr>
            </w:pPr>
          </w:p>
          <w:p w14:paraId="3A914C60" w14:textId="77777777" w:rsidR="00703123" w:rsidRPr="006128F6" w:rsidRDefault="00703123" w:rsidP="006128F6">
            <w:pPr>
              <w:keepNext/>
              <w:tabs>
                <w:tab w:val="clear" w:pos="567"/>
              </w:tabs>
              <w:spacing w:line="240" w:lineRule="auto"/>
              <w:jc w:val="center"/>
              <w:rPr>
                <w:color w:val="000000"/>
                <w:szCs w:val="22"/>
                <w:lang w:eastAsia="en-GB"/>
              </w:rPr>
            </w:pPr>
            <w:r w:rsidRPr="006128F6">
              <w:rPr>
                <w:color w:val="000000"/>
                <w:szCs w:val="22"/>
                <w:lang w:eastAsia="en-GB"/>
              </w:rPr>
              <w:t>33</w:t>
            </w:r>
          </w:p>
        </w:tc>
        <w:tc>
          <w:tcPr>
            <w:tcW w:w="1450" w:type="pct"/>
            <w:shd w:val="clear" w:color="auto" w:fill="auto"/>
            <w:noWrap/>
            <w:hideMark/>
          </w:tcPr>
          <w:p w14:paraId="732BDD6F" w14:textId="16A8BA5D" w:rsidR="009F181D" w:rsidRPr="006128F6" w:rsidRDefault="009F181D" w:rsidP="006128F6">
            <w:pPr>
              <w:keepNext/>
              <w:tabs>
                <w:tab w:val="clear" w:pos="567"/>
              </w:tabs>
              <w:spacing w:line="240" w:lineRule="auto"/>
              <w:jc w:val="center"/>
              <w:rPr>
                <w:color w:val="000000"/>
                <w:szCs w:val="22"/>
                <w:lang w:eastAsia="en-GB"/>
              </w:rPr>
            </w:pPr>
            <w:r w:rsidRPr="006128F6">
              <w:rPr>
                <w:color w:val="000000"/>
                <w:szCs w:val="22"/>
                <w:lang w:eastAsia="en-GB"/>
              </w:rPr>
              <w:t xml:space="preserve">Hazard </w:t>
            </w:r>
            <w:r w:rsidR="00975B60">
              <w:rPr>
                <w:color w:val="000000"/>
                <w:szCs w:val="22"/>
                <w:lang w:eastAsia="en-GB"/>
              </w:rPr>
              <w:t>r</w:t>
            </w:r>
            <w:r w:rsidRPr="006128F6">
              <w:rPr>
                <w:color w:val="000000"/>
                <w:szCs w:val="22"/>
                <w:lang w:eastAsia="en-GB"/>
              </w:rPr>
              <w:t>atio</w:t>
            </w:r>
          </w:p>
          <w:p w14:paraId="74DACE00" w14:textId="35C93071" w:rsidR="009F181D" w:rsidRPr="006128F6" w:rsidRDefault="004442B5" w:rsidP="006128F6">
            <w:pPr>
              <w:keepNext/>
              <w:tabs>
                <w:tab w:val="clear" w:pos="567"/>
              </w:tabs>
              <w:spacing w:line="240" w:lineRule="auto"/>
              <w:jc w:val="center"/>
              <w:rPr>
                <w:color w:val="000000"/>
                <w:szCs w:val="22"/>
                <w:lang w:eastAsia="en-GB"/>
              </w:rPr>
            </w:pPr>
            <w:r w:rsidRPr="006128F6">
              <w:rPr>
                <w:color w:val="000000"/>
                <w:szCs w:val="22"/>
                <w:lang w:eastAsia="en-GB"/>
              </w:rPr>
              <w:t>(95</w:t>
            </w:r>
            <w:r w:rsidR="000840CF" w:rsidRPr="006128F6">
              <w:rPr>
                <w:color w:val="000000"/>
                <w:szCs w:val="22"/>
                <w:lang w:eastAsia="en-GB"/>
              </w:rPr>
              <w:t>%</w:t>
            </w:r>
            <w:r w:rsidR="009F181D" w:rsidRPr="006128F6">
              <w:rPr>
                <w:color w:val="000000"/>
                <w:szCs w:val="22"/>
                <w:lang w:eastAsia="en-GB"/>
              </w:rPr>
              <w:t xml:space="preserve"> CI)</w:t>
            </w:r>
          </w:p>
          <w:p w14:paraId="091DDEBF" w14:textId="33390BC5" w:rsidR="00703123" w:rsidRPr="006128F6" w:rsidRDefault="00703123" w:rsidP="006128F6">
            <w:pPr>
              <w:keepNext/>
              <w:tabs>
                <w:tab w:val="clear" w:pos="567"/>
              </w:tabs>
              <w:spacing w:line="240" w:lineRule="auto"/>
              <w:jc w:val="center"/>
              <w:rPr>
                <w:color w:val="000000"/>
                <w:szCs w:val="22"/>
                <w:lang w:eastAsia="en-GB"/>
              </w:rPr>
            </w:pPr>
            <w:r w:rsidRPr="006128F6">
              <w:rPr>
                <w:color w:val="000000"/>
                <w:szCs w:val="22"/>
                <w:lang w:eastAsia="en-GB"/>
              </w:rPr>
              <w:t xml:space="preserve">0.59 (0.35, 1.02) </w:t>
            </w:r>
            <w:r w:rsidR="009F181D" w:rsidRPr="006128F6">
              <w:rPr>
                <w:color w:val="000000"/>
                <w:szCs w:val="22"/>
                <w:lang w:eastAsia="en-GB"/>
              </w:rPr>
              <w:t>p</w:t>
            </w:r>
            <w:r w:rsidR="007519ED" w:rsidRPr="006128F6">
              <w:rPr>
                <w:color w:val="000000"/>
                <w:szCs w:val="22"/>
                <w:lang w:eastAsia="en-GB"/>
              </w:rPr>
              <w:t> </w:t>
            </w:r>
            <w:r w:rsidR="009F181D" w:rsidRPr="006128F6">
              <w:rPr>
                <w:color w:val="000000"/>
                <w:szCs w:val="22"/>
                <w:lang w:eastAsia="en-GB"/>
              </w:rPr>
              <w:t>=</w:t>
            </w:r>
            <w:r w:rsidR="007519ED" w:rsidRPr="006128F6">
              <w:rPr>
                <w:color w:val="000000"/>
                <w:szCs w:val="22"/>
                <w:lang w:eastAsia="en-GB"/>
              </w:rPr>
              <w:t> </w:t>
            </w:r>
            <w:r w:rsidR="009F181D" w:rsidRPr="006128F6">
              <w:rPr>
                <w:color w:val="000000"/>
                <w:szCs w:val="22"/>
                <w:lang w:eastAsia="en-GB"/>
              </w:rPr>
              <w:t>0.0555</w:t>
            </w:r>
          </w:p>
        </w:tc>
      </w:tr>
    </w:tbl>
    <w:p w14:paraId="7590271B" w14:textId="77777777" w:rsidR="00A5763E" w:rsidRPr="00CE427E" w:rsidRDefault="00A5763E" w:rsidP="006128F6">
      <w:pPr>
        <w:tabs>
          <w:tab w:val="clear" w:pos="567"/>
        </w:tabs>
        <w:autoSpaceDE w:val="0"/>
        <w:autoSpaceDN w:val="0"/>
        <w:adjustRightInd w:val="0"/>
        <w:spacing w:line="240" w:lineRule="auto"/>
        <w:rPr>
          <w:rFonts w:eastAsia="Calibri"/>
          <w:sz w:val="20"/>
        </w:rPr>
      </w:pPr>
      <w:r w:rsidRPr="00CE427E">
        <w:rPr>
          <w:rFonts w:eastAsia="Calibri"/>
          <w:sz w:val="20"/>
        </w:rPr>
        <w:t>*defined as absence of any invasive cancer both in the breast and axillary nodes</w:t>
      </w:r>
    </w:p>
    <w:p w14:paraId="36392B9F" w14:textId="77777777" w:rsidR="00A5763E" w:rsidRPr="00CE427E" w:rsidRDefault="00A5763E" w:rsidP="006128F6">
      <w:pPr>
        <w:tabs>
          <w:tab w:val="clear" w:pos="567"/>
        </w:tabs>
        <w:autoSpaceDE w:val="0"/>
        <w:autoSpaceDN w:val="0"/>
        <w:adjustRightInd w:val="0"/>
        <w:spacing w:line="240" w:lineRule="auto"/>
        <w:rPr>
          <w:rFonts w:eastAsia="Calibri"/>
          <w:szCs w:val="22"/>
        </w:rPr>
      </w:pPr>
    </w:p>
    <w:p w14:paraId="4A4B537E" w14:textId="28D3C96B" w:rsidR="00A5763E" w:rsidRPr="00CE427E" w:rsidRDefault="00A5763E" w:rsidP="006128F6">
      <w:pPr>
        <w:tabs>
          <w:tab w:val="clear" w:pos="567"/>
        </w:tabs>
        <w:autoSpaceDE w:val="0"/>
        <w:autoSpaceDN w:val="0"/>
        <w:adjustRightInd w:val="0"/>
        <w:spacing w:line="240" w:lineRule="auto"/>
        <w:rPr>
          <w:rFonts w:eastAsia="Calibri"/>
          <w:szCs w:val="22"/>
        </w:rPr>
      </w:pPr>
      <w:r w:rsidRPr="00CE427E">
        <w:rPr>
          <w:rFonts w:eastAsia="Calibri"/>
          <w:szCs w:val="22"/>
        </w:rPr>
        <w:t xml:space="preserve">An absolute benefit of 13 percentage points in favour of the </w:t>
      </w:r>
      <w:r w:rsidR="0093307D" w:rsidRPr="00CE427E">
        <w:rPr>
          <w:rFonts w:eastAsia="Calibri"/>
          <w:szCs w:val="22"/>
        </w:rPr>
        <w:t>trastuzumab</w:t>
      </w:r>
      <w:r w:rsidRPr="00CE427E">
        <w:rPr>
          <w:rFonts w:eastAsia="Calibri"/>
          <w:szCs w:val="22"/>
        </w:rPr>
        <w:t xml:space="preserve"> arm was estimated in terms of 3 year</w:t>
      </w:r>
      <w:r w:rsidR="008B2309">
        <w:rPr>
          <w:rFonts w:eastAsia="Calibri"/>
          <w:szCs w:val="22"/>
        </w:rPr>
        <w:t>s</w:t>
      </w:r>
      <w:r w:rsidRPr="00CE427E">
        <w:rPr>
          <w:rFonts w:eastAsia="Calibri"/>
          <w:szCs w:val="22"/>
        </w:rPr>
        <w:t xml:space="preserve"> event-free survival rate (65</w:t>
      </w:r>
      <w:r w:rsidR="000840CF" w:rsidRPr="00CE427E">
        <w:rPr>
          <w:rFonts w:eastAsia="Calibri"/>
          <w:szCs w:val="22"/>
        </w:rPr>
        <w:t>%</w:t>
      </w:r>
      <w:r w:rsidRPr="00CE427E">
        <w:rPr>
          <w:rFonts w:eastAsia="Calibri"/>
          <w:szCs w:val="22"/>
        </w:rPr>
        <w:t xml:space="preserve"> versus 52</w:t>
      </w:r>
      <w:r w:rsidR="000840CF" w:rsidRPr="00CE427E">
        <w:rPr>
          <w:rFonts w:eastAsia="Calibri"/>
          <w:szCs w:val="22"/>
        </w:rPr>
        <w:t>%</w:t>
      </w:r>
      <w:r w:rsidRPr="00CE427E">
        <w:rPr>
          <w:rFonts w:eastAsia="Calibri"/>
          <w:szCs w:val="22"/>
        </w:rPr>
        <w:t>).</w:t>
      </w:r>
    </w:p>
    <w:p w14:paraId="46CEF5B8" w14:textId="77777777" w:rsidR="00A5763E" w:rsidRPr="00CE427E" w:rsidRDefault="00A5763E" w:rsidP="006128F6">
      <w:pPr>
        <w:tabs>
          <w:tab w:val="clear" w:pos="567"/>
        </w:tabs>
        <w:autoSpaceDE w:val="0"/>
        <w:autoSpaceDN w:val="0"/>
        <w:adjustRightInd w:val="0"/>
        <w:spacing w:line="240" w:lineRule="auto"/>
        <w:rPr>
          <w:rFonts w:eastAsia="Calibri"/>
          <w:szCs w:val="22"/>
        </w:rPr>
      </w:pPr>
    </w:p>
    <w:p w14:paraId="0CB571BB" w14:textId="77777777" w:rsidR="00A5763E" w:rsidRPr="00CE427E" w:rsidRDefault="00A5763E" w:rsidP="006128F6">
      <w:pPr>
        <w:keepNext/>
        <w:tabs>
          <w:tab w:val="clear" w:pos="567"/>
        </w:tabs>
        <w:autoSpaceDE w:val="0"/>
        <w:autoSpaceDN w:val="0"/>
        <w:adjustRightInd w:val="0"/>
        <w:spacing w:line="240" w:lineRule="auto"/>
        <w:rPr>
          <w:rFonts w:eastAsia="Calibri"/>
          <w:i/>
          <w:iCs/>
          <w:szCs w:val="22"/>
          <w:u w:val="single"/>
        </w:rPr>
      </w:pPr>
      <w:r w:rsidRPr="00CE427E">
        <w:rPr>
          <w:rFonts w:eastAsia="Calibri"/>
          <w:i/>
          <w:iCs/>
          <w:szCs w:val="22"/>
          <w:u w:val="single"/>
        </w:rPr>
        <w:t>Metastatic gastric cancer</w:t>
      </w:r>
    </w:p>
    <w:p w14:paraId="27D8DD44" w14:textId="77777777" w:rsidR="00A5763E" w:rsidRPr="00CE427E" w:rsidRDefault="00A5763E" w:rsidP="006128F6">
      <w:pPr>
        <w:tabs>
          <w:tab w:val="clear" w:pos="567"/>
        </w:tabs>
        <w:autoSpaceDE w:val="0"/>
        <w:autoSpaceDN w:val="0"/>
        <w:adjustRightInd w:val="0"/>
        <w:spacing w:line="240" w:lineRule="auto"/>
        <w:rPr>
          <w:rFonts w:eastAsia="Calibri"/>
          <w:szCs w:val="22"/>
        </w:rPr>
      </w:pPr>
    </w:p>
    <w:p w14:paraId="45AD345F" w14:textId="6202418C" w:rsidR="00A5763E" w:rsidRPr="00CE427E" w:rsidRDefault="004618F0" w:rsidP="006128F6">
      <w:pPr>
        <w:tabs>
          <w:tab w:val="clear" w:pos="567"/>
        </w:tabs>
        <w:autoSpaceDE w:val="0"/>
        <w:autoSpaceDN w:val="0"/>
        <w:adjustRightInd w:val="0"/>
        <w:spacing w:line="240" w:lineRule="auto"/>
        <w:rPr>
          <w:rFonts w:eastAsia="Calibri"/>
          <w:szCs w:val="22"/>
        </w:rPr>
      </w:pPr>
      <w:r w:rsidRPr="00CE427E">
        <w:rPr>
          <w:rFonts w:eastAsia="Calibri"/>
          <w:szCs w:val="22"/>
        </w:rPr>
        <w:t>T</w:t>
      </w:r>
      <w:r w:rsidR="0093307D" w:rsidRPr="00CE427E">
        <w:rPr>
          <w:rFonts w:eastAsia="Calibri"/>
          <w:szCs w:val="22"/>
        </w:rPr>
        <w:t>rastuzumab</w:t>
      </w:r>
      <w:r w:rsidR="00A5763E" w:rsidRPr="00CE427E">
        <w:rPr>
          <w:rFonts w:eastAsia="Calibri"/>
          <w:szCs w:val="22"/>
        </w:rPr>
        <w:t xml:space="preserve"> has been investigated in one randomised, open</w:t>
      </w:r>
      <w:r w:rsidR="00A5763E" w:rsidRPr="00CE427E">
        <w:rPr>
          <w:rFonts w:eastAsia="Calibri"/>
          <w:szCs w:val="22"/>
        </w:rPr>
        <w:noBreakHyphen/>
        <w:t xml:space="preserve">label phase III </w:t>
      </w:r>
      <w:r w:rsidR="004A5EE5">
        <w:rPr>
          <w:rFonts w:eastAsia="Calibri"/>
          <w:szCs w:val="22"/>
        </w:rPr>
        <w:t>study</w:t>
      </w:r>
      <w:r w:rsidR="004A5EE5" w:rsidRPr="00CE427E">
        <w:rPr>
          <w:rFonts w:eastAsia="Calibri"/>
          <w:szCs w:val="22"/>
        </w:rPr>
        <w:t xml:space="preserve"> </w:t>
      </w:r>
      <w:r w:rsidR="00A5763E" w:rsidRPr="00CE427E">
        <w:rPr>
          <w:rFonts w:eastAsia="Calibri"/>
          <w:szCs w:val="22"/>
        </w:rPr>
        <w:t>ToGA (BO18255) in combination with chemotherapy versus chemotherapy alone.</w:t>
      </w:r>
    </w:p>
    <w:p w14:paraId="20BF02F8" w14:textId="77777777" w:rsidR="00A5763E" w:rsidRPr="00CE427E" w:rsidRDefault="00A5763E" w:rsidP="006128F6">
      <w:pPr>
        <w:tabs>
          <w:tab w:val="clear" w:pos="567"/>
        </w:tabs>
        <w:autoSpaceDE w:val="0"/>
        <w:autoSpaceDN w:val="0"/>
        <w:adjustRightInd w:val="0"/>
        <w:spacing w:line="240" w:lineRule="auto"/>
        <w:rPr>
          <w:rFonts w:eastAsia="Calibri"/>
          <w:szCs w:val="22"/>
        </w:rPr>
      </w:pPr>
    </w:p>
    <w:p w14:paraId="5AE1B17E" w14:textId="77777777" w:rsidR="00A5763E" w:rsidRPr="00CE427E" w:rsidRDefault="00A5763E" w:rsidP="006128F6">
      <w:pPr>
        <w:tabs>
          <w:tab w:val="clear" w:pos="567"/>
        </w:tabs>
        <w:autoSpaceDE w:val="0"/>
        <w:autoSpaceDN w:val="0"/>
        <w:adjustRightInd w:val="0"/>
        <w:spacing w:line="240" w:lineRule="auto"/>
        <w:rPr>
          <w:rFonts w:eastAsia="Calibri"/>
          <w:szCs w:val="22"/>
        </w:rPr>
      </w:pPr>
      <w:r w:rsidRPr="00CE427E">
        <w:rPr>
          <w:rFonts w:eastAsia="Calibri"/>
          <w:szCs w:val="22"/>
        </w:rPr>
        <w:t>Chemotherapy was administered as follows:</w:t>
      </w:r>
    </w:p>
    <w:p w14:paraId="1F6320F7" w14:textId="77777777" w:rsidR="00A5763E" w:rsidRPr="00CE427E" w:rsidRDefault="00A5763E" w:rsidP="006128F6">
      <w:pPr>
        <w:tabs>
          <w:tab w:val="clear" w:pos="567"/>
        </w:tabs>
        <w:autoSpaceDE w:val="0"/>
        <w:autoSpaceDN w:val="0"/>
        <w:adjustRightInd w:val="0"/>
        <w:spacing w:line="240" w:lineRule="auto"/>
        <w:rPr>
          <w:rFonts w:eastAsia="Calibri"/>
          <w:szCs w:val="22"/>
        </w:rPr>
      </w:pPr>
    </w:p>
    <w:p w14:paraId="38F476AD" w14:textId="0B9987CE" w:rsidR="00A5763E" w:rsidRPr="00CE427E" w:rsidRDefault="00A5763E" w:rsidP="006128F6">
      <w:pPr>
        <w:pStyle w:val="ListParagraph"/>
        <w:numPr>
          <w:ilvl w:val="0"/>
          <w:numId w:val="17"/>
        </w:numPr>
        <w:tabs>
          <w:tab w:val="clear" w:pos="567"/>
        </w:tabs>
        <w:autoSpaceDE w:val="0"/>
        <w:autoSpaceDN w:val="0"/>
        <w:adjustRightInd w:val="0"/>
        <w:spacing w:line="240" w:lineRule="auto"/>
        <w:ind w:left="567" w:hanging="567"/>
        <w:rPr>
          <w:rFonts w:eastAsia="Calibri"/>
          <w:szCs w:val="22"/>
        </w:rPr>
      </w:pPr>
      <w:r w:rsidRPr="00CE427E">
        <w:rPr>
          <w:rFonts w:eastAsia="Calibri"/>
          <w:szCs w:val="22"/>
        </w:rPr>
        <w:t xml:space="preserve">capecitabine – </w:t>
      </w:r>
      <w:r w:rsidR="004E2671" w:rsidRPr="00CE427E">
        <w:rPr>
          <w:rFonts w:eastAsia="Calibri"/>
          <w:szCs w:val="22"/>
        </w:rPr>
        <w:t>1</w:t>
      </w:r>
      <w:r w:rsidR="000B44AA">
        <w:rPr>
          <w:rFonts w:eastAsia="Calibri"/>
          <w:szCs w:val="22"/>
        </w:rPr>
        <w:t> </w:t>
      </w:r>
      <w:r w:rsidR="004E2671" w:rsidRPr="00CE427E">
        <w:rPr>
          <w:rFonts w:eastAsia="Calibri"/>
          <w:szCs w:val="22"/>
        </w:rPr>
        <w:t>000 </w:t>
      </w:r>
      <w:r w:rsidRPr="00CE427E">
        <w:rPr>
          <w:rFonts w:eastAsia="Calibri"/>
          <w:szCs w:val="22"/>
        </w:rPr>
        <w:t>mg/m</w:t>
      </w:r>
      <w:r w:rsidRPr="00CE427E">
        <w:rPr>
          <w:rFonts w:eastAsia="Calibri"/>
          <w:szCs w:val="22"/>
          <w:vertAlign w:val="superscript"/>
        </w:rPr>
        <w:t>2</w:t>
      </w:r>
      <w:r w:rsidRPr="00CE427E">
        <w:rPr>
          <w:rFonts w:eastAsia="Calibri"/>
          <w:szCs w:val="22"/>
        </w:rPr>
        <w:t xml:space="preserve"> orally twice daily for 14 days every 3 weeks for 6 cycles (evening of day 1 to morning of day 15 of each cycle)</w:t>
      </w:r>
    </w:p>
    <w:p w14:paraId="1579A79D" w14:textId="77777777" w:rsidR="00A5763E" w:rsidRPr="00CE427E" w:rsidRDefault="00A5763E" w:rsidP="006128F6">
      <w:pPr>
        <w:tabs>
          <w:tab w:val="clear" w:pos="567"/>
        </w:tabs>
        <w:autoSpaceDE w:val="0"/>
        <w:autoSpaceDN w:val="0"/>
        <w:adjustRightInd w:val="0"/>
        <w:spacing w:line="240" w:lineRule="auto"/>
        <w:rPr>
          <w:rFonts w:eastAsia="Calibri"/>
          <w:szCs w:val="22"/>
        </w:rPr>
      </w:pPr>
      <w:r w:rsidRPr="00CE427E">
        <w:rPr>
          <w:rFonts w:eastAsia="Calibri"/>
          <w:szCs w:val="22"/>
        </w:rPr>
        <w:t>or</w:t>
      </w:r>
    </w:p>
    <w:p w14:paraId="771FE090" w14:textId="1C23902D" w:rsidR="00A5763E" w:rsidRPr="00CE427E" w:rsidRDefault="00A5763E" w:rsidP="006128F6">
      <w:pPr>
        <w:pStyle w:val="ListParagraph"/>
        <w:numPr>
          <w:ilvl w:val="0"/>
          <w:numId w:val="17"/>
        </w:numPr>
        <w:tabs>
          <w:tab w:val="clear" w:pos="567"/>
        </w:tabs>
        <w:autoSpaceDE w:val="0"/>
        <w:autoSpaceDN w:val="0"/>
        <w:adjustRightInd w:val="0"/>
        <w:spacing w:line="240" w:lineRule="auto"/>
        <w:ind w:left="567" w:hanging="567"/>
        <w:rPr>
          <w:rFonts w:eastAsia="Calibri"/>
          <w:szCs w:val="22"/>
        </w:rPr>
      </w:pPr>
      <w:r w:rsidRPr="00CE427E">
        <w:rPr>
          <w:rFonts w:eastAsia="Calibri"/>
          <w:szCs w:val="22"/>
        </w:rPr>
        <w:t>intravenous 5</w:t>
      </w:r>
      <w:r w:rsidRPr="00CE427E">
        <w:rPr>
          <w:rFonts w:eastAsia="Calibri"/>
          <w:szCs w:val="22"/>
        </w:rPr>
        <w:noBreakHyphen/>
        <w:t>fluorouracil</w:t>
      </w:r>
      <w:r w:rsidR="00FD4897" w:rsidRPr="00CE427E">
        <w:rPr>
          <w:rFonts w:eastAsia="Calibri"/>
          <w:szCs w:val="22"/>
        </w:rPr>
        <w:t> </w:t>
      </w:r>
      <w:r w:rsidRPr="00CE427E">
        <w:rPr>
          <w:rFonts w:eastAsia="Calibri"/>
          <w:szCs w:val="22"/>
        </w:rPr>
        <w:t>-</w:t>
      </w:r>
      <w:r w:rsidR="00FD4897" w:rsidRPr="00CE427E">
        <w:rPr>
          <w:rFonts w:eastAsia="Calibri"/>
          <w:szCs w:val="22"/>
        </w:rPr>
        <w:t> </w:t>
      </w:r>
      <w:r w:rsidRPr="00CE427E">
        <w:rPr>
          <w:rFonts w:eastAsia="Calibri"/>
          <w:szCs w:val="22"/>
        </w:rPr>
        <w:t>800</w:t>
      </w:r>
      <w:r w:rsidR="00C037F3" w:rsidRPr="00CE427E">
        <w:rPr>
          <w:rFonts w:eastAsia="Calibri"/>
          <w:szCs w:val="22"/>
        </w:rPr>
        <w:t> </w:t>
      </w:r>
      <w:r w:rsidRPr="00CE427E">
        <w:rPr>
          <w:rFonts w:eastAsia="Calibri"/>
          <w:szCs w:val="22"/>
        </w:rPr>
        <w:t>mg/m</w:t>
      </w:r>
      <w:r w:rsidRPr="00CE427E">
        <w:rPr>
          <w:rFonts w:eastAsia="Calibri"/>
          <w:szCs w:val="22"/>
          <w:vertAlign w:val="superscript"/>
        </w:rPr>
        <w:t>2</w:t>
      </w:r>
      <w:r w:rsidRPr="00CE427E">
        <w:rPr>
          <w:rFonts w:eastAsia="Calibri"/>
          <w:szCs w:val="22"/>
        </w:rPr>
        <w:t>/day as a continuous intravenous infusion over 5 days, given every 3 weeks for 6 cycles (days 1 to 5 of each cycle)</w:t>
      </w:r>
    </w:p>
    <w:p w14:paraId="1CF6ECCD" w14:textId="77777777" w:rsidR="00A5763E" w:rsidRPr="00CE427E" w:rsidRDefault="00A5763E" w:rsidP="006128F6">
      <w:pPr>
        <w:tabs>
          <w:tab w:val="clear" w:pos="567"/>
        </w:tabs>
        <w:autoSpaceDE w:val="0"/>
        <w:autoSpaceDN w:val="0"/>
        <w:adjustRightInd w:val="0"/>
        <w:spacing w:line="240" w:lineRule="auto"/>
        <w:rPr>
          <w:rFonts w:eastAsia="Calibri"/>
          <w:szCs w:val="22"/>
        </w:rPr>
      </w:pPr>
    </w:p>
    <w:p w14:paraId="47E72AF2" w14:textId="77777777" w:rsidR="00A5763E" w:rsidRPr="00CE427E" w:rsidRDefault="00A5763E" w:rsidP="006128F6">
      <w:pPr>
        <w:tabs>
          <w:tab w:val="clear" w:pos="567"/>
        </w:tabs>
        <w:autoSpaceDE w:val="0"/>
        <w:autoSpaceDN w:val="0"/>
        <w:adjustRightInd w:val="0"/>
        <w:spacing w:line="240" w:lineRule="auto"/>
        <w:rPr>
          <w:rFonts w:eastAsia="Calibri"/>
          <w:szCs w:val="22"/>
        </w:rPr>
      </w:pPr>
      <w:r w:rsidRPr="00CE427E">
        <w:rPr>
          <w:rFonts w:eastAsia="Calibri"/>
          <w:szCs w:val="22"/>
        </w:rPr>
        <w:t>Either of which was administered with:</w:t>
      </w:r>
    </w:p>
    <w:p w14:paraId="0A6761C8" w14:textId="77777777" w:rsidR="00A25EE8" w:rsidRPr="00CE427E" w:rsidRDefault="00A25EE8" w:rsidP="006128F6">
      <w:pPr>
        <w:tabs>
          <w:tab w:val="clear" w:pos="567"/>
        </w:tabs>
        <w:autoSpaceDE w:val="0"/>
        <w:autoSpaceDN w:val="0"/>
        <w:adjustRightInd w:val="0"/>
        <w:spacing w:line="240" w:lineRule="auto"/>
        <w:rPr>
          <w:rFonts w:eastAsia="Calibri"/>
          <w:szCs w:val="22"/>
        </w:rPr>
      </w:pPr>
    </w:p>
    <w:p w14:paraId="3B1EDD4B" w14:textId="1CD6DAE4" w:rsidR="00A5763E" w:rsidRPr="00CE427E" w:rsidRDefault="00A5763E" w:rsidP="006128F6">
      <w:pPr>
        <w:pStyle w:val="ListParagraph"/>
        <w:numPr>
          <w:ilvl w:val="0"/>
          <w:numId w:val="17"/>
        </w:numPr>
        <w:tabs>
          <w:tab w:val="clear" w:pos="567"/>
        </w:tabs>
        <w:autoSpaceDE w:val="0"/>
        <w:autoSpaceDN w:val="0"/>
        <w:adjustRightInd w:val="0"/>
        <w:spacing w:line="240" w:lineRule="auto"/>
        <w:ind w:left="567" w:hanging="567"/>
        <w:rPr>
          <w:rFonts w:eastAsia="Calibri"/>
          <w:szCs w:val="22"/>
        </w:rPr>
      </w:pPr>
      <w:r w:rsidRPr="00CE427E">
        <w:rPr>
          <w:rFonts w:eastAsia="Calibri"/>
          <w:szCs w:val="22"/>
        </w:rPr>
        <w:t>cisplatin – 80 mg/m</w:t>
      </w:r>
      <w:r w:rsidRPr="00CE427E">
        <w:rPr>
          <w:rFonts w:eastAsia="Calibri"/>
          <w:szCs w:val="22"/>
          <w:vertAlign w:val="superscript"/>
        </w:rPr>
        <w:t>2</w:t>
      </w:r>
      <w:r w:rsidRPr="00CE427E">
        <w:rPr>
          <w:rFonts w:eastAsia="Calibri"/>
          <w:szCs w:val="22"/>
        </w:rPr>
        <w:t xml:space="preserve"> every 3 weeks for 6 cycles on day 1 of each cycle.</w:t>
      </w:r>
    </w:p>
    <w:p w14:paraId="2A1C6375" w14:textId="77777777" w:rsidR="00A5763E" w:rsidRPr="00CE427E" w:rsidRDefault="00A5763E" w:rsidP="006128F6">
      <w:pPr>
        <w:tabs>
          <w:tab w:val="clear" w:pos="567"/>
        </w:tabs>
        <w:autoSpaceDE w:val="0"/>
        <w:autoSpaceDN w:val="0"/>
        <w:adjustRightInd w:val="0"/>
        <w:spacing w:line="240" w:lineRule="auto"/>
        <w:rPr>
          <w:rFonts w:eastAsia="Calibri"/>
          <w:szCs w:val="22"/>
        </w:rPr>
      </w:pPr>
    </w:p>
    <w:p w14:paraId="1E2057D9" w14:textId="11C54440" w:rsidR="00A5763E" w:rsidRPr="00CE427E" w:rsidRDefault="00A5763E" w:rsidP="006E01AA">
      <w:pPr>
        <w:keepNext/>
        <w:tabs>
          <w:tab w:val="clear" w:pos="567"/>
        </w:tabs>
        <w:autoSpaceDE w:val="0"/>
        <w:autoSpaceDN w:val="0"/>
        <w:adjustRightInd w:val="0"/>
        <w:spacing w:line="240" w:lineRule="auto"/>
        <w:rPr>
          <w:rFonts w:eastAsia="Calibri"/>
          <w:szCs w:val="22"/>
        </w:rPr>
      </w:pPr>
      <w:r w:rsidRPr="00CE427E">
        <w:rPr>
          <w:rFonts w:eastAsia="Calibri"/>
          <w:szCs w:val="22"/>
        </w:rPr>
        <w:t>The efficacy results from study BO18225 are summaris</w:t>
      </w:r>
      <w:r w:rsidR="00A25EE8" w:rsidRPr="00CE427E">
        <w:rPr>
          <w:rFonts w:eastAsia="Calibri"/>
          <w:szCs w:val="22"/>
        </w:rPr>
        <w:t xml:space="preserve">ed in </w:t>
      </w:r>
      <w:r w:rsidR="007519ED" w:rsidRPr="00CE427E">
        <w:rPr>
          <w:rFonts w:eastAsia="Calibri"/>
          <w:szCs w:val="22"/>
        </w:rPr>
        <w:t>t</w:t>
      </w:r>
      <w:r w:rsidR="00A25EE8" w:rsidRPr="00CE427E">
        <w:rPr>
          <w:rFonts w:eastAsia="Calibri"/>
          <w:szCs w:val="22"/>
        </w:rPr>
        <w:t>able </w:t>
      </w:r>
      <w:r w:rsidRPr="00CE427E">
        <w:rPr>
          <w:rFonts w:eastAsia="Calibri"/>
          <w:szCs w:val="22"/>
        </w:rPr>
        <w:t>13:</w:t>
      </w:r>
    </w:p>
    <w:p w14:paraId="59D6D93A" w14:textId="77777777" w:rsidR="00A5763E" w:rsidRPr="00CE427E" w:rsidRDefault="00A5763E" w:rsidP="006E01AA">
      <w:pPr>
        <w:keepNext/>
        <w:tabs>
          <w:tab w:val="clear" w:pos="567"/>
        </w:tabs>
        <w:autoSpaceDE w:val="0"/>
        <w:autoSpaceDN w:val="0"/>
        <w:adjustRightInd w:val="0"/>
        <w:spacing w:line="240" w:lineRule="auto"/>
        <w:rPr>
          <w:rFonts w:eastAsia="Calibri"/>
          <w:szCs w:val="22"/>
        </w:rPr>
      </w:pPr>
    </w:p>
    <w:p w14:paraId="22586528" w14:textId="77777777" w:rsidR="00A5763E" w:rsidRPr="00CE427E" w:rsidRDefault="00A5763E" w:rsidP="00801B3F">
      <w:pPr>
        <w:keepNext/>
        <w:keepLines/>
        <w:tabs>
          <w:tab w:val="clear" w:pos="567"/>
        </w:tabs>
        <w:autoSpaceDE w:val="0"/>
        <w:autoSpaceDN w:val="0"/>
        <w:adjustRightInd w:val="0"/>
        <w:spacing w:line="240" w:lineRule="auto"/>
        <w:rPr>
          <w:rFonts w:eastAsia="Calibri"/>
          <w:b/>
          <w:szCs w:val="22"/>
        </w:rPr>
      </w:pPr>
      <w:r w:rsidRPr="00CE427E">
        <w:rPr>
          <w:rFonts w:eastAsia="Calibri"/>
          <w:b/>
          <w:szCs w:val="22"/>
        </w:rPr>
        <w:t>Table 13 Efficacy results from BO18225</w:t>
      </w:r>
    </w:p>
    <w:p w14:paraId="342D7644" w14:textId="77777777" w:rsidR="00A5763E" w:rsidRPr="00CE427E" w:rsidRDefault="00A5763E" w:rsidP="00801B3F">
      <w:pPr>
        <w:keepNext/>
        <w:keepLines/>
        <w:tabs>
          <w:tab w:val="clear" w:pos="567"/>
        </w:tabs>
        <w:autoSpaceDE w:val="0"/>
        <w:autoSpaceDN w:val="0"/>
        <w:adjustRightInd w:val="0"/>
        <w:spacing w:line="240" w:lineRule="auto"/>
        <w:rPr>
          <w:rFonts w:eastAsia="Calibri"/>
          <w:szCs w:val="22"/>
        </w:rPr>
      </w:pP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1134"/>
        <w:gridCol w:w="1134"/>
        <w:gridCol w:w="1842"/>
        <w:gridCol w:w="1560"/>
      </w:tblGrid>
      <w:tr w:rsidR="00703123" w:rsidRPr="006128F6" w14:paraId="2FB821F7" w14:textId="77777777" w:rsidTr="000840CF">
        <w:trPr>
          <w:trHeight w:val="610"/>
          <w:tblHeader/>
        </w:trPr>
        <w:tc>
          <w:tcPr>
            <w:tcW w:w="3276" w:type="dxa"/>
            <w:shd w:val="clear" w:color="auto" w:fill="auto"/>
            <w:noWrap/>
            <w:hideMark/>
          </w:tcPr>
          <w:p w14:paraId="4F1ED429" w14:textId="77777777" w:rsidR="00703123" w:rsidRPr="006128F6" w:rsidRDefault="00703123" w:rsidP="00801B3F">
            <w:pPr>
              <w:keepNext/>
              <w:keepLines/>
              <w:tabs>
                <w:tab w:val="clear" w:pos="567"/>
              </w:tabs>
              <w:spacing w:line="240" w:lineRule="auto"/>
              <w:jc w:val="center"/>
              <w:rPr>
                <w:b/>
                <w:color w:val="000000"/>
                <w:szCs w:val="22"/>
                <w:lang w:eastAsia="en-GB"/>
              </w:rPr>
            </w:pPr>
            <w:r w:rsidRPr="006128F6">
              <w:rPr>
                <w:b/>
                <w:color w:val="000000"/>
                <w:szCs w:val="22"/>
                <w:lang w:eastAsia="en-GB"/>
              </w:rPr>
              <w:t>Parameter</w:t>
            </w:r>
          </w:p>
        </w:tc>
        <w:tc>
          <w:tcPr>
            <w:tcW w:w="1134" w:type="dxa"/>
            <w:shd w:val="clear" w:color="auto" w:fill="auto"/>
            <w:noWrap/>
            <w:hideMark/>
          </w:tcPr>
          <w:p w14:paraId="6CBE1158" w14:textId="77777777" w:rsidR="00703123" w:rsidRPr="006128F6" w:rsidRDefault="00703123" w:rsidP="00801B3F">
            <w:pPr>
              <w:keepNext/>
              <w:keepLines/>
              <w:tabs>
                <w:tab w:val="clear" w:pos="567"/>
              </w:tabs>
              <w:spacing w:line="240" w:lineRule="auto"/>
              <w:jc w:val="center"/>
              <w:rPr>
                <w:b/>
                <w:color w:val="000000"/>
                <w:szCs w:val="22"/>
                <w:lang w:eastAsia="en-GB"/>
              </w:rPr>
            </w:pPr>
            <w:r w:rsidRPr="006128F6">
              <w:rPr>
                <w:b/>
                <w:color w:val="000000"/>
                <w:szCs w:val="22"/>
                <w:lang w:eastAsia="en-GB"/>
              </w:rPr>
              <w:t>FP</w:t>
            </w:r>
          </w:p>
          <w:p w14:paraId="52AC3EC0" w14:textId="77777777" w:rsidR="00703123" w:rsidRPr="006128F6" w:rsidRDefault="00703123" w:rsidP="00801B3F">
            <w:pPr>
              <w:keepNext/>
              <w:keepLines/>
              <w:spacing w:line="240" w:lineRule="auto"/>
              <w:jc w:val="center"/>
              <w:rPr>
                <w:b/>
                <w:color w:val="000000"/>
                <w:szCs w:val="22"/>
                <w:lang w:eastAsia="en-GB"/>
              </w:rPr>
            </w:pPr>
            <w:r w:rsidRPr="006128F6">
              <w:rPr>
                <w:b/>
                <w:color w:val="000000"/>
                <w:szCs w:val="22"/>
                <w:lang w:eastAsia="en-GB"/>
              </w:rPr>
              <w:t>N = 290</w:t>
            </w:r>
          </w:p>
        </w:tc>
        <w:tc>
          <w:tcPr>
            <w:tcW w:w="1134" w:type="dxa"/>
            <w:shd w:val="clear" w:color="auto" w:fill="auto"/>
            <w:noWrap/>
            <w:hideMark/>
          </w:tcPr>
          <w:p w14:paraId="34F0273D" w14:textId="13A0ED24" w:rsidR="00703123" w:rsidRPr="006128F6" w:rsidRDefault="00703123" w:rsidP="00801B3F">
            <w:pPr>
              <w:keepNext/>
              <w:keepLines/>
              <w:tabs>
                <w:tab w:val="clear" w:pos="567"/>
              </w:tabs>
              <w:spacing w:line="240" w:lineRule="auto"/>
              <w:jc w:val="center"/>
              <w:rPr>
                <w:b/>
                <w:color w:val="000000"/>
                <w:szCs w:val="22"/>
                <w:lang w:eastAsia="en-GB"/>
              </w:rPr>
            </w:pPr>
            <w:r w:rsidRPr="006128F6">
              <w:rPr>
                <w:b/>
                <w:color w:val="000000"/>
                <w:szCs w:val="22"/>
                <w:lang w:eastAsia="en-GB"/>
              </w:rPr>
              <w:t>FP +</w:t>
            </w:r>
            <w:r w:rsidR="007E5AE6" w:rsidRPr="006128F6">
              <w:rPr>
                <w:b/>
                <w:color w:val="000000"/>
                <w:szCs w:val="22"/>
                <w:lang w:eastAsia="en-GB"/>
              </w:rPr>
              <w:t xml:space="preserve"> </w:t>
            </w:r>
            <w:r w:rsidRPr="006128F6">
              <w:rPr>
                <w:b/>
                <w:color w:val="000000"/>
                <w:szCs w:val="22"/>
                <w:lang w:eastAsia="en-GB"/>
              </w:rPr>
              <w:t>H</w:t>
            </w:r>
          </w:p>
          <w:p w14:paraId="7C1E20AE" w14:textId="77777777" w:rsidR="00703123" w:rsidRPr="006128F6" w:rsidRDefault="00703123" w:rsidP="00801B3F">
            <w:pPr>
              <w:keepNext/>
              <w:keepLines/>
              <w:spacing w:line="240" w:lineRule="auto"/>
              <w:jc w:val="center"/>
              <w:rPr>
                <w:b/>
                <w:color w:val="000000"/>
                <w:szCs w:val="22"/>
                <w:lang w:eastAsia="en-GB"/>
              </w:rPr>
            </w:pPr>
            <w:r w:rsidRPr="006128F6">
              <w:rPr>
                <w:b/>
                <w:color w:val="000000"/>
                <w:szCs w:val="22"/>
                <w:lang w:eastAsia="en-GB"/>
              </w:rPr>
              <w:t>N = 294</w:t>
            </w:r>
          </w:p>
        </w:tc>
        <w:tc>
          <w:tcPr>
            <w:tcW w:w="1842" w:type="dxa"/>
            <w:shd w:val="clear" w:color="auto" w:fill="auto"/>
            <w:noWrap/>
            <w:hideMark/>
          </w:tcPr>
          <w:p w14:paraId="2AD8A507" w14:textId="0F1C87A4" w:rsidR="00703123" w:rsidRPr="006128F6" w:rsidRDefault="00703123" w:rsidP="00801B3F">
            <w:pPr>
              <w:keepNext/>
              <w:keepLines/>
              <w:tabs>
                <w:tab w:val="clear" w:pos="567"/>
              </w:tabs>
              <w:spacing w:line="240" w:lineRule="auto"/>
              <w:jc w:val="center"/>
              <w:rPr>
                <w:b/>
                <w:color w:val="000000"/>
                <w:szCs w:val="22"/>
                <w:lang w:eastAsia="en-GB"/>
              </w:rPr>
            </w:pPr>
            <w:r w:rsidRPr="006128F6">
              <w:rPr>
                <w:b/>
                <w:color w:val="000000"/>
                <w:szCs w:val="22"/>
                <w:lang w:eastAsia="en-GB"/>
              </w:rPr>
              <w:t>HR (95</w:t>
            </w:r>
            <w:r w:rsidR="000840CF" w:rsidRPr="006128F6">
              <w:rPr>
                <w:b/>
                <w:color w:val="000000"/>
                <w:szCs w:val="22"/>
                <w:lang w:eastAsia="en-GB"/>
              </w:rPr>
              <w:t>%</w:t>
            </w:r>
            <w:r w:rsidRPr="006128F6">
              <w:rPr>
                <w:b/>
                <w:color w:val="000000"/>
                <w:szCs w:val="22"/>
                <w:lang w:eastAsia="en-GB"/>
              </w:rPr>
              <w:t xml:space="preserve"> CI)</w:t>
            </w:r>
          </w:p>
        </w:tc>
        <w:tc>
          <w:tcPr>
            <w:tcW w:w="1560" w:type="dxa"/>
            <w:shd w:val="clear" w:color="auto" w:fill="auto"/>
            <w:noWrap/>
            <w:hideMark/>
          </w:tcPr>
          <w:p w14:paraId="543FD416" w14:textId="77777777" w:rsidR="00703123" w:rsidRPr="006128F6" w:rsidRDefault="00703123" w:rsidP="00801B3F">
            <w:pPr>
              <w:keepNext/>
              <w:keepLines/>
              <w:tabs>
                <w:tab w:val="clear" w:pos="567"/>
              </w:tabs>
              <w:spacing w:line="240" w:lineRule="auto"/>
              <w:jc w:val="center"/>
              <w:rPr>
                <w:b/>
                <w:color w:val="000000"/>
                <w:szCs w:val="22"/>
                <w:lang w:eastAsia="en-GB"/>
              </w:rPr>
            </w:pPr>
            <w:r w:rsidRPr="006128F6">
              <w:rPr>
                <w:b/>
                <w:color w:val="000000"/>
                <w:szCs w:val="22"/>
                <w:lang w:eastAsia="en-GB"/>
              </w:rPr>
              <w:t>p</w:t>
            </w:r>
            <w:r w:rsidRPr="006128F6">
              <w:rPr>
                <w:b/>
                <w:color w:val="000000"/>
                <w:szCs w:val="22"/>
                <w:lang w:eastAsia="en-GB"/>
              </w:rPr>
              <w:noBreakHyphen/>
              <w:t>value</w:t>
            </w:r>
          </w:p>
        </w:tc>
      </w:tr>
      <w:tr w:rsidR="00703123" w:rsidRPr="006128F6" w14:paraId="72F25DD3" w14:textId="77777777" w:rsidTr="00703123">
        <w:trPr>
          <w:trHeight w:val="300"/>
        </w:trPr>
        <w:tc>
          <w:tcPr>
            <w:tcW w:w="3276" w:type="dxa"/>
            <w:shd w:val="clear" w:color="auto" w:fill="auto"/>
            <w:noWrap/>
            <w:vAlign w:val="bottom"/>
            <w:hideMark/>
          </w:tcPr>
          <w:p w14:paraId="45FBCFA1" w14:textId="77777777" w:rsidR="00703123" w:rsidRPr="006128F6" w:rsidRDefault="00703123" w:rsidP="00801B3F">
            <w:pPr>
              <w:keepNext/>
              <w:keepLines/>
              <w:tabs>
                <w:tab w:val="clear" w:pos="567"/>
              </w:tabs>
              <w:spacing w:line="240" w:lineRule="auto"/>
              <w:rPr>
                <w:color w:val="000000"/>
                <w:szCs w:val="22"/>
                <w:lang w:eastAsia="en-GB"/>
              </w:rPr>
            </w:pPr>
            <w:r w:rsidRPr="006128F6">
              <w:rPr>
                <w:color w:val="000000"/>
                <w:szCs w:val="22"/>
                <w:lang w:eastAsia="en-GB"/>
              </w:rPr>
              <w:t xml:space="preserve">Overall </w:t>
            </w:r>
            <w:r w:rsidR="00E57B11" w:rsidRPr="006128F6">
              <w:rPr>
                <w:color w:val="000000"/>
                <w:szCs w:val="22"/>
                <w:lang w:eastAsia="en-GB"/>
              </w:rPr>
              <w:t>s</w:t>
            </w:r>
            <w:r w:rsidRPr="006128F6">
              <w:rPr>
                <w:color w:val="000000"/>
                <w:szCs w:val="22"/>
                <w:lang w:eastAsia="en-GB"/>
              </w:rPr>
              <w:t xml:space="preserve">urvival, </w:t>
            </w:r>
            <w:r w:rsidR="00E57B11" w:rsidRPr="006128F6">
              <w:rPr>
                <w:color w:val="000000"/>
                <w:szCs w:val="22"/>
                <w:lang w:eastAsia="en-GB"/>
              </w:rPr>
              <w:t>m</w:t>
            </w:r>
            <w:r w:rsidRPr="006128F6">
              <w:rPr>
                <w:color w:val="000000"/>
                <w:szCs w:val="22"/>
                <w:lang w:eastAsia="en-GB"/>
              </w:rPr>
              <w:t xml:space="preserve">edian months </w:t>
            </w:r>
          </w:p>
        </w:tc>
        <w:tc>
          <w:tcPr>
            <w:tcW w:w="1134" w:type="dxa"/>
            <w:shd w:val="clear" w:color="auto" w:fill="auto"/>
            <w:noWrap/>
            <w:hideMark/>
          </w:tcPr>
          <w:p w14:paraId="68593797" w14:textId="77777777" w:rsidR="00703123" w:rsidRPr="006128F6" w:rsidRDefault="00703123" w:rsidP="00801B3F">
            <w:pPr>
              <w:keepNext/>
              <w:keepLines/>
              <w:tabs>
                <w:tab w:val="clear" w:pos="567"/>
              </w:tabs>
              <w:spacing w:line="240" w:lineRule="auto"/>
              <w:jc w:val="center"/>
              <w:rPr>
                <w:color w:val="000000"/>
                <w:szCs w:val="22"/>
                <w:lang w:eastAsia="en-GB"/>
              </w:rPr>
            </w:pPr>
            <w:r w:rsidRPr="006128F6">
              <w:rPr>
                <w:color w:val="000000"/>
                <w:szCs w:val="22"/>
                <w:lang w:eastAsia="en-GB"/>
              </w:rPr>
              <w:t>11.1</w:t>
            </w:r>
          </w:p>
        </w:tc>
        <w:tc>
          <w:tcPr>
            <w:tcW w:w="1134" w:type="dxa"/>
            <w:shd w:val="clear" w:color="auto" w:fill="auto"/>
            <w:noWrap/>
            <w:hideMark/>
          </w:tcPr>
          <w:p w14:paraId="41B68F78" w14:textId="77777777" w:rsidR="00703123" w:rsidRPr="006128F6" w:rsidRDefault="00703123" w:rsidP="00801B3F">
            <w:pPr>
              <w:keepNext/>
              <w:keepLines/>
              <w:tabs>
                <w:tab w:val="clear" w:pos="567"/>
              </w:tabs>
              <w:spacing w:line="240" w:lineRule="auto"/>
              <w:jc w:val="center"/>
              <w:rPr>
                <w:color w:val="000000"/>
                <w:szCs w:val="22"/>
                <w:lang w:eastAsia="en-GB"/>
              </w:rPr>
            </w:pPr>
            <w:r w:rsidRPr="006128F6">
              <w:rPr>
                <w:color w:val="000000"/>
                <w:szCs w:val="22"/>
                <w:lang w:eastAsia="en-GB"/>
              </w:rPr>
              <w:t>13.8</w:t>
            </w:r>
          </w:p>
        </w:tc>
        <w:tc>
          <w:tcPr>
            <w:tcW w:w="1842" w:type="dxa"/>
            <w:shd w:val="clear" w:color="auto" w:fill="auto"/>
            <w:noWrap/>
            <w:hideMark/>
          </w:tcPr>
          <w:p w14:paraId="13AAD2DA" w14:textId="77777777" w:rsidR="00703123" w:rsidRPr="006128F6" w:rsidRDefault="00703123" w:rsidP="00801B3F">
            <w:pPr>
              <w:keepNext/>
              <w:keepLines/>
              <w:tabs>
                <w:tab w:val="clear" w:pos="567"/>
              </w:tabs>
              <w:spacing w:line="240" w:lineRule="auto"/>
              <w:jc w:val="center"/>
              <w:rPr>
                <w:color w:val="000000"/>
                <w:szCs w:val="22"/>
                <w:lang w:eastAsia="en-GB"/>
              </w:rPr>
            </w:pPr>
            <w:r w:rsidRPr="006128F6">
              <w:rPr>
                <w:color w:val="000000"/>
                <w:szCs w:val="22"/>
                <w:lang w:eastAsia="en-GB"/>
              </w:rPr>
              <w:t>0.74 (0.60-0.91)</w:t>
            </w:r>
          </w:p>
        </w:tc>
        <w:tc>
          <w:tcPr>
            <w:tcW w:w="1560" w:type="dxa"/>
            <w:shd w:val="clear" w:color="auto" w:fill="auto"/>
            <w:noWrap/>
            <w:hideMark/>
          </w:tcPr>
          <w:p w14:paraId="1B67AA06" w14:textId="77777777" w:rsidR="00703123" w:rsidRPr="006128F6" w:rsidRDefault="00703123" w:rsidP="00801B3F">
            <w:pPr>
              <w:keepNext/>
              <w:keepLines/>
              <w:tabs>
                <w:tab w:val="clear" w:pos="567"/>
              </w:tabs>
              <w:spacing w:line="240" w:lineRule="auto"/>
              <w:jc w:val="center"/>
              <w:rPr>
                <w:color w:val="000000"/>
                <w:szCs w:val="22"/>
                <w:lang w:eastAsia="en-GB"/>
              </w:rPr>
            </w:pPr>
            <w:r w:rsidRPr="006128F6">
              <w:rPr>
                <w:color w:val="000000"/>
                <w:szCs w:val="22"/>
                <w:lang w:eastAsia="en-GB"/>
              </w:rPr>
              <w:t>0.0046</w:t>
            </w:r>
          </w:p>
        </w:tc>
      </w:tr>
      <w:tr w:rsidR="00703123" w:rsidRPr="006128F6" w14:paraId="46391780" w14:textId="77777777" w:rsidTr="00703123">
        <w:trPr>
          <w:trHeight w:val="300"/>
        </w:trPr>
        <w:tc>
          <w:tcPr>
            <w:tcW w:w="3276" w:type="dxa"/>
            <w:shd w:val="clear" w:color="auto" w:fill="auto"/>
            <w:noWrap/>
            <w:vAlign w:val="bottom"/>
            <w:hideMark/>
          </w:tcPr>
          <w:p w14:paraId="570669F4" w14:textId="77777777" w:rsidR="00703123" w:rsidRPr="006128F6" w:rsidRDefault="00703123" w:rsidP="00801B3F">
            <w:pPr>
              <w:keepNext/>
              <w:keepLines/>
              <w:tabs>
                <w:tab w:val="clear" w:pos="567"/>
              </w:tabs>
              <w:spacing w:line="240" w:lineRule="auto"/>
              <w:rPr>
                <w:color w:val="000000"/>
                <w:szCs w:val="22"/>
                <w:lang w:eastAsia="en-GB"/>
              </w:rPr>
            </w:pPr>
            <w:r w:rsidRPr="006128F6">
              <w:rPr>
                <w:color w:val="000000"/>
                <w:szCs w:val="22"/>
                <w:lang w:eastAsia="en-GB"/>
              </w:rPr>
              <w:t>Progression</w:t>
            </w:r>
            <w:r w:rsidRPr="006128F6">
              <w:rPr>
                <w:color w:val="000000"/>
                <w:szCs w:val="22"/>
                <w:lang w:eastAsia="en-GB"/>
              </w:rPr>
              <w:noBreakHyphen/>
            </w:r>
            <w:r w:rsidR="00E57B11" w:rsidRPr="006128F6">
              <w:rPr>
                <w:color w:val="000000"/>
                <w:szCs w:val="22"/>
                <w:lang w:eastAsia="en-GB"/>
              </w:rPr>
              <w:t>f</w:t>
            </w:r>
            <w:r w:rsidRPr="006128F6">
              <w:rPr>
                <w:color w:val="000000"/>
                <w:szCs w:val="22"/>
                <w:lang w:eastAsia="en-GB"/>
              </w:rPr>
              <w:t xml:space="preserve">ree </w:t>
            </w:r>
            <w:r w:rsidR="00E57B11" w:rsidRPr="006128F6">
              <w:rPr>
                <w:color w:val="000000"/>
                <w:szCs w:val="22"/>
                <w:lang w:eastAsia="en-GB"/>
              </w:rPr>
              <w:t>s</w:t>
            </w:r>
            <w:r w:rsidRPr="006128F6">
              <w:rPr>
                <w:color w:val="000000"/>
                <w:szCs w:val="22"/>
                <w:lang w:eastAsia="en-GB"/>
              </w:rPr>
              <w:t>urvival, Median months</w:t>
            </w:r>
          </w:p>
        </w:tc>
        <w:tc>
          <w:tcPr>
            <w:tcW w:w="1134" w:type="dxa"/>
            <w:shd w:val="clear" w:color="auto" w:fill="auto"/>
            <w:noWrap/>
            <w:hideMark/>
          </w:tcPr>
          <w:p w14:paraId="2C1B8AB0" w14:textId="77777777" w:rsidR="00703123" w:rsidRPr="006128F6" w:rsidRDefault="00703123" w:rsidP="00801B3F">
            <w:pPr>
              <w:keepNext/>
              <w:keepLines/>
              <w:tabs>
                <w:tab w:val="clear" w:pos="567"/>
              </w:tabs>
              <w:spacing w:line="240" w:lineRule="auto"/>
              <w:jc w:val="center"/>
              <w:rPr>
                <w:color w:val="000000"/>
                <w:szCs w:val="22"/>
                <w:lang w:eastAsia="en-GB"/>
              </w:rPr>
            </w:pPr>
            <w:r w:rsidRPr="006128F6">
              <w:rPr>
                <w:color w:val="000000"/>
                <w:szCs w:val="22"/>
                <w:lang w:eastAsia="en-GB"/>
              </w:rPr>
              <w:t>5.5</w:t>
            </w:r>
          </w:p>
        </w:tc>
        <w:tc>
          <w:tcPr>
            <w:tcW w:w="1134" w:type="dxa"/>
            <w:shd w:val="clear" w:color="auto" w:fill="auto"/>
            <w:noWrap/>
            <w:hideMark/>
          </w:tcPr>
          <w:p w14:paraId="37A43BA2" w14:textId="77777777" w:rsidR="00703123" w:rsidRPr="006128F6" w:rsidRDefault="00703123" w:rsidP="00801B3F">
            <w:pPr>
              <w:keepNext/>
              <w:keepLines/>
              <w:tabs>
                <w:tab w:val="clear" w:pos="567"/>
              </w:tabs>
              <w:spacing w:line="240" w:lineRule="auto"/>
              <w:jc w:val="center"/>
              <w:rPr>
                <w:color w:val="000000"/>
                <w:szCs w:val="22"/>
                <w:lang w:eastAsia="en-GB"/>
              </w:rPr>
            </w:pPr>
            <w:r w:rsidRPr="006128F6">
              <w:rPr>
                <w:color w:val="000000"/>
                <w:szCs w:val="22"/>
                <w:lang w:eastAsia="en-GB"/>
              </w:rPr>
              <w:t>6.7</w:t>
            </w:r>
          </w:p>
        </w:tc>
        <w:tc>
          <w:tcPr>
            <w:tcW w:w="1842" w:type="dxa"/>
            <w:shd w:val="clear" w:color="auto" w:fill="auto"/>
            <w:noWrap/>
            <w:hideMark/>
          </w:tcPr>
          <w:p w14:paraId="32908A72" w14:textId="77777777" w:rsidR="00703123" w:rsidRPr="006128F6" w:rsidRDefault="00703123" w:rsidP="00801B3F">
            <w:pPr>
              <w:keepNext/>
              <w:keepLines/>
              <w:tabs>
                <w:tab w:val="clear" w:pos="567"/>
              </w:tabs>
              <w:spacing w:line="240" w:lineRule="auto"/>
              <w:jc w:val="center"/>
              <w:rPr>
                <w:color w:val="000000"/>
                <w:szCs w:val="22"/>
                <w:lang w:eastAsia="en-GB"/>
              </w:rPr>
            </w:pPr>
            <w:r w:rsidRPr="006128F6">
              <w:rPr>
                <w:color w:val="000000"/>
                <w:szCs w:val="22"/>
                <w:lang w:eastAsia="en-GB"/>
              </w:rPr>
              <w:t>0.71 (0.59-0.85)</w:t>
            </w:r>
          </w:p>
        </w:tc>
        <w:tc>
          <w:tcPr>
            <w:tcW w:w="1560" w:type="dxa"/>
            <w:shd w:val="clear" w:color="auto" w:fill="auto"/>
            <w:noWrap/>
            <w:hideMark/>
          </w:tcPr>
          <w:p w14:paraId="6E1C1406" w14:textId="77777777" w:rsidR="00703123" w:rsidRPr="006128F6" w:rsidRDefault="00703123" w:rsidP="00801B3F">
            <w:pPr>
              <w:keepNext/>
              <w:keepLines/>
              <w:tabs>
                <w:tab w:val="clear" w:pos="567"/>
              </w:tabs>
              <w:spacing w:line="240" w:lineRule="auto"/>
              <w:jc w:val="center"/>
              <w:rPr>
                <w:color w:val="000000"/>
                <w:szCs w:val="22"/>
                <w:lang w:eastAsia="en-GB"/>
              </w:rPr>
            </w:pPr>
            <w:r w:rsidRPr="006128F6">
              <w:rPr>
                <w:color w:val="000000"/>
                <w:szCs w:val="22"/>
                <w:lang w:eastAsia="en-GB"/>
              </w:rPr>
              <w:t>0.0002</w:t>
            </w:r>
          </w:p>
        </w:tc>
      </w:tr>
      <w:tr w:rsidR="00703123" w:rsidRPr="006128F6" w14:paraId="36BAE7CD" w14:textId="77777777" w:rsidTr="00703123">
        <w:trPr>
          <w:trHeight w:val="300"/>
        </w:trPr>
        <w:tc>
          <w:tcPr>
            <w:tcW w:w="3276" w:type="dxa"/>
            <w:shd w:val="clear" w:color="auto" w:fill="auto"/>
            <w:noWrap/>
            <w:vAlign w:val="bottom"/>
            <w:hideMark/>
          </w:tcPr>
          <w:p w14:paraId="174763F1" w14:textId="77777777" w:rsidR="00703123" w:rsidRPr="006128F6" w:rsidRDefault="00703123" w:rsidP="00801B3F">
            <w:pPr>
              <w:keepNext/>
              <w:keepLines/>
              <w:tabs>
                <w:tab w:val="clear" w:pos="567"/>
              </w:tabs>
              <w:spacing w:line="240" w:lineRule="auto"/>
              <w:rPr>
                <w:color w:val="000000"/>
                <w:szCs w:val="22"/>
                <w:lang w:eastAsia="en-GB"/>
              </w:rPr>
            </w:pPr>
            <w:r w:rsidRPr="006128F6">
              <w:rPr>
                <w:color w:val="000000"/>
                <w:szCs w:val="22"/>
                <w:lang w:eastAsia="en-GB"/>
              </w:rPr>
              <w:t xml:space="preserve">Time to </w:t>
            </w:r>
            <w:r w:rsidR="00E57B11" w:rsidRPr="006128F6">
              <w:rPr>
                <w:color w:val="000000"/>
                <w:szCs w:val="22"/>
                <w:lang w:eastAsia="en-GB"/>
              </w:rPr>
              <w:t>d</w:t>
            </w:r>
            <w:r w:rsidRPr="006128F6">
              <w:rPr>
                <w:color w:val="000000"/>
                <w:szCs w:val="22"/>
                <w:lang w:eastAsia="en-GB"/>
              </w:rPr>
              <w:t xml:space="preserve">isease </w:t>
            </w:r>
            <w:r w:rsidR="00E57B11" w:rsidRPr="006128F6">
              <w:rPr>
                <w:color w:val="000000"/>
                <w:szCs w:val="22"/>
                <w:lang w:eastAsia="en-GB"/>
              </w:rPr>
              <w:t>p</w:t>
            </w:r>
            <w:r w:rsidRPr="006128F6">
              <w:rPr>
                <w:color w:val="000000"/>
                <w:szCs w:val="22"/>
                <w:lang w:eastAsia="en-GB"/>
              </w:rPr>
              <w:t>rogression, Median months</w:t>
            </w:r>
          </w:p>
        </w:tc>
        <w:tc>
          <w:tcPr>
            <w:tcW w:w="1134" w:type="dxa"/>
            <w:shd w:val="clear" w:color="auto" w:fill="auto"/>
            <w:noWrap/>
            <w:hideMark/>
          </w:tcPr>
          <w:p w14:paraId="28D1D13F" w14:textId="77777777" w:rsidR="00703123" w:rsidRPr="006128F6" w:rsidRDefault="00703123" w:rsidP="00801B3F">
            <w:pPr>
              <w:keepNext/>
              <w:keepLines/>
              <w:tabs>
                <w:tab w:val="clear" w:pos="567"/>
              </w:tabs>
              <w:spacing w:line="240" w:lineRule="auto"/>
              <w:jc w:val="center"/>
              <w:rPr>
                <w:color w:val="000000"/>
                <w:szCs w:val="22"/>
                <w:lang w:eastAsia="en-GB"/>
              </w:rPr>
            </w:pPr>
            <w:r w:rsidRPr="006128F6">
              <w:rPr>
                <w:color w:val="000000"/>
                <w:szCs w:val="22"/>
                <w:lang w:eastAsia="en-GB"/>
              </w:rPr>
              <w:t>5.6</w:t>
            </w:r>
          </w:p>
        </w:tc>
        <w:tc>
          <w:tcPr>
            <w:tcW w:w="1134" w:type="dxa"/>
            <w:shd w:val="clear" w:color="auto" w:fill="auto"/>
            <w:noWrap/>
            <w:hideMark/>
          </w:tcPr>
          <w:p w14:paraId="14551650" w14:textId="77777777" w:rsidR="00703123" w:rsidRPr="006128F6" w:rsidRDefault="00703123" w:rsidP="00801B3F">
            <w:pPr>
              <w:keepNext/>
              <w:keepLines/>
              <w:tabs>
                <w:tab w:val="clear" w:pos="567"/>
              </w:tabs>
              <w:spacing w:line="240" w:lineRule="auto"/>
              <w:jc w:val="center"/>
              <w:rPr>
                <w:color w:val="000000"/>
                <w:szCs w:val="22"/>
                <w:lang w:eastAsia="en-GB"/>
              </w:rPr>
            </w:pPr>
            <w:r w:rsidRPr="006128F6">
              <w:rPr>
                <w:color w:val="000000"/>
                <w:szCs w:val="22"/>
                <w:lang w:eastAsia="en-GB"/>
              </w:rPr>
              <w:t>7.1</w:t>
            </w:r>
          </w:p>
        </w:tc>
        <w:tc>
          <w:tcPr>
            <w:tcW w:w="1842" w:type="dxa"/>
            <w:shd w:val="clear" w:color="auto" w:fill="auto"/>
            <w:noWrap/>
            <w:hideMark/>
          </w:tcPr>
          <w:p w14:paraId="1F45A5EC" w14:textId="77777777" w:rsidR="00703123" w:rsidRPr="006128F6" w:rsidRDefault="00703123" w:rsidP="00801B3F">
            <w:pPr>
              <w:keepNext/>
              <w:keepLines/>
              <w:tabs>
                <w:tab w:val="clear" w:pos="567"/>
              </w:tabs>
              <w:spacing w:line="240" w:lineRule="auto"/>
              <w:jc w:val="center"/>
              <w:rPr>
                <w:color w:val="000000"/>
                <w:szCs w:val="22"/>
                <w:lang w:eastAsia="en-GB"/>
              </w:rPr>
            </w:pPr>
            <w:r w:rsidRPr="006128F6">
              <w:rPr>
                <w:color w:val="000000"/>
                <w:szCs w:val="22"/>
                <w:lang w:eastAsia="en-GB"/>
              </w:rPr>
              <w:t>0.70 (0.58-0.85)</w:t>
            </w:r>
          </w:p>
        </w:tc>
        <w:tc>
          <w:tcPr>
            <w:tcW w:w="1560" w:type="dxa"/>
            <w:shd w:val="clear" w:color="auto" w:fill="auto"/>
            <w:noWrap/>
            <w:hideMark/>
          </w:tcPr>
          <w:p w14:paraId="4DFB24AD" w14:textId="77777777" w:rsidR="00703123" w:rsidRPr="006128F6" w:rsidRDefault="00703123" w:rsidP="00801B3F">
            <w:pPr>
              <w:keepNext/>
              <w:keepLines/>
              <w:tabs>
                <w:tab w:val="clear" w:pos="567"/>
              </w:tabs>
              <w:spacing w:line="240" w:lineRule="auto"/>
              <w:jc w:val="center"/>
              <w:rPr>
                <w:color w:val="000000"/>
                <w:szCs w:val="22"/>
                <w:lang w:eastAsia="en-GB"/>
              </w:rPr>
            </w:pPr>
            <w:r w:rsidRPr="006128F6">
              <w:rPr>
                <w:color w:val="000000"/>
                <w:szCs w:val="22"/>
                <w:lang w:eastAsia="en-GB"/>
              </w:rPr>
              <w:t>0.0003</w:t>
            </w:r>
          </w:p>
        </w:tc>
      </w:tr>
      <w:tr w:rsidR="00703123" w:rsidRPr="006128F6" w14:paraId="5660BE76" w14:textId="77777777" w:rsidTr="00703123">
        <w:trPr>
          <w:trHeight w:val="300"/>
        </w:trPr>
        <w:tc>
          <w:tcPr>
            <w:tcW w:w="3276" w:type="dxa"/>
            <w:shd w:val="clear" w:color="auto" w:fill="auto"/>
            <w:noWrap/>
            <w:vAlign w:val="bottom"/>
            <w:hideMark/>
          </w:tcPr>
          <w:p w14:paraId="3B5B6CFA" w14:textId="259C5B9D" w:rsidR="00703123" w:rsidRPr="006128F6" w:rsidRDefault="00703123" w:rsidP="006128F6">
            <w:pPr>
              <w:tabs>
                <w:tab w:val="clear" w:pos="567"/>
              </w:tabs>
              <w:spacing w:line="240" w:lineRule="auto"/>
              <w:rPr>
                <w:color w:val="000000"/>
                <w:szCs w:val="22"/>
                <w:lang w:eastAsia="en-GB"/>
              </w:rPr>
            </w:pPr>
            <w:r w:rsidRPr="006128F6">
              <w:rPr>
                <w:color w:val="000000"/>
                <w:szCs w:val="22"/>
                <w:lang w:eastAsia="en-GB"/>
              </w:rPr>
              <w:t xml:space="preserve">Overall </w:t>
            </w:r>
            <w:r w:rsidR="00E57B11" w:rsidRPr="006128F6">
              <w:rPr>
                <w:color w:val="000000"/>
                <w:szCs w:val="22"/>
                <w:lang w:eastAsia="en-GB"/>
              </w:rPr>
              <w:t>r</w:t>
            </w:r>
            <w:r w:rsidRPr="006128F6">
              <w:rPr>
                <w:color w:val="000000"/>
                <w:szCs w:val="22"/>
                <w:lang w:eastAsia="en-GB"/>
              </w:rPr>
              <w:t xml:space="preserve">esponse </w:t>
            </w:r>
            <w:r w:rsidR="00E57B11" w:rsidRPr="006128F6">
              <w:rPr>
                <w:color w:val="000000"/>
                <w:szCs w:val="22"/>
                <w:lang w:eastAsia="en-GB"/>
              </w:rPr>
              <w:t>r</w:t>
            </w:r>
            <w:r w:rsidRPr="006128F6">
              <w:rPr>
                <w:color w:val="000000"/>
                <w:szCs w:val="22"/>
                <w:lang w:eastAsia="en-GB"/>
              </w:rPr>
              <w:t>ate,</w:t>
            </w:r>
            <w:r w:rsidR="000840CF" w:rsidRPr="006128F6">
              <w:rPr>
                <w:color w:val="000000"/>
                <w:szCs w:val="22"/>
                <w:lang w:eastAsia="en-GB"/>
              </w:rPr>
              <w:t>%</w:t>
            </w:r>
            <w:r w:rsidRPr="006128F6">
              <w:rPr>
                <w:color w:val="000000"/>
                <w:szCs w:val="22"/>
                <w:lang w:eastAsia="en-GB"/>
              </w:rPr>
              <w:t xml:space="preserve"> </w:t>
            </w:r>
          </w:p>
        </w:tc>
        <w:tc>
          <w:tcPr>
            <w:tcW w:w="1134" w:type="dxa"/>
            <w:shd w:val="clear" w:color="auto" w:fill="auto"/>
            <w:noWrap/>
            <w:hideMark/>
          </w:tcPr>
          <w:p w14:paraId="3D7093EE" w14:textId="37C32B21" w:rsidR="00703123" w:rsidRPr="006128F6" w:rsidRDefault="00703123" w:rsidP="006128F6">
            <w:pPr>
              <w:tabs>
                <w:tab w:val="clear" w:pos="567"/>
              </w:tabs>
              <w:spacing w:line="240" w:lineRule="auto"/>
              <w:jc w:val="center"/>
              <w:rPr>
                <w:color w:val="000000"/>
                <w:szCs w:val="22"/>
                <w:lang w:eastAsia="en-GB"/>
              </w:rPr>
            </w:pPr>
            <w:r w:rsidRPr="006128F6">
              <w:rPr>
                <w:color w:val="000000"/>
                <w:szCs w:val="22"/>
                <w:lang w:eastAsia="en-GB"/>
              </w:rPr>
              <w:t>34.5</w:t>
            </w:r>
            <w:r w:rsidR="000840CF" w:rsidRPr="006128F6">
              <w:rPr>
                <w:color w:val="000000"/>
                <w:szCs w:val="22"/>
                <w:lang w:eastAsia="en-GB"/>
              </w:rPr>
              <w:t>%</w:t>
            </w:r>
          </w:p>
        </w:tc>
        <w:tc>
          <w:tcPr>
            <w:tcW w:w="1134" w:type="dxa"/>
            <w:shd w:val="clear" w:color="auto" w:fill="auto"/>
            <w:noWrap/>
            <w:hideMark/>
          </w:tcPr>
          <w:p w14:paraId="22E7D486" w14:textId="05E139CC" w:rsidR="00703123" w:rsidRPr="006128F6" w:rsidRDefault="00703123" w:rsidP="006128F6">
            <w:pPr>
              <w:tabs>
                <w:tab w:val="clear" w:pos="567"/>
              </w:tabs>
              <w:spacing w:line="240" w:lineRule="auto"/>
              <w:jc w:val="center"/>
              <w:rPr>
                <w:color w:val="000000"/>
                <w:szCs w:val="22"/>
                <w:lang w:eastAsia="en-GB"/>
              </w:rPr>
            </w:pPr>
            <w:r w:rsidRPr="006128F6">
              <w:rPr>
                <w:color w:val="000000"/>
                <w:szCs w:val="22"/>
                <w:lang w:eastAsia="en-GB"/>
              </w:rPr>
              <w:t>47.3</w:t>
            </w:r>
            <w:r w:rsidR="000840CF" w:rsidRPr="006128F6">
              <w:rPr>
                <w:color w:val="000000"/>
                <w:szCs w:val="22"/>
                <w:lang w:eastAsia="en-GB"/>
              </w:rPr>
              <w:t>%</w:t>
            </w:r>
          </w:p>
        </w:tc>
        <w:tc>
          <w:tcPr>
            <w:tcW w:w="1842" w:type="dxa"/>
            <w:shd w:val="clear" w:color="auto" w:fill="auto"/>
            <w:noWrap/>
            <w:hideMark/>
          </w:tcPr>
          <w:p w14:paraId="32D0E1F6" w14:textId="77777777" w:rsidR="00703123" w:rsidRPr="006128F6" w:rsidRDefault="00703123" w:rsidP="006128F6">
            <w:pPr>
              <w:tabs>
                <w:tab w:val="clear" w:pos="567"/>
              </w:tabs>
              <w:spacing w:line="240" w:lineRule="auto"/>
              <w:jc w:val="center"/>
              <w:rPr>
                <w:color w:val="000000"/>
                <w:szCs w:val="22"/>
                <w:lang w:eastAsia="en-GB"/>
              </w:rPr>
            </w:pPr>
            <w:r w:rsidRPr="006128F6">
              <w:rPr>
                <w:color w:val="000000"/>
                <w:szCs w:val="22"/>
                <w:lang w:eastAsia="en-GB"/>
              </w:rPr>
              <w:t>1.70</w:t>
            </w:r>
            <w:r w:rsidR="00BA55FC" w:rsidRPr="006128F6">
              <w:rPr>
                <w:color w:val="000000"/>
                <w:szCs w:val="22"/>
                <w:vertAlign w:val="superscript"/>
                <w:lang w:eastAsia="en-GB"/>
              </w:rPr>
              <w:t>a</w:t>
            </w:r>
            <w:r w:rsidRPr="006128F6">
              <w:rPr>
                <w:color w:val="000000"/>
                <w:szCs w:val="22"/>
                <w:lang w:eastAsia="en-GB"/>
              </w:rPr>
              <w:t xml:space="preserve"> (1.22, 2.38)</w:t>
            </w:r>
          </w:p>
        </w:tc>
        <w:tc>
          <w:tcPr>
            <w:tcW w:w="1560" w:type="dxa"/>
            <w:shd w:val="clear" w:color="auto" w:fill="auto"/>
            <w:noWrap/>
            <w:hideMark/>
          </w:tcPr>
          <w:p w14:paraId="12796693" w14:textId="77777777" w:rsidR="00703123" w:rsidRPr="006128F6" w:rsidRDefault="00703123" w:rsidP="006128F6">
            <w:pPr>
              <w:tabs>
                <w:tab w:val="clear" w:pos="567"/>
              </w:tabs>
              <w:spacing w:line="240" w:lineRule="auto"/>
              <w:jc w:val="center"/>
              <w:rPr>
                <w:color w:val="000000"/>
                <w:szCs w:val="22"/>
                <w:lang w:eastAsia="en-GB"/>
              </w:rPr>
            </w:pPr>
            <w:r w:rsidRPr="006128F6">
              <w:rPr>
                <w:color w:val="000000"/>
                <w:szCs w:val="22"/>
                <w:lang w:eastAsia="en-GB"/>
              </w:rPr>
              <w:t>0.0017</w:t>
            </w:r>
          </w:p>
        </w:tc>
      </w:tr>
      <w:tr w:rsidR="00703123" w:rsidRPr="006128F6" w14:paraId="14D8CCD6" w14:textId="77777777" w:rsidTr="00703123">
        <w:trPr>
          <w:trHeight w:val="300"/>
        </w:trPr>
        <w:tc>
          <w:tcPr>
            <w:tcW w:w="3276" w:type="dxa"/>
            <w:shd w:val="clear" w:color="auto" w:fill="auto"/>
            <w:noWrap/>
            <w:vAlign w:val="bottom"/>
            <w:hideMark/>
          </w:tcPr>
          <w:p w14:paraId="5877A363" w14:textId="77777777" w:rsidR="00703123" w:rsidRPr="006128F6" w:rsidRDefault="00703123" w:rsidP="006128F6">
            <w:pPr>
              <w:tabs>
                <w:tab w:val="clear" w:pos="567"/>
              </w:tabs>
              <w:spacing w:line="240" w:lineRule="auto"/>
              <w:rPr>
                <w:color w:val="000000"/>
                <w:szCs w:val="22"/>
                <w:lang w:eastAsia="en-GB"/>
              </w:rPr>
            </w:pPr>
            <w:r w:rsidRPr="006128F6">
              <w:rPr>
                <w:color w:val="000000"/>
                <w:szCs w:val="22"/>
                <w:lang w:eastAsia="en-GB"/>
              </w:rPr>
              <w:t xml:space="preserve">Duration of </w:t>
            </w:r>
            <w:r w:rsidR="00E57B11" w:rsidRPr="006128F6">
              <w:rPr>
                <w:color w:val="000000"/>
                <w:szCs w:val="22"/>
                <w:lang w:eastAsia="en-GB"/>
              </w:rPr>
              <w:t>r</w:t>
            </w:r>
            <w:r w:rsidRPr="006128F6">
              <w:rPr>
                <w:color w:val="000000"/>
                <w:szCs w:val="22"/>
                <w:lang w:eastAsia="en-GB"/>
              </w:rPr>
              <w:t xml:space="preserve">esponse, </w:t>
            </w:r>
            <w:r w:rsidR="00E57B11" w:rsidRPr="006128F6">
              <w:rPr>
                <w:color w:val="000000"/>
                <w:szCs w:val="22"/>
                <w:lang w:eastAsia="en-GB"/>
              </w:rPr>
              <w:t>m</w:t>
            </w:r>
            <w:r w:rsidRPr="006128F6">
              <w:rPr>
                <w:color w:val="000000"/>
                <w:szCs w:val="22"/>
                <w:lang w:eastAsia="en-GB"/>
              </w:rPr>
              <w:t>edian months</w:t>
            </w:r>
          </w:p>
        </w:tc>
        <w:tc>
          <w:tcPr>
            <w:tcW w:w="1134" w:type="dxa"/>
            <w:shd w:val="clear" w:color="auto" w:fill="auto"/>
            <w:noWrap/>
            <w:hideMark/>
          </w:tcPr>
          <w:p w14:paraId="00C3E3BC" w14:textId="77777777" w:rsidR="00703123" w:rsidRPr="006128F6" w:rsidRDefault="00703123" w:rsidP="006128F6">
            <w:pPr>
              <w:tabs>
                <w:tab w:val="clear" w:pos="567"/>
              </w:tabs>
              <w:spacing w:line="240" w:lineRule="auto"/>
              <w:jc w:val="center"/>
              <w:rPr>
                <w:color w:val="000000"/>
                <w:szCs w:val="22"/>
                <w:lang w:eastAsia="en-GB"/>
              </w:rPr>
            </w:pPr>
            <w:r w:rsidRPr="006128F6">
              <w:rPr>
                <w:color w:val="000000"/>
                <w:szCs w:val="22"/>
                <w:lang w:eastAsia="en-GB"/>
              </w:rPr>
              <w:t>4.8</w:t>
            </w:r>
          </w:p>
        </w:tc>
        <w:tc>
          <w:tcPr>
            <w:tcW w:w="1134" w:type="dxa"/>
            <w:shd w:val="clear" w:color="auto" w:fill="auto"/>
            <w:noWrap/>
            <w:hideMark/>
          </w:tcPr>
          <w:p w14:paraId="760463CF" w14:textId="77777777" w:rsidR="00703123" w:rsidRPr="006128F6" w:rsidRDefault="00703123" w:rsidP="006128F6">
            <w:pPr>
              <w:tabs>
                <w:tab w:val="clear" w:pos="567"/>
              </w:tabs>
              <w:spacing w:line="240" w:lineRule="auto"/>
              <w:jc w:val="center"/>
              <w:rPr>
                <w:color w:val="000000"/>
                <w:szCs w:val="22"/>
                <w:lang w:eastAsia="en-GB"/>
              </w:rPr>
            </w:pPr>
            <w:r w:rsidRPr="006128F6">
              <w:rPr>
                <w:color w:val="000000"/>
                <w:szCs w:val="22"/>
                <w:lang w:eastAsia="en-GB"/>
              </w:rPr>
              <w:t>6.9</w:t>
            </w:r>
          </w:p>
        </w:tc>
        <w:tc>
          <w:tcPr>
            <w:tcW w:w="1842" w:type="dxa"/>
            <w:shd w:val="clear" w:color="auto" w:fill="auto"/>
            <w:noWrap/>
            <w:hideMark/>
          </w:tcPr>
          <w:p w14:paraId="2175E51A" w14:textId="77777777" w:rsidR="00703123" w:rsidRPr="006128F6" w:rsidRDefault="00703123" w:rsidP="006128F6">
            <w:pPr>
              <w:tabs>
                <w:tab w:val="clear" w:pos="567"/>
              </w:tabs>
              <w:spacing w:line="240" w:lineRule="auto"/>
              <w:jc w:val="center"/>
              <w:rPr>
                <w:color w:val="000000"/>
                <w:szCs w:val="22"/>
                <w:lang w:eastAsia="en-GB"/>
              </w:rPr>
            </w:pPr>
            <w:r w:rsidRPr="006128F6">
              <w:rPr>
                <w:color w:val="000000"/>
                <w:szCs w:val="22"/>
                <w:lang w:eastAsia="en-GB"/>
              </w:rPr>
              <w:t>0.54 (0.40-0.73)</w:t>
            </w:r>
          </w:p>
        </w:tc>
        <w:tc>
          <w:tcPr>
            <w:tcW w:w="1560" w:type="dxa"/>
            <w:shd w:val="clear" w:color="auto" w:fill="auto"/>
            <w:noWrap/>
            <w:hideMark/>
          </w:tcPr>
          <w:p w14:paraId="42E2E0D9" w14:textId="77777777" w:rsidR="00703123" w:rsidRPr="006128F6" w:rsidRDefault="00703123" w:rsidP="006128F6">
            <w:pPr>
              <w:tabs>
                <w:tab w:val="clear" w:pos="567"/>
              </w:tabs>
              <w:spacing w:line="240" w:lineRule="auto"/>
              <w:jc w:val="center"/>
              <w:rPr>
                <w:color w:val="000000"/>
                <w:szCs w:val="22"/>
                <w:lang w:eastAsia="en-GB"/>
              </w:rPr>
            </w:pPr>
            <w:r w:rsidRPr="006128F6">
              <w:rPr>
                <w:color w:val="000000"/>
                <w:szCs w:val="22"/>
                <w:lang w:eastAsia="en-GB"/>
              </w:rPr>
              <w:t>&lt; 0.0001</w:t>
            </w:r>
          </w:p>
        </w:tc>
      </w:tr>
    </w:tbl>
    <w:p w14:paraId="5C36E5B6" w14:textId="77777777" w:rsidR="00A5763E" w:rsidRPr="00CE427E" w:rsidRDefault="00A5763E" w:rsidP="006128F6">
      <w:pPr>
        <w:tabs>
          <w:tab w:val="clear" w:pos="567"/>
        </w:tabs>
        <w:autoSpaceDE w:val="0"/>
        <w:autoSpaceDN w:val="0"/>
        <w:adjustRightInd w:val="0"/>
        <w:spacing w:line="240" w:lineRule="auto"/>
        <w:rPr>
          <w:rFonts w:eastAsia="Calibri"/>
          <w:sz w:val="20"/>
        </w:rPr>
      </w:pPr>
      <w:r w:rsidRPr="00CE427E">
        <w:rPr>
          <w:rFonts w:eastAsia="Calibri"/>
          <w:sz w:val="20"/>
        </w:rPr>
        <w:t xml:space="preserve">FP + H: Fluoropyrimidine/cisplatin + </w:t>
      </w:r>
      <w:r w:rsidR="0093307D" w:rsidRPr="00CE427E">
        <w:rPr>
          <w:rFonts w:eastAsia="Calibri"/>
          <w:sz w:val="20"/>
        </w:rPr>
        <w:t>trastuzumab</w:t>
      </w:r>
    </w:p>
    <w:p w14:paraId="41176B42" w14:textId="77777777" w:rsidR="00A5763E" w:rsidRPr="00CE427E" w:rsidRDefault="00A5763E" w:rsidP="006128F6">
      <w:pPr>
        <w:tabs>
          <w:tab w:val="clear" w:pos="567"/>
        </w:tabs>
        <w:autoSpaceDE w:val="0"/>
        <w:autoSpaceDN w:val="0"/>
        <w:adjustRightInd w:val="0"/>
        <w:spacing w:line="240" w:lineRule="auto"/>
        <w:rPr>
          <w:rFonts w:eastAsia="Calibri"/>
          <w:sz w:val="20"/>
        </w:rPr>
      </w:pPr>
      <w:r w:rsidRPr="00CE427E">
        <w:rPr>
          <w:rFonts w:eastAsia="Calibri"/>
          <w:sz w:val="20"/>
        </w:rPr>
        <w:t>FP: Fluoropyrimidine/cisplatin</w:t>
      </w:r>
    </w:p>
    <w:p w14:paraId="3A7A8B48" w14:textId="77777777" w:rsidR="00A5763E" w:rsidRPr="00CE427E" w:rsidRDefault="00A5763E" w:rsidP="006128F6">
      <w:pPr>
        <w:tabs>
          <w:tab w:val="clear" w:pos="567"/>
        </w:tabs>
        <w:autoSpaceDE w:val="0"/>
        <w:autoSpaceDN w:val="0"/>
        <w:adjustRightInd w:val="0"/>
        <w:spacing w:line="240" w:lineRule="auto"/>
        <w:rPr>
          <w:rFonts w:eastAsia="Calibri"/>
          <w:sz w:val="20"/>
        </w:rPr>
      </w:pPr>
      <w:r w:rsidRPr="005477BB">
        <w:rPr>
          <w:rFonts w:eastAsia="Calibri"/>
          <w:sz w:val="20"/>
        </w:rPr>
        <w:t>a</w:t>
      </w:r>
      <w:r w:rsidRPr="00CE427E">
        <w:rPr>
          <w:rFonts w:eastAsia="Calibri"/>
          <w:sz w:val="20"/>
        </w:rPr>
        <w:t xml:space="preserve"> Odds ratio</w:t>
      </w:r>
    </w:p>
    <w:p w14:paraId="0A3E2DDD" w14:textId="77777777" w:rsidR="00A5763E" w:rsidRPr="00CE427E" w:rsidRDefault="00A5763E" w:rsidP="006128F6">
      <w:pPr>
        <w:tabs>
          <w:tab w:val="clear" w:pos="567"/>
        </w:tabs>
        <w:autoSpaceDE w:val="0"/>
        <w:autoSpaceDN w:val="0"/>
        <w:adjustRightInd w:val="0"/>
        <w:spacing w:line="240" w:lineRule="auto"/>
        <w:rPr>
          <w:rFonts w:eastAsia="Calibri"/>
          <w:szCs w:val="22"/>
        </w:rPr>
      </w:pPr>
    </w:p>
    <w:p w14:paraId="0E722F8F" w14:textId="1BFBAB8D" w:rsidR="00A5763E" w:rsidRPr="00CE427E" w:rsidRDefault="00A5763E" w:rsidP="006128F6">
      <w:pPr>
        <w:tabs>
          <w:tab w:val="clear" w:pos="567"/>
        </w:tabs>
        <w:autoSpaceDE w:val="0"/>
        <w:autoSpaceDN w:val="0"/>
        <w:adjustRightInd w:val="0"/>
        <w:spacing w:line="240" w:lineRule="auto"/>
        <w:rPr>
          <w:rFonts w:eastAsia="Calibri"/>
          <w:szCs w:val="22"/>
        </w:rPr>
      </w:pPr>
      <w:r w:rsidRPr="00CE427E">
        <w:rPr>
          <w:rFonts w:eastAsia="Calibri"/>
          <w:szCs w:val="22"/>
        </w:rPr>
        <w:lastRenderedPageBreak/>
        <w:t xml:space="preserve">Patients were recruited to the </w:t>
      </w:r>
      <w:r w:rsidR="004A5EE5">
        <w:rPr>
          <w:rFonts w:eastAsia="Calibri"/>
          <w:szCs w:val="22"/>
        </w:rPr>
        <w:t>study</w:t>
      </w:r>
      <w:r w:rsidR="004A5EE5" w:rsidRPr="00CE427E">
        <w:rPr>
          <w:rFonts w:eastAsia="Calibri"/>
          <w:szCs w:val="22"/>
        </w:rPr>
        <w:t xml:space="preserve"> </w:t>
      </w:r>
      <w:r w:rsidRPr="00CE427E">
        <w:rPr>
          <w:rFonts w:eastAsia="Calibri"/>
          <w:szCs w:val="22"/>
        </w:rPr>
        <w:t>who were previously untreated for HER2</w:t>
      </w:r>
      <w:r w:rsidRPr="00CE427E">
        <w:rPr>
          <w:rFonts w:eastAsia="Calibri"/>
          <w:szCs w:val="22"/>
        </w:rPr>
        <w:noBreakHyphen/>
        <w:t>positive inoperable locally advanced or recurrent and/or metastatic adenocarcinoma of the stomach or gastro-oesophageal junction not amenable to curative therapy. The primary endpoint</w:t>
      </w:r>
      <w:r w:rsidR="00C87C16" w:rsidRPr="00CE427E">
        <w:rPr>
          <w:rFonts w:eastAsia="Calibri"/>
          <w:szCs w:val="22"/>
        </w:rPr>
        <w:t xml:space="preserve"> was overall survival which was </w:t>
      </w:r>
      <w:r w:rsidRPr="00CE427E">
        <w:rPr>
          <w:rFonts w:eastAsia="Calibri"/>
          <w:szCs w:val="22"/>
        </w:rPr>
        <w:t>defined as the time from the date of randomi</w:t>
      </w:r>
      <w:r w:rsidR="00C87C16" w:rsidRPr="00CE427E">
        <w:rPr>
          <w:rFonts w:eastAsia="Calibri"/>
          <w:szCs w:val="22"/>
        </w:rPr>
        <w:t>s</w:t>
      </w:r>
      <w:r w:rsidRPr="00CE427E">
        <w:rPr>
          <w:rFonts w:eastAsia="Calibri"/>
          <w:szCs w:val="22"/>
        </w:rPr>
        <w:t xml:space="preserve">ation to the date of death from any cause. </w:t>
      </w:r>
      <w:r w:rsidR="00C87C16" w:rsidRPr="00CE427E">
        <w:rPr>
          <w:rFonts w:eastAsia="Calibri"/>
          <w:szCs w:val="22"/>
        </w:rPr>
        <w:t xml:space="preserve">At the time of </w:t>
      </w:r>
      <w:r w:rsidRPr="00CE427E">
        <w:rPr>
          <w:rFonts w:eastAsia="Calibri"/>
          <w:szCs w:val="22"/>
        </w:rPr>
        <w:t>the analysis a total of 349</w:t>
      </w:r>
      <w:r w:rsidR="00C87C16" w:rsidRPr="00CE427E">
        <w:rPr>
          <w:rFonts w:eastAsia="Calibri"/>
          <w:szCs w:val="22"/>
        </w:rPr>
        <w:t> </w:t>
      </w:r>
      <w:r w:rsidRPr="00CE427E">
        <w:rPr>
          <w:rFonts w:eastAsia="Calibri"/>
          <w:szCs w:val="22"/>
        </w:rPr>
        <w:t>randomi</w:t>
      </w:r>
      <w:r w:rsidR="00C87C16" w:rsidRPr="00CE427E">
        <w:rPr>
          <w:rFonts w:eastAsia="Calibri"/>
          <w:szCs w:val="22"/>
        </w:rPr>
        <w:t>s</w:t>
      </w:r>
      <w:r w:rsidRPr="00CE427E">
        <w:rPr>
          <w:rFonts w:eastAsia="Calibri"/>
          <w:szCs w:val="22"/>
        </w:rPr>
        <w:t>ed patients had died: 182</w:t>
      </w:r>
      <w:r w:rsidR="00C87C16" w:rsidRPr="00CE427E">
        <w:rPr>
          <w:rFonts w:eastAsia="Calibri"/>
          <w:szCs w:val="22"/>
        </w:rPr>
        <w:t> </w:t>
      </w:r>
      <w:r w:rsidRPr="00CE427E">
        <w:rPr>
          <w:rFonts w:eastAsia="Calibri"/>
          <w:szCs w:val="22"/>
        </w:rPr>
        <w:t xml:space="preserve">patients </w:t>
      </w:r>
      <w:r w:rsidR="00A25EE8" w:rsidRPr="00CE427E">
        <w:rPr>
          <w:rFonts w:eastAsia="Calibri"/>
          <w:szCs w:val="22"/>
        </w:rPr>
        <w:t>(62.8</w:t>
      </w:r>
      <w:r w:rsidR="000840CF" w:rsidRPr="00CE427E">
        <w:rPr>
          <w:rFonts w:eastAsia="Calibri"/>
          <w:szCs w:val="22"/>
        </w:rPr>
        <w:t>%</w:t>
      </w:r>
      <w:r w:rsidR="00C87C16" w:rsidRPr="00CE427E">
        <w:rPr>
          <w:rFonts w:eastAsia="Calibri"/>
          <w:szCs w:val="22"/>
        </w:rPr>
        <w:t>) in the control arm and 167 patients (56.8</w:t>
      </w:r>
      <w:r w:rsidR="000840CF" w:rsidRPr="00CE427E">
        <w:rPr>
          <w:rFonts w:eastAsia="Calibri"/>
          <w:szCs w:val="22"/>
        </w:rPr>
        <w:t>%</w:t>
      </w:r>
      <w:r w:rsidRPr="00CE427E">
        <w:rPr>
          <w:rFonts w:eastAsia="Calibri"/>
          <w:szCs w:val="22"/>
        </w:rPr>
        <w:t>) in the treatment arm. The majority of the deaths we</w:t>
      </w:r>
      <w:r w:rsidR="00A25EE8" w:rsidRPr="00CE427E">
        <w:rPr>
          <w:rFonts w:eastAsia="Calibri"/>
          <w:szCs w:val="22"/>
        </w:rPr>
        <w:t xml:space="preserve">re due to events related to the </w:t>
      </w:r>
      <w:r w:rsidRPr="00CE427E">
        <w:rPr>
          <w:rFonts w:eastAsia="Calibri"/>
          <w:szCs w:val="22"/>
        </w:rPr>
        <w:t>underlying cancer.</w:t>
      </w:r>
    </w:p>
    <w:p w14:paraId="4D97443C" w14:textId="77777777" w:rsidR="00C87C16" w:rsidRPr="00CE427E" w:rsidRDefault="00C87C16" w:rsidP="006128F6">
      <w:pPr>
        <w:tabs>
          <w:tab w:val="clear" w:pos="567"/>
        </w:tabs>
        <w:autoSpaceDE w:val="0"/>
        <w:autoSpaceDN w:val="0"/>
        <w:adjustRightInd w:val="0"/>
        <w:spacing w:line="240" w:lineRule="auto"/>
        <w:rPr>
          <w:rFonts w:eastAsia="Calibri"/>
          <w:szCs w:val="22"/>
        </w:rPr>
      </w:pPr>
    </w:p>
    <w:p w14:paraId="3F218FFB" w14:textId="6E222687" w:rsidR="00A5763E" w:rsidRPr="00CE427E" w:rsidRDefault="00A5763E" w:rsidP="006128F6">
      <w:pPr>
        <w:tabs>
          <w:tab w:val="clear" w:pos="567"/>
        </w:tabs>
        <w:autoSpaceDE w:val="0"/>
        <w:autoSpaceDN w:val="0"/>
        <w:adjustRightInd w:val="0"/>
        <w:spacing w:line="240" w:lineRule="auto"/>
        <w:rPr>
          <w:rFonts w:eastAsia="Calibri"/>
          <w:szCs w:val="22"/>
        </w:rPr>
      </w:pPr>
      <w:r w:rsidRPr="00CE427E">
        <w:rPr>
          <w:rFonts w:eastAsia="Calibri"/>
          <w:szCs w:val="22"/>
        </w:rPr>
        <w:t>Post</w:t>
      </w:r>
      <w:r w:rsidR="00C87C16" w:rsidRPr="00CE427E">
        <w:rPr>
          <w:rFonts w:eastAsia="Calibri"/>
          <w:szCs w:val="22"/>
        </w:rPr>
        <w:noBreakHyphen/>
      </w:r>
      <w:r w:rsidRPr="00CE427E">
        <w:rPr>
          <w:rFonts w:eastAsia="Calibri"/>
          <w:szCs w:val="22"/>
        </w:rPr>
        <w:t>hoc subgroup analyses indicate that positive treatment effects a</w:t>
      </w:r>
      <w:r w:rsidR="00C87C16" w:rsidRPr="00CE427E">
        <w:rPr>
          <w:rFonts w:eastAsia="Calibri"/>
          <w:szCs w:val="22"/>
        </w:rPr>
        <w:t xml:space="preserve">re limited to targeting tumours </w:t>
      </w:r>
      <w:r w:rsidRPr="00CE427E">
        <w:rPr>
          <w:rFonts w:eastAsia="Calibri"/>
          <w:szCs w:val="22"/>
        </w:rPr>
        <w:t xml:space="preserve">with higher levels of HER2 protein (IHC 2+/FISH+ or IHC 3+). The </w:t>
      </w:r>
      <w:r w:rsidR="00C87C16" w:rsidRPr="00CE427E">
        <w:rPr>
          <w:rFonts w:eastAsia="Calibri"/>
          <w:szCs w:val="22"/>
        </w:rPr>
        <w:t xml:space="preserve">median overall survival for the </w:t>
      </w:r>
      <w:r w:rsidRPr="00CE427E">
        <w:rPr>
          <w:rFonts w:eastAsia="Calibri"/>
          <w:szCs w:val="22"/>
        </w:rPr>
        <w:t>high HER2 expressing group was 11.8</w:t>
      </w:r>
      <w:r w:rsidR="00C87C16" w:rsidRPr="00CE427E">
        <w:rPr>
          <w:rFonts w:eastAsia="Calibri"/>
          <w:szCs w:val="22"/>
        </w:rPr>
        <w:t> </w:t>
      </w:r>
      <w:r w:rsidRPr="00CE427E">
        <w:rPr>
          <w:rFonts w:eastAsia="Calibri"/>
          <w:szCs w:val="22"/>
        </w:rPr>
        <w:t>months versus 16</w:t>
      </w:r>
      <w:r w:rsidR="00C87C16" w:rsidRPr="00CE427E">
        <w:rPr>
          <w:rFonts w:eastAsia="Calibri"/>
          <w:szCs w:val="22"/>
        </w:rPr>
        <w:t> </w:t>
      </w:r>
      <w:r w:rsidRPr="00CE427E">
        <w:rPr>
          <w:rFonts w:eastAsia="Calibri"/>
          <w:szCs w:val="22"/>
        </w:rPr>
        <w:t>months, HR 0.65 (95</w:t>
      </w:r>
      <w:r w:rsidR="000840CF" w:rsidRPr="00CE427E">
        <w:rPr>
          <w:rFonts w:eastAsia="Calibri"/>
          <w:szCs w:val="22"/>
        </w:rPr>
        <w:t>%</w:t>
      </w:r>
      <w:r w:rsidR="00C87C16" w:rsidRPr="00CE427E">
        <w:rPr>
          <w:rFonts w:eastAsia="Calibri"/>
          <w:szCs w:val="22"/>
        </w:rPr>
        <w:t xml:space="preserve"> CI</w:t>
      </w:r>
      <w:r w:rsidR="00AE0CEF" w:rsidRPr="00CE427E">
        <w:rPr>
          <w:rFonts w:eastAsia="Calibri"/>
          <w:szCs w:val="22"/>
        </w:rPr>
        <w:t>:</w:t>
      </w:r>
      <w:r w:rsidR="00C87C16" w:rsidRPr="00CE427E">
        <w:rPr>
          <w:rFonts w:eastAsia="Calibri"/>
          <w:szCs w:val="22"/>
        </w:rPr>
        <w:t xml:space="preserve"> 0.51-0.83) and </w:t>
      </w:r>
      <w:r w:rsidRPr="00CE427E">
        <w:rPr>
          <w:rFonts w:eastAsia="Calibri"/>
          <w:szCs w:val="22"/>
        </w:rPr>
        <w:t>the median progression free survival was 5.5</w:t>
      </w:r>
      <w:r w:rsidR="00C87C16" w:rsidRPr="00CE427E">
        <w:rPr>
          <w:rFonts w:eastAsia="Calibri"/>
          <w:szCs w:val="22"/>
        </w:rPr>
        <w:t> </w:t>
      </w:r>
      <w:r w:rsidRPr="00CE427E">
        <w:rPr>
          <w:rFonts w:eastAsia="Calibri"/>
          <w:szCs w:val="22"/>
        </w:rPr>
        <w:t>months versus 7.6</w:t>
      </w:r>
      <w:r w:rsidR="00C87C16" w:rsidRPr="00CE427E">
        <w:rPr>
          <w:rFonts w:eastAsia="Calibri"/>
          <w:szCs w:val="22"/>
        </w:rPr>
        <w:t> </w:t>
      </w:r>
      <w:r w:rsidRPr="00CE427E">
        <w:rPr>
          <w:rFonts w:eastAsia="Calibri"/>
          <w:szCs w:val="22"/>
        </w:rPr>
        <w:t>mont</w:t>
      </w:r>
      <w:r w:rsidR="00A25EE8" w:rsidRPr="00CE427E">
        <w:rPr>
          <w:rFonts w:eastAsia="Calibri"/>
          <w:szCs w:val="22"/>
        </w:rPr>
        <w:t>hs, HR 0.64 (95</w:t>
      </w:r>
      <w:r w:rsidR="000840CF" w:rsidRPr="00CE427E">
        <w:rPr>
          <w:rFonts w:eastAsia="Calibri"/>
          <w:szCs w:val="22"/>
        </w:rPr>
        <w:t>%</w:t>
      </w:r>
      <w:r w:rsidR="00C87C16" w:rsidRPr="00CE427E">
        <w:rPr>
          <w:rFonts w:eastAsia="Calibri"/>
          <w:szCs w:val="22"/>
        </w:rPr>
        <w:t xml:space="preserve"> CI</w:t>
      </w:r>
      <w:r w:rsidR="00AE0CEF" w:rsidRPr="00CE427E">
        <w:rPr>
          <w:rFonts w:eastAsia="Calibri"/>
          <w:szCs w:val="22"/>
        </w:rPr>
        <w:t>:</w:t>
      </w:r>
      <w:r w:rsidR="00C87C16" w:rsidRPr="00CE427E">
        <w:rPr>
          <w:rFonts w:eastAsia="Calibri"/>
          <w:szCs w:val="22"/>
        </w:rPr>
        <w:t xml:space="preserve"> 0.51-0.79) </w:t>
      </w:r>
      <w:r w:rsidRPr="00CE427E">
        <w:rPr>
          <w:rFonts w:eastAsia="Calibri"/>
          <w:szCs w:val="22"/>
        </w:rPr>
        <w:t xml:space="preserve">for FP versus FP + H, respectively. For overall survival, the HR was </w:t>
      </w:r>
      <w:r w:rsidR="00C87C16" w:rsidRPr="00CE427E">
        <w:rPr>
          <w:rFonts w:eastAsia="Calibri"/>
          <w:szCs w:val="22"/>
        </w:rPr>
        <w:t>0.75 (95</w:t>
      </w:r>
      <w:r w:rsidR="000840CF" w:rsidRPr="00CE427E">
        <w:rPr>
          <w:rFonts w:eastAsia="Calibri"/>
          <w:szCs w:val="22"/>
        </w:rPr>
        <w:t>%</w:t>
      </w:r>
      <w:r w:rsidR="00C87C16" w:rsidRPr="00CE427E">
        <w:rPr>
          <w:rFonts w:eastAsia="Calibri"/>
          <w:szCs w:val="22"/>
        </w:rPr>
        <w:t xml:space="preserve"> CI</w:t>
      </w:r>
      <w:r w:rsidR="00AE0CEF" w:rsidRPr="00CE427E">
        <w:rPr>
          <w:rFonts w:eastAsia="Calibri"/>
          <w:szCs w:val="22"/>
        </w:rPr>
        <w:t>:</w:t>
      </w:r>
      <w:r w:rsidR="00C87C16" w:rsidRPr="00CE427E">
        <w:rPr>
          <w:rFonts w:eastAsia="Calibri"/>
          <w:szCs w:val="22"/>
        </w:rPr>
        <w:t xml:space="preserve"> 0.51-1.11) in the </w:t>
      </w:r>
      <w:r w:rsidRPr="00CE427E">
        <w:rPr>
          <w:rFonts w:eastAsia="Calibri"/>
          <w:szCs w:val="22"/>
        </w:rPr>
        <w:t>IHC 2+/FISH+ group and the HR was 0.58 (95</w:t>
      </w:r>
      <w:r w:rsidR="000840CF" w:rsidRPr="00CE427E">
        <w:rPr>
          <w:rFonts w:eastAsia="Calibri"/>
          <w:szCs w:val="22"/>
        </w:rPr>
        <w:t>%</w:t>
      </w:r>
      <w:r w:rsidRPr="00CE427E">
        <w:rPr>
          <w:rFonts w:eastAsia="Calibri"/>
          <w:szCs w:val="22"/>
        </w:rPr>
        <w:t xml:space="preserve"> CI</w:t>
      </w:r>
      <w:r w:rsidR="00AE0CEF" w:rsidRPr="00CE427E">
        <w:rPr>
          <w:rFonts w:eastAsia="Calibri"/>
          <w:szCs w:val="22"/>
        </w:rPr>
        <w:t>:</w:t>
      </w:r>
      <w:r w:rsidRPr="00CE427E">
        <w:rPr>
          <w:rFonts w:eastAsia="Calibri"/>
          <w:szCs w:val="22"/>
        </w:rPr>
        <w:t xml:space="preserve"> 0.41</w:t>
      </w:r>
      <w:r w:rsidR="00C87C16" w:rsidRPr="00CE427E">
        <w:rPr>
          <w:rFonts w:eastAsia="Calibri"/>
          <w:szCs w:val="22"/>
        </w:rPr>
        <w:noBreakHyphen/>
      </w:r>
      <w:r w:rsidRPr="00CE427E">
        <w:rPr>
          <w:rFonts w:eastAsia="Calibri"/>
          <w:szCs w:val="22"/>
        </w:rPr>
        <w:t>0.81) in the IHC 3+/FISH+ group.</w:t>
      </w:r>
    </w:p>
    <w:p w14:paraId="059D7664" w14:textId="77777777" w:rsidR="00C87C16" w:rsidRPr="00CE427E" w:rsidRDefault="00C87C16" w:rsidP="006128F6">
      <w:pPr>
        <w:tabs>
          <w:tab w:val="clear" w:pos="567"/>
        </w:tabs>
        <w:autoSpaceDE w:val="0"/>
        <w:autoSpaceDN w:val="0"/>
        <w:adjustRightInd w:val="0"/>
        <w:spacing w:line="240" w:lineRule="auto"/>
        <w:rPr>
          <w:rFonts w:eastAsia="Calibri"/>
          <w:szCs w:val="22"/>
        </w:rPr>
      </w:pPr>
    </w:p>
    <w:p w14:paraId="04D38484" w14:textId="20F0FF2A" w:rsidR="00A5763E" w:rsidRPr="00CE427E" w:rsidRDefault="00A5763E" w:rsidP="006128F6">
      <w:pPr>
        <w:tabs>
          <w:tab w:val="clear" w:pos="567"/>
        </w:tabs>
        <w:autoSpaceDE w:val="0"/>
        <w:autoSpaceDN w:val="0"/>
        <w:adjustRightInd w:val="0"/>
        <w:spacing w:line="240" w:lineRule="auto"/>
        <w:rPr>
          <w:rFonts w:eastAsia="Calibri"/>
          <w:szCs w:val="22"/>
        </w:rPr>
      </w:pPr>
      <w:r w:rsidRPr="00CE427E">
        <w:rPr>
          <w:rFonts w:eastAsia="Calibri"/>
          <w:szCs w:val="22"/>
        </w:rPr>
        <w:t>In an exploratory subgroup analysis performed in the TOGA (BO182</w:t>
      </w:r>
      <w:r w:rsidR="00C87C16" w:rsidRPr="00CE427E">
        <w:rPr>
          <w:rFonts w:eastAsia="Calibri"/>
          <w:szCs w:val="22"/>
        </w:rPr>
        <w:t xml:space="preserve">55) </w:t>
      </w:r>
      <w:r w:rsidR="004A5EE5">
        <w:rPr>
          <w:rFonts w:eastAsia="Calibri"/>
          <w:szCs w:val="22"/>
        </w:rPr>
        <w:t>study</w:t>
      </w:r>
      <w:r w:rsidR="004A5EE5" w:rsidRPr="00CE427E">
        <w:rPr>
          <w:rFonts w:eastAsia="Calibri"/>
          <w:szCs w:val="22"/>
        </w:rPr>
        <w:t xml:space="preserve"> </w:t>
      </w:r>
      <w:r w:rsidR="00C87C16" w:rsidRPr="00CE427E">
        <w:rPr>
          <w:rFonts w:eastAsia="Calibri"/>
          <w:szCs w:val="22"/>
        </w:rPr>
        <w:t xml:space="preserve">there was no apparent </w:t>
      </w:r>
      <w:r w:rsidRPr="00CE427E">
        <w:rPr>
          <w:rFonts w:eastAsia="Calibri"/>
          <w:szCs w:val="22"/>
        </w:rPr>
        <w:t xml:space="preserve">benefit on overall survival with the addition of </w:t>
      </w:r>
      <w:r w:rsidR="0093307D" w:rsidRPr="00CE427E">
        <w:rPr>
          <w:rFonts w:eastAsia="Calibri"/>
          <w:szCs w:val="22"/>
        </w:rPr>
        <w:t xml:space="preserve">trastuzumab </w:t>
      </w:r>
      <w:r w:rsidRPr="00CE427E">
        <w:rPr>
          <w:rFonts w:eastAsia="Calibri"/>
          <w:szCs w:val="22"/>
        </w:rPr>
        <w:t>in patients</w:t>
      </w:r>
      <w:r w:rsidR="00C87C16" w:rsidRPr="00CE427E">
        <w:rPr>
          <w:rFonts w:eastAsia="Calibri"/>
          <w:szCs w:val="22"/>
        </w:rPr>
        <w:t xml:space="preserve"> with ECOG PS 2 at baseline [HR </w:t>
      </w:r>
      <w:r w:rsidRPr="00CE427E">
        <w:rPr>
          <w:rFonts w:eastAsia="Calibri"/>
          <w:szCs w:val="22"/>
        </w:rPr>
        <w:t>0.96 (9</w:t>
      </w:r>
      <w:r w:rsidR="00C87C16" w:rsidRPr="00CE427E">
        <w:rPr>
          <w:rFonts w:eastAsia="Calibri"/>
          <w:szCs w:val="22"/>
        </w:rPr>
        <w:t>5</w:t>
      </w:r>
      <w:r w:rsidR="000840CF" w:rsidRPr="00CE427E">
        <w:rPr>
          <w:rFonts w:eastAsia="Calibri"/>
          <w:szCs w:val="22"/>
        </w:rPr>
        <w:t>%</w:t>
      </w:r>
      <w:r w:rsidRPr="00CE427E">
        <w:rPr>
          <w:rFonts w:eastAsia="Calibri"/>
          <w:szCs w:val="22"/>
        </w:rPr>
        <w:t xml:space="preserve"> CI</w:t>
      </w:r>
      <w:r w:rsidR="00AE0CEF" w:rsidRPr="00CE427E">
        <w:rPr>
          <w:rFonts w:eastAsia="Calibri"/>
          <w:szCs w:val="22"/>
        </w:rPr>
        <w:t>:</w:t>
      </w:r>
      <w:r w:rsidRPr="00CE427E">
        <w:rPr>
          <w:rFonts w:eastAsia="Calibri"/>
          <w:szCs w:val="22"/>
        </w:rPr>
        <w:t xml:space="preserve"> 0.51-1.79</w:t>
      </w:r>
      <w:r w:rsidR="00C87C16" w:rsidRPr="00CE427E">
        <w:rPr>
          <w:rFonts w:eastAsia="Calibri"/>
          <w:szCs w:val="22"/>
        </w:rPr>
        <w:t>)], non measurable [HR 1.78 (95</w:t>
      </w:r>
      <w:r w:rsidR="000840CF" w:rsidRPr="00CE427E">
        <w:rPr>
          <w:rFonts w:eastAsia="Calibri"/>
          <w:szCs w:val="22"/>
        </w:rPr>
        <w:t>%</w:t>
      </w:r>
      <w:r w:rsidRPr="00CE427E">
        <w:rPr>
          <w:rFonts w:eastAsia="Calibri"/>
          <w:szCs w:val="22"/>
        </w:rPr>
        <w:t xml:space="preserve"> CI</w:t>
      </w:r>
      <w:r w:rsidR="00AE0CEF" w:rsidRPr="00CE427E">
        <w:rPr>
          <w:rFonts w:eastAsia="Calibri"/>
          <w:szCs w:val="22"/>
        </w:rPr>
        <w:t>:</w:t>
      </w:r>
      <w:r w:rsidRPr="00CE427E">
        <w:rPr>
          <w:rFonts w:eastAsia="Calibri"/>
          <w:szCs w:val="22"/>
        </w:rPr>
        <w:t xml:space="preserve"> 0</w:t>
      </w:r>
      <w:r w:rsidR="00C87C16" w:rsidRPr="00CE427E">
        <w:rPr>
          <w:rFonts w:eastAsia="Calibri"/>
          <w:szCs w:val="22"/>
        </w:rPr>
        <w:t xml:space="preserve">.87-3.66)] and locally advanced </w:t>
      </w:r>
      <w:r w:rsidR="004442B5" w:rsidRPr="00CE427E">
        <w:rPr>
          <w:rFonts w:eastAsia="Calibri"/>
          <w:szCs w:val="22"/>
        </w:rPr>
        <w:t>disease [HR 1.20 (95</w:t>
      </w:r>
      <w:r w:rsidR="000840CF" w:rsidRPr="00CE427E">
        <w:rPr>
          <w:rFonts w:eastAsia="Calibri"/>
          <w:szCs w:val="22"/>
        </w:rPr>
        <w:t>%</w:t>
      </w:r>
      <w:r w:rsidRPr="00CE427E">
        <w:rPr>
          <w:rFonts w:eastAsia="Calibri"/>
          <w:szCs w:val="22"/>
        </w:rPr>
        <w:t xml:space="preserve"> CI</w:t>
      </w:r>
      <w:r w:rsidR="00AE0CEF" w:rsidRPr="00CE427E">
        <w:rPr>
          <w:rFonts w:eastAsia="Calibri"/>
          <w:szCs w:val="22"/>
        </w:rPr>
        <w:t>:</w:t>
      </w:r>
      <w:r w:rsidRPr="00CE427E">
        <w:rPr>
          <w:rFonts w:eastAsia="Calibri"/>
          <w:szCs w:val="22"/>
        </w:rPr>
        <w:t xml:space="preserve"> 0.29-4.97)].</w:t>
      </w:r>
    </w:p>
    <w:p w14:paraId="418F798B" w14:textId="77777777" w:rsidR="00C87C16" w:rsidRPr="00CE427E" w:rsidRDefault="00C87C16" w:rsidP="006128F6">
      <w:pPr>
        <w:tabs>
          <w:tab w:val="clear" w:pos="567"/>
        </w:tabs>
        <w:autoSpaceDE w:val="0"/>
        <w:autoSpaceDN w:val="0"/>
        <w:adjustRightInd w:val="0"/>
        <w:spacing w:line="240" w:lineRule="auto"/>
        <w:rPr>
          <w:rFonts w:eastAsia="Calibri"/>
          <w:szCs w:val="22"/>
        </w:rPr>
      </w:pPr>
    </w:p>
    <w:p w14:paraId="3836AF2D" w14:textId="77777777" w:rsidR="00A5763E" w:rsidRPr="00CE427E" w:rsidRDefault="00A5763E" w:rsidP="006128F6">
      <w:pPr>
        <w:keepNext/>
        <w:tabs>
          <w:tab w:val="clear" w:pos="567"/>
        </w:tabs>
        <w:autoSpaceDE w:val="0"/>
        <w:autoSpaceDN w:val="0"/>
        <w:adjustRightInd w:val="0"/>
        <w:spacing w:line="240" w:lineRule="auto"/>
        <w:rPr>
          <w:rFonts w:eastAsia="Calibri"/>
          <w:szCs w:val="22"/>
          <w:u w:val="single"/>
        </w:rPr>
      </w:pPr>
      <w:r w:rsidRPr="00CE427E">
        <w:rPr>
          <w:rFonts w:eastAsia="Calibri"/>
          <w:szCs w:val="22"/>
          <w:u w:val="single"/>
        </w:rPr>
        <w:t>Paediatric population</w:t>
      </w:r>
    </w:p>
    <w:p w14:paraId="24EB177C" w14:textId="77777777" w:rsidR="00C87C16" w:rsidRPr="00CE427E" w:rsidRDefault="00C87C16" w:rsidP="006128F6">
      <w:pPr>
        <w:tabs>
          <w:tab w:val="clear" w:pos="567"/>
        </w:tabs>
        <w:autoSpaceDE w:val="0"/>
        <w:autoSpaceDN w:val="0"/>
        <w:adjustRightInd w:val="0"/>
        <w:spacing w:line="240" w:lineRule="auto"/>
        <w:rPr>
          <w:rFonts w:eastAsia="Calibri"/>
          <w:szCs w:val="22"/>
        </w:rPr>
      </w:pPr>
    </w:p>
    <w:p w14:paraId="69F0A41F" w14:textId="33096ADD" w:rsidR="00A5763E" w:rsidRPr="00CE427E" w:rsidRDefault="00A5763E" w:rsidP="006128F6">
      <w:pPr>
        <w:tabs>
          <w:tab w:val="clear" w:pos="567"/>
        </w:tabs>
        <w:autoSpaceDE w:val="0"/>
        <w:autoSpaceDN w:val="0"/>
        <w:adjustRightInd w:val="0"/>
        <w:spacing w:line="240" w:lineRule="auto"/>
        <w:rPr>
          <w:rFonts w:eastAsia="Calibri"/>
          <w:szCs w:val="22"/>
        </w:rPr>
      </w:pPr>
      <w:r w:rsidRPr="00CE427E">
        <w:rPr>
          <w:rFonts w:eastAsia="Calibri"/>
          <w:szCs w:val="22"/>
        </w:rPr>
        <w:t>The European Medicines Agency has waived the obligation to sub</w:t>
      </w:r>
      <w:r w:rsidR="00C87C16" w:rsidRPr="00CE427E">
        <w:rPr>
          <w:rFonts w:eastAsia="Calibri"/>
          <w:szCs w:val="22"/>
        </w:rPr>
        <w:t xml:space="preserve">mit the results of studies with </w:t>
      </w:r>
      <w:r w:rsidR="0093307D" w:rsidRPr="00CE427E">
        <w:rPr>
          <w:rFonts w:eastAsia="Calibri"/>
          <w:szCs w:val="22"/>
        </w:rPr>
        <w:t>trastuzumab</w:t>
      </w:r>
      <w:r w:rsidRPr="00CE427E">
        <w:rPr>
          <w:rFonts w:eastAsia="Calibri"/>
          <w:szCs w:val="22"/>
        </w:rPr>
        <w:t xml:space="preserve"> in all subsets of the paediatric population </w:t>
      </w:r>
      <w:r w:rsidR="001B633B" w:rsidRPr="00CE427E">
        <w:rPr>
          <w:rFonts w:eastAsia="Calibri"/>
          <w:szCs w:val="22"/>
        </w:rPr>
        <w:t xml:space="preserve">for </w:t>
      </w:r>
      <w:r w:rsidRPr="00CE427E">
        <w:rPr>
          <w:rFonts w:eastAsia="Calibri"/>
          <w:szCs w:val="22"/>
        </w:rPr>
        <w:t>breast and gast</w:t>
      </w:r>
      <w:r w:rsidR="00C87C16" w:rsidRPr="00CE427E">
        <w:rPr>
          <w:rFonts w:eastAsia="Calibri"/>
          <w:szCs w:val="22"/>
        </w:rPr>
        <w:t xml:space="preserve">ric cancer (see section 4.2 for </w:t>
      </w:r>
      <w:r w:rsidRPr="00CE427E">
        <w:rPr>
          <w:rFonts w:eastAsia="Calibri"/>
          <w:szCs w:val="22"/>
        </w:rPr>
        <w:t>information on paediatric use).</w:t>
      </w:r>
    </w:p>
    <w:p w14:paraId="4FD51C51" w14:textId="77777777" w:rsidR="00A5763E" w:rsidRPr="00CE427E" w:rsidRDefault="00A5763E" w:rsidP="006128F6">
      <w:pPr>
        <w:spacing w:line="240" w:lineRule="auto"/>
        <w:ind w:left="561" w:hanging="561"/>
        <w:outlineLvl w:val="0"/>
        <w:rPr>
          <w:rFonts w:eastAsia="Calibri"/>
          <w:szCs w:val="22"/>
        </w:rPr>
      </w:pPr>
    </w:p>
    <w:p w14:paraId="3DAC2E36" w14:textId="77777777" w:rsidR="00925686" w:rsidRPr="006128F6" w:rsidRDefault="00925686" w:rsidP="006128F6">
      <w:pPr>
        <w:keepNext/>
        <w:spacing w:line="240" w:lineRule="auto"/>
        <w:ind w:left="567" w:hanging="567"/>
        <w:outlineLvl w:val="0"/>
        <w:rPr>
          <w:b/>
          <w:szCs w:val="22"/>
        </w:rPr>
      </w:pPr>
      <w:r w:rsidRPr="006128F6">
        <w:rPr>
          <w:b/>
          <w:szCs w:val="22"/>
        </w:rPr>
        <w:t>5.2</w:t>
      </w:r>
      <w:r w:rsidRPr="006128F6">
        <w:rPr>
          <w:b/>
          <w:szCs w:val="22"/>
        </w:rPr>
        <w:tab/>
        <w:t>Pharmacokinetic properties</w:t>
      </w:r>
    </w:p>
    <w:p w14:paraId="11759ED8" w14:textId="77777777" w:rsidR="00925686" w:rsidRPr="006128F6" w:rsidRDefault="00925686" w:rsidP="006128F6">
      <w:pPr>
        <w:keepNext/>
        <w:spacing w:line="240" w:lineRule="auto"/>
        <w:ind w:left="562" w:hanging="562"/>
        <w:outlineLvl w:val="0"/>
        <w:rPr>
          <w:szCs w:val="22"/>
        </w:rPr>
      </w:pPr>
    </w:p>
    <w:p w14:paraId="685B740C" w14:textId="509154B0" w:rsidR="00D501B8" w:rsidRPr="00CE427E" w:rsidRDefault="00D501B8" w:rsidP="006128F6">
      <w:pPr>
        <w:tabs>
          <w:tab w:val="clear" w:pos="567"/>
        </w:tabs>
        <w:autoSpaceDE w:val="0"/>
        <w:autoSpaceDN w:val="0"/>
        <w:adjustRightInd w:val="0"/>
        <w:spacing w:line="240" w:lineRule="auto"/>
        <w:rPr>
          <w:rFonts w:eastAsia="Calibri"/>
          <w:szCs w:val="22"/>
        </w:rPr>
      </w:pPr>
      <w:r w:rsidRPr="00CE427E">
        <w:rPr>
          <w:rFonts w:eastAsia="Calibri"/>
          <w:szCs w:val="22"/>
        </w:rPr>
        <w:t xml:space="preserve">The pharmacokinetics of trastuzumab were evaluated in a population pharmacokinetic model analysis using pooled data from </w:t>
      </w:r>
      <w:r w:rsidR="004E2671" w:rsidRPr="00CE427E">
        <w:rPr>
          <w:rFonts w:eastAsia="Calibri"/>
          <w:szCs w:val="22"/>
        </w:rPr>
        <w:t>1</w:t>
      </w:r>
      <w:r w:rsidR="000B44AA">
        <w:rPr>
          <w:rFonts w:eastAsia="Calibri"/>
          <w:szCs w:val="22"/>
        </w:rPr>
        <w:t> </w:t>
      </w:r>
      <w:r w:rsidR="004E2671" w:rsidRPr="00CE427E">
        <w:rPr>
          <w:rFonts w:eastAsia="Calibri"/>
          <w:szCs w:val="22"/>
        </w:rPr>
        <w:t xml:space="preserve">582 </w:t>
      </w:r>
      <w:r w:rsidRPr="00CE427E">
        <w:rPr>
          <w:rFonts w:eastAsia="Calibri"/>
          <w:szCs w:val="22"/>
        </w:rPr>
        <w:t>subjects, including patients with HER2 positive MBC, EBC, AGC or other tumour types, and healthy volunteers, in 18 Phase I, II and</w:t>
      </w:r>
      <w:r w:rsidR="00A25EE8" w:rsidRPr="00CE427E">
        <w:rPr>
          <w:rFonts w:eastAsia="Calibri"/>
          <w:szCs w:val="22"/>
        </w:rPr>
        <w:t xml:space="preserve"> III </w:t>
      </w:r>
      <w:r w:rsidR="004A5EE5">
        <w:rPr>
          <w:rFonts w:eastAsia="Calibri"/>
          <w:szCs w:val="22"/>
        </w:rPr>
        <w:t>studie</w:t>
      </w:r>
      <w:r w:rsidR="00A25EE8" w:rsidRPr="00CE427E">
        <w:rPr>
          <w:rFonts w:eastAsia="Calibri"/>
          <w:szCs w:val="22"/>
        </w:rPr>
        <w:t xml:space="preserve">s receiving </w:t>
      </w:r>
      <w:r w:rsidR="0093307D" w:rsidRPr="00CE427E">
        <w:rPr>
          <w:rFonts w:eastAsia="Calibri"/>
          <w:szCs w:val="22"/>
        </w:rPr>
        <w:t>trastuzumab</w:t>
      </w:r>
      <w:r w:rsidR="00A25EE8" w:rsidRPr="00CE427E">
        <w:rPr>
          <w:rFonts w:eastAsia="Calibri"/>
          <w:szCs w:val="22"/>
        </w:rPr>
        <w:t> </w:t>
      </w:r>
      <w:r w:rsidR="00D248DE" w:rsidRPr="00CE427E">
        <w:rPr>
          <w:rFonts w:eastAsia="Calibri"/>
          <w:szCs w:val="22"/>
        </w:rPr>
        <w:t>intravenously</w:t>
      </w:r>
      <w:r w:rsidRPr="00CE427E">
        <w:rPr>
          <w:rFonts w:eastAsia="Calibri"/>
          <w:szCs w:val="22"/>
        </w:rPr>
        <w:t>. A two</w:t>
      </w:r>
      <w:r w:rsidRPr="00CE427E">
        <w:rPr>
          <w:rFonts w:eastAsia="Calibri"/>
          <w:szCs w:val="22"/>
        </w:rPr>
        <w:noBreakHyphen/>
        <w:t>compartment model with parallel linear and non</w:t>
      </w:r>
      <w:r w:rsidRPr="00CE427E">
        <w:rPr>
          <w:rFonts w:eastAsia="Calibri"/>
          <w:szCs w:val="22"/>
        </w:rPr>
        <w:noBreakHyphen/>
        <w:t>linear elimination from the central compartment described the trastuzumab concentration</w:t>
      </w:r>
      <w:r w:rsidRPr="00CE427E">
        <w:rPr>
          <w:rFonts w:eastAsia="Calibri"/>
          <w:szCs w:val="22"/>
        </w:rPr>
        <w:noBreakHyphen/>
        <w:t>time profile. Due to non</w:t>
      </w:r>
      <w:r w:rsidRPr="00CE427E">
        <w:rPr>
          <w:rFonts w:eastAsia="Calibri"/>
          <w:szCs w:val="22"/>
        </w:rPr>
        <w:noBreakHyphen/>
        <w:t>linear elimination, total clearance increased with decreasing concentration. Therefore, no constant value for half</w:t>
      </w:r>
      <w:r w:rsidRPr="00CE427E">
        <w:rPr>
          <w:rFonts w:eastAsia="Calibri"/>
          <w:szCs w:val="22"/>
        </w:rPr>
        <w:noBreakHyphen/>
        <w:t>life of trastuzumab can be deduced. The t</w:t>
      </w:r>
      <w:r w:rsidRPr="00CE427E">
        <w:rPr>
          <w:rFonts w:eastAsia="Calibri"/>
          <w:szCs w:val="22"/>
          <w:vertAlign w:val="subscript"/>
        </w:rPr>
        <w:t>1/2</w:t>
      </w:r>
      <w:r w:rsidRPr="00CE427E">
        <w:rPr>
          <w:rFonts w:eastAsia="Calibri"/>
          <w:szCs w:val="22"/>
        </w:rPr>
        <w:t xml:space="preserve"> decreases with decreasing concentrations within a dosing interval (see Table 16). MBC and EBC patients had similar PK parameters (e.g. clearance (CL), the central compartment volume (V</w:t>
      </w:r>
      <w:r w:rsidRPr="00CE427E">
        <w:rPr>
          <w:rFonts w:eastAsia="Calibri"/>
          <w:szCs w:val="22"/>
          <w:vertAlign w:val="subscript"/>
        </w:rPr>
        <w:t>c</w:t>
      </w:r>
      <w:r w:rsidRPr="00CE427E">
        <w:rPr>
          <w:rFonts w:eastAsia="Calibri"/>
          <w:szCs w:val="22"/>
        </w:rPr>
        <w:t>)) and population</w:t>
      </w:r>
      <w:r w:rsidRPr="00CE427E">
        <w:rPr>
          <w:rFonts w:eastAsia="Calibri"/>
          <w:szCs w:val="22"/>
        </w:rPr>
        <w:noBreakHyphen/>
        <w:t>predicted steady</w:t>
      </w:r>
      <w:r w:rsidRPr="00CE427E">
        <w:rPr>
          <w:rFonts w:eastAsia="Calibri"/>
          <w:szCs w:val="22"/>
        </w:rPr>
        <w:noBreakHyphen/>
        <w:t>state exposures (C</w:t>
      </w:r>
      <w:r w:rsidRPr="00CE427E">
        <w:rPr>
          <w:rFonts w:eastAsia="Calibri"/>
          <w:szCs w:val="22"/>
          <w:vertAlign w:val="subscript"/>
        </w:rPr>
        <w:t>min</w:t>
      </w:r>
      <w:r w:rsidRPr="00CE427E">
        <w:rPr>
          <w:rFonts w:eastAsia="Calibri"/>
          <w:szCs w:val="22"/>
        </w:rPr>
        <w:t>, C</w:t>
      </w:r>
      <w:r w:rsidRPr="00CE427E">
        <w:rPr>
          <w:rFonts w:eastAsia="Calibri"/>
          <w:szCs w:val="22"/>
          <w:vertAlign w:val="subscript"/>
        </w:rPr>
        <w:t>max</w:t>
      </w:r>
      <w:r w:rsidRPr="00CE427E">
        <w:rPr>
          <w:rFonts w:eastAsia="Calibri"/>
          <w:szCs w:val="22"/>
        </w:rPr>
        <w:t xml:space="preserve"> and AUC). Linear clearance was 0.136 L/day for MBC, 0.112 L/day for EBC and 0.176 L/day for AGC. The non</w:t>
      </w:r>
      <w:r w:rsidRPr="00CE427E">
        <w:rPr>
          <w:rFonts w:eastAsia="Calibri"/>
          <w:szCs w:val="22"/>
        </w:rPr>
        <w:noBreakHyphen/>
        <w:t>linear elimination parameter values were 8.81 mg/day for the maximum elimination rate (V</w:t>
      </w:r>
      <w:r w:rsidRPr="00CE427E">
        <w:rPr>
          <w:rFonts w:eastAsia="Calibri"/>
          <w:szCs w:val="22"/>
          <w:vertAlign w:val="subscript"/>
        </w:rPr>
        <w:t>max</w:t>
      </w:r>
      <w:r w:rsidRPr="00CE427E">
        <w:rPr>
          <w:rFonts w:eastAsia="Calibri"/>
          <w:szCs w:val="22"/>
        </w:rPr>
        <w:t>) and 8.92 μg/mL for the Michaelis</w:t>
      </w:r>
      <w:r w:rsidRPr="00CE427E">
        <w:rPr>
          <w:rFonts w:eastAsia="Calibri"/>
          <w:szCs w:val="22"/>
        </w:rPr>
        <w:noBreakHyphen/>
        <w:t>Menten constant (K</w:t>
      </w:r>
      <w:r w:rsidRPr="00CE427E">
        <w:rPr>
          <w:rFonts w:eastAsia="Calibri"/>
          <w:szCs w:val="22"/>
          <w:vertAlign w:val="subscript"/>
        </w:rPr>
        <w:t>m</w:t>
      </w:r>
      <w:r w:rsidRPr="00CE427E">
        <w:rPr>
          <w:rFonts w:eastAsia="Calibri"/>
          <w:szCs w:val="22"/>
        </w:rPr>
        <w:t>) for the MBC, EBC, and AGC patients. The central compartment volume was 2.62 L for patients with MBC and EBC and 3.63 L for patients with AGC. In the final population PK model, in addition to primary tumo</w:t>
      </w:r>
      <w:r w:rsidR="003566B3" w:rsidRPr="00CE427E">
        <w:rPr>
          <w:rFonts w:eastAsia="Calibri"/>
          <w:szCs w:val="22"/>
        </w:rPr>
        <w:t>u</w:t>
      </w:r>
      <w:r w:rsidRPr="00CE427E">
        <w:rPr>
          <w:rFonts w:eastAsia="Calibri"/>
          <w:szCs w:val="22"/>
        </w:rPr>
        <w:t>r type, body</w:t>
      </w:r>
      <w:r w:rsidR="006006B9" w:rsidRPr="00CE427E">
        <w:rPr>
          <w:rFonts w:eastAsia="Calibri"/>
          <w:szCs w:val="22"/>
        </w:rPr>
        <w:t xml:space="preserve"> </w:t>
      </w:r>
      <w:r w:rsidRPr="00CE427E">
        <w:rPr>
          <w:rFonts w:eastAsia="Calibri"/>
          <w:szCs w:val="22"/>
        </w:rPr>
        <w:t>weight, serum aspartate aminotransferase and albumin were identified as a statistically significant covariates affecting the exposure of trastuzumab. However, the magnitude of effect of these covariates on trastuzumab exposure suggests that these covariates are unlikely to have a clinically meaningful effect on trastuzumab concentrations.</w:t>
      </w:r>
    </w:p>
    <w:p w14:paraId="177FD750" w14:textId="77777777" w:rsidR="00D501B8" w:rsidRPr="00CE427E" w:rsidRDefault="00D501B8" w:rsidP="006128F6">
      <w:pPr>
        <w:tabs>
          <w:tab w:val="clear" w:pos="567"/>
        </w:tabs>
        <w:autoSpaceDE w:val="0"/>
        <w:autoSpaceDN w:val="0"/>
        <w:adjustRightInd w:val="0"/>
        <w:spacing w:line="240" w:lineRule="auto"/>
        <w:rPr>
          <w:rFonts w:eastAsia="Calibri"/>
          <w:szCs w:val="22"/>
        </w:rPr>
      </w:pPr>
    </w:p>
    <w:p w14:paraId="1E73E192" w14:textId="726AC51E" w:rsidR="00D501B8" w:rsidRPr="00CE427E" w:rsidRDefault="00D501B8" w:rsidP="006128F6">
      <w:pPr>
        <w:tabs>
          <w:tab w:val="clear" w:pos="567"/>
        </w:tabs>
        <w:autoSpaceDE w:val="0"/>
        <w:autoSpaceDN w:val="0"/>
        <w:adjustRightInd w:val="0"/>
        <w:spacing w:line="240" w:lineRule="auto"/>
        <w:rPr>
          <w:rFonts w:eastAsia="Calibri"/>
          <w:szCs w:val="22"/>
        </w:rPr>
      </w:pPr>
      <w:r w:rsidRPr="00CE427E">
        <w:rPr>
          <w:rFonts w:eastAsia="Calibri"/>
          <w:szCs w:val="22"/>
        </w:rPr>
        <w:t>The population predicted PK exposure values (median with 5th </w:t>
      </w:r>
      <w:r w:rsidRPr="00CE427E">
        <w:rPr>
          <w:rFonts w:eastAsia="Calibri"/>
          <w:szCs w:val="22"/>
        </w:rPr>
        <w:noBreakHyphen/>
        <w:t> 95th Percentiles) and PK parameter values at clinically relevant concentrations (C</w:t>
      </w:r>
      <w:r w:rsidRPr="00CE427E">
        <w:rPr>
          <w:rFonts w:eastAsia="Calibri"/>
          <w:szCs w:val="22"/>
          <w:vertAlign w:val="subscript"/>
        </w:rPr>
        <w:t>max</w:t>
      </w:r>
      <w:r w:rsidRPr="00CE427E">
        <w:rPr>
          <w:rFonts w:eastAsia="Calibri"/>
          <w:szCs w:val="22"/>
        </w:rPr>
        <w:t xml:space="preserve"> and C</w:t>
      </w:r>
      <w:r w:rsidRPr="00CE427E">
        <w:rPr>
          <w:rFonts w:eastAsia="Calibri"/>
          <w:szCs w:val="22"/>
          <w:vertAlign w:val="subscript"/>
        </w:rPr>
        <w:t>min</w:t>
      </w:r>
      <w:r w:rsidRPr="00CE427E">
        <w:rPr>
          <w:rFonts w:eastAsia="Calibri"/>
          <w:szCs w:val="22"/>
        </w:rPr>
        <w:t xml:space="preserve">) for MBC, EBC and AGC patients treated with the approved q1w and q3w dosing regimens are shown in </w:t>
      </w:r>
      <w:r w:rsidR="003F2106" w:rsidRPr="00CE427E">
        <w:rPr>
          <w:rFonts w:eastAsia="Calibri"/>
          <w:szCs w:val="22"/>
        </w:rPr>
        <w:t>t</w:t>
      </w:r>
      <w:r w:rsidRPr="00CE427E">
        <w:rPr>
          <w:rFonts w:eastAsia="Calibri"/>
          <w:szCs w:val="22"/>
        </w:rPr>
        <w:t>able 14 (</w:t>
      </w:r>
      <w:r w:rsidR="003F2106" w:rsidRPr="00CE427E">
        <w:rPr>
          <w:rFonts w:eastAsia="Calibri"/>
          <w:szCs w:val="22"/>
        </w:rPr>
        <w:t>c</w:t>
      </w:r>
      <w:r w:rsidRPr="00CE427E">
        <w:rPr>
          <w:rFonts w:eastAsia="Calibri"/>
          <w:szCs w:val="22"/>
        </w:rPr>
        <w:t xml:space="preserve">ycle 1), </w:t>
      </w:r>
      <w:r w:rsidR="003F2106" w:rsidRPr="00CE427E">
        <w:rPr>
          <w:rFonts w:eastAsia="Calibri"/>
          <w:szCs w:val="22"/>
        </w:rPr>
        <w:t>t</w:t>
      </w:r>
      <w:r w:rsidRPr="00CE427E">
        <w:rPr>
          <w:rFonts w:eastAsia="Calibri"/>
          <w:szCs w:val="22"/>
        </w:rPr>
        <w:t>able 15 (steady</w:t>
      </w:r>
      <w:r w:rsidR="00D57697">
        <w:rPr>
          <w:rFonts w:eastAsia="Calibri"/>
          <w:szCs w:val="22"/>
        </w:rPr>
        <w:noBreakHyphen/>
      </w:r>
      <w:r w:rsidRPr="00CE427E">
        <w:rPr>
          <w:rFonts w:eastAsia="Calibri"/>
          <w:szCs w:val="22"/>
        </w:rPr>
        <w:t xml:space="preserve">state), and </w:t>
      </w:r>
      <w:r w:rsidR="003F2106" w:rsidRPr="00CE427E">
        <w:rPr>
          <w:rFonts w:eastAsia="Calibri"/>
          <w:szCs w:val="22"/>
        </w:rPr>
        <w:t>t</w:t>
      </w:r>
      <w:r w:rsidRPr="00CE427E">
        <w:rPr>
          <w:rFonts w:eastAsia="Calibri"/>
          <w:szCs w:val="22"/>
        </w:rPr>
        <w:t>able 16 (PK parameters).</w:t>
      </w:r>
    </w:p>
    <w:p w14:paraId="5EA158C8" w14:textId="77777777" w:rsidR="00D501B8" w:rsidRPr="00CE427E" w:rsidRDefault="00D501B8" w:rsidP="006128F6">
      <w:pPr>
        <w:tabs>
          <w:tab w:val="clear" w:pos="567"/>
        </w:tabs>
        <w:autoSpaceDE w:val="0"/>
        <w:autoSpaceDN w:val="0"/>
        <w:adjustRightInd w:val="0"/>
        <w:spacing w:line="240" w:lineRule="auto"/>
        <w:rPr>
          <w:rFonts w:eastAsia="Calibri"/>
          <w:szCs w:val="22"/>
        </w:rPr>
      </w:pPr>
    </w:p>
    <w:p w14:paraId="6ED7DA14" w14:textId="1D1C0EE1" w:rsidR="00D501B8" w:rsidRPr="00CE427E" w:rsidRDefault="00D501B8" w:rsidP="006128F6">
      <w:pPr>
        <w:keepNext/>
        <w:tabs>
          <w:tab w:val="clear" w:pos="567"/>
        </w:tabs>
        <w:autoSpaceDE w:val="0"/>
        <w:autoSpaceDN w:val="0"/>
        <w:adjustRightInd w:val="0"/>
        <w:spacing w:line="240" w:lineRule="auto"/>
        <w:rPr>
          <w:rFonts w:eastAsia="Calibri"/>
          <w:b/>
          <w:szCs w:val="22"/>
        </w:rPr>
      </w:pPr>
      <w:r w:rsidRPr="00CE427E">
        <w:rPr>
          <w:rFonts w:eastAsia="Calibri"/>
          <w:b/>
          <w:szCs w:val="22"/>
        </w:rPr>
        <w:lastRenderedPageBreak/>
        <w:t>Table 14 Population predicted cycle 1 PK exposure values (median with 5th </w:t>
      </w:r>
      <w:r w:rsidRPr="00CE427E">
        <w:rPr>
          <w:rFonts w:eastAsia="Calibri"/>
          <w:b/>
          <w:szCs w:val="22"/>
        </w:rPr>
        <w:noBreakHyphen/>
        <w:t xml:space="preserve"> 95th percentiles) for </w:t>
      </w:r>
      <w:r w:rsidR="0093307D" w:rsidRPr="00CE427E">
        <w:rPr>
          <w:rFonts w:eastAsia="Calibri"/>
          <w:b/>
          <w:szCs w:val="22"/>
        </w:rPr>
        <w:t>trastuzumab</w:t>
      </w:r>
      <w:r w:rsidRPr="00CE427E">
        <w:rPr>
          <w:rFonts w:eastAsia="Calibri"/>
          <w:b/>
          <w:szCs w:val="22"/>
        </w:rPr>
        <w:t xml:space="preserve"> </w:t>
      </w:r>
      <w:r w:rsidR="00D248DE" w:rsidRPr="00CE427E">
        <w:rPr>
          <w:rFonts w:eastAsia="Calibri"/>
          <w:b/>
          <w:szCs w:val="22"/>
        </w:rPr>
        <w:t>intravenous</w:t>
      </w:r>
      <w:r w:rsidRPr="00CE427E">
        <w:rPr>
          <w:rFonts w:eastAsia="Calibri"/>
          <w:b/>
          <w:szCs w:val="22"/>
        </w:rPr>
        <w:t xml:space="preserve"> dosing regimens in MBC, EBC and AGC patients</w:t>
      </w:r>
    </w:p>
    <w:p w14:paraId="69D620E8" w14:textId="77777777" w:rsidR="00552C97" w:rsidRPr="00CE427E" w:rsidRDefault="00552C97" w:rsidP="006128F6">
      <w:pPr>
        <w:keepNext/>
        <w:tabs>
          <w:tab w:val="clear" w:pos="567"/>
        </w:tabs>
        <w:autoSpaceDE w:val="0"/>
        <w:autoSpaceDN w:val="0"/>
        <w:adjustRightInd w:val="0"/>
        <w:spacing w:line="240" w:lineRule="auto"/>
        <w:rPr>
          <w:rFonts w:eastAsia="Calibri"/>
          <w:b/>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559"/>
        <w:gridCol w:w="993"/>
        <w:gridCol w:w="1721"/>
        <w:gridCol w:w="1722"/>
        <w:gridCol w:w="1802"/>
      </w:tblGrid>
      <w:tr w:rsidR="00552C97" w:rsidRPr="006128F6" w14:paraId="373602CD" w14:textId="77777777" w:rsidTr="003F2106">
        <w:trPr>
          <w:trHeight w:val="483"/>
        </w:trPr>
        <w:tc>
          <w:tcPr>
            <w:tcW w:w="1417" w:type="dxa"/>
            <w:shd w:val="clear" w:color="auto" w:fill="auto"/>
            <w:noWrap/>
            <w:vAlign w:val="center"/>
            <w:hideMark/>
          </w:tcPr>
          <w:p w14:paraId="56B956FF" w14:textId="77777777" w:rsidR="00552C97" w:rsidRPr="006128F6" w:rsidRDefault="00552C97" w:rsidP="006128F6">
            <w:pPr>
              <w:keepNext/>
              <w:tabs>
                <w:tab w:val="clear" w:pos="567"/>
              </w:tabs>
              <w:spacing w:line="240" w:lineRule="auto"/>
              <w:jc w:val="center"/>
              <w:rPr>
                <w:b/>
                <w:color w:val="000000"/>
                <w:szCs w:val="22"/>
                <w:lang w:eastAsia="en-GB"/>
              </w:rPr>
            </w:pPr>
            <w:r w:rsidRPr="006128F6">
              <w:rPr>
                <w:b/>
                <w:color w:val="000000"/>
                <w:szCs w:val="22"/>
                <w:lang w:eastAsia="en-GB"/>
              </w:rPr>
              <w:t>Regimen</w:t>
            </w:r>
          </w:p>
        </w:tc>
        <w:tc>
          <w:tcPr>
            <w:tcW w:w="1559" w:type="dxa"/>
            <w:shd w:val="clear" w:color="auto" w:fill="auto"/>
            <w:noWrap/>
            <w:vAlign w:val="center"/>
            <w:hideMark/>
          </w:tcPr>
          <w:p w14:paraId="1F4B5200" w14:textId="77777777" w:rsidR="00552C97" w:rsidRPr="006128F6" w:rsidRDefault="00552C97" w:rsidP="006128F6">
            <w:pPr>
              <w:keepNext/>
              <w:tabs>
                <w:tab w:val="clear" w:pos="567"/>
              </w:tabs>
              <w:spacing w:line="240" w:lineRule="auto"/>
              <w:jc w:val="center"/>
              <w:rPr>
                <w:b/>
                <w:color w:val="000000"/>
                <w:szCs w:val="22"/>
                <w:lang w:eastAsia="en-GB"/>
              </w:rPr>
            </w:pPr>
            <w:r w:rsidRPr="006128F6">
              <w:rPr>
                <w:b/>
                <w:color w:val="000000"/>
                <w:szCs w:val="22"/>
                <w:lang w:eastAsia="en-GB"/>
              </w:rPr>
              <w:t>Primary tumo</w:t>
            </w:r>
            <w:r w:rsidR="0055599E" w:rsidRPr="006128F6">
              <w:rPr>
                <w:b/>
                <w:color w:val="000000"/>
                <w:szCs w:val="22"/>
                <w:lang w:eastAsia="en-GB"/>
              </w:rPr>
              <w:t>u</w:t>
            </w:r>
            <w:r w:rsidRPr="006128F6">
              <w:rPr>
                <w:b/>
                <w:color w:val="000000"/>
                <w:szCs w:val="22"/>
                <w:lang w:eastAsia="en-GB"/>
              </w:rPr>
              <w:t>r type</w:t>
            </w:r>
          </w:p>
        </w:tc>
        <w:tc>
          <w:tcPr>
            <w:tcW w:w="993" w:type="dxa"/>
            <w:shd w:val="clear" w:color="auto" w:fill="auto"/>
            <w:noWrap/>
            <w:vAlign w:val="center"/>
            <w:hideMark/>
          </w:tcPr>
          <w:p w14:paraId="279589EA" w14:textId="77777777" w:rsidR="00552C97" w:rsidRPr="006128F6" w:rsidRDefault="00552C97" w:rsidP="006128F6">
            <w:pPr>
              <w:keepNext/>
              <w:tabs>
                <w:tab w:val="clear" w:pos="567"/>
              </w:tabs>
              <w:spacing w:line="240" w:lineRule="auto"/>
              <w:jc w:val="center"/>
              <w:rPr>
                <w:b/>
                <w:color w:val="000000"/>
                <w:szCs w:val="22"/>
                <w:lang w:eastAsia="en-GB"/>
              </w:rPr>
            </w:pPr>
            <w:r w:rsidRPr="006128F6">
              <w:rPr>
                <w:b/>
                <w:color w:val="000000"/>
                <w:szCs w:val="22"/>
                <w:lang w:eastAsia="en-GB"/>
              </w:rPr>
              <w:t>N</w:t>
            </w:r>
          </w:p>
        </w:tc>
        <w:tc>
          <w:tcPr>
            <w:tcW w:w="1721" w:type="dxa"/>
            <w:shd w:val="clear" w:color="auto" w:fill="auto"/>
            <w:noWrap/>
            <w:vAlign w:val="center"/>
            <w:hideMark/>
          </w:tcPr>
          <w:p w14:paraId="2ED8AD87" w14:textId="77777777" w:rsidR="00552C97" w:rsidRPr="005D7A39" w:rsidRDefault="00552C97" w:rsidP="006128F6">
            <w:pPr>
              <w:keepNext/>
              <w:tabs>
                <w:tab w:val="clear" w:pos="567"/>
              </w:tabs>
              <w:spacing w:line="240" w:lineRule="auto"/>
              <w:jc w:val="center"/>
              <w:rPr>
                <w:b/>
                <w:color w:val="000000"/>
                <w:szCs w:val="22"/>
                <w:lang w:eastAsia="en-GB"/>
              </w:rPr>
            </w:pPr>
            <w:r w:rsidRPr="005D7A39">
              <w:rPr>
                <w:b/>
                <w:color w:val="000000"/>
                <w:szCs w:val="22"/>
                <w:lang w:eastAsia="en-GB"/>
              </w:rPr>
              <w:t>C</w:t>
            </w:r>
            <w:r w:rsidRPr="005D7A39">
              <w:rPr>
                <w:b/>
                <w:color w:val="000000"/>
                <w:szCs w:val="22"/>
                <w:vertAlign w:val="subscript"/>
                <w:lang w:eastAsia="en-GB"/>
              </w:rPr>
              <w:t>min</w:t>
            </w:r>
            <w:r w:rsidRPr="005D7A39">
              <w:rPr>
                <w:b/>
                <w:color w:val="000000"/>
                <w:szCs w:val="22"/>
                <w:lang w:eastAsia="en-GB"/>
              </w:rPr>
              <w:t xml:space="preserve"> </w:t>
            </w:r>
          </w:p>
          <w:p w14:paraId="4985CD83" w14:textId="58738BDA" w:rsidR="00552C97" w:rsidRPr="005D7A39" w:rsidRDefault="00552C97" w:rsidP="006128F6">
            <w:pPr>
              <w:keepNext/>
              <w:tabs>
                <w:tab w:val="clear" w:pos="567"/>
              </w:tabs>
              <w:spacing w:line="240" w:lineRule="auto"/>
              <w:jc w:val="center"/>
              <w:rPr>
                <w:b/>
                <w:color w:val="000000"/>
                <w:szCs w:val="22"/>
                <w:lang w:eastAsia="en-GB"/>
              </w:rPr>
            </w:pPr>
            <w:r w:rsidRPr="005D7A39">
              <w:rPr>
                <w:b/>
                <w:color w:val="000000"/>
                <w:szCs w:val="22"/>
                <w:lang w:eastAsia="en-GB"/>
              </w:rPr>
              <w:t>(</w:t>
            </w:r>
            <w:r w:rsidR="00EE0352" w:rsidRPr="005D7A39">
              <w:rPr>
                <w:b/>
                <w:lang w:val="en-US"/>
              </w:rPr>
              <w:t>µg</w:t>
            </w:r>
            <w:r w:rsidRPr="005D7A39">
              <w:rPr>
                <w:b/>
                <w:color w:val="000000"/>
                <w:szCs w:val="22"/>
                <w:lang w:eastAsia="en-GB"/>
              </w:rPr>
              <w:t>/mL)</w:t>
            </w:r>
          </w:p>
        </w:tc>
        <w:tc>
          <w:tcPr>
            <w:tcW w:w="1722" w:type="dxa"/>
            <w:shd w:val="clear" w:color="auto" w:fill="auto"/>
            <w:noWrap/>
            <w:vAlign w:val="center"/>
            <w:hideMark/>
          </w:tcPr>
          <w:p w14:paraId="2D2A00A5" w14:textId="77777777" w:rsidR="00552C97" w:rsidRPr="008D5A11" w:rsidRDefault="00552C97" w:rsidP="006128F6">
            <w:pPr>
              <w:keepNext/>
              <w:tabs>
                <w:tab w:val="clear" w:pos="567"/>
              </w:tabs>
              <w:spacing w:line="240" w:lineRule="auto"/>
              <w:jc w:val="center"/>
              <w:rPr>
                <w:b/>
                <w:color w:val="000000"/>
                <w:szCs w:val="22"/>
                <w:lang w:eastAsia="en-GB"/>
              </w:rPr>
            </w:pPr>
            <w:r w:rsidRPr="005D7A39">
              <w:rPr>
                <w:b/>
                <w:color w:val="000000"/>
                <w:szCs w:val="22"/>
                <w:lang w:eastAsia="en-GB"/>
              </w:rPr>
              <w:t>C</w:t>
            </w:r>
            <w:r w:rsidRPr="005D7A39">
              <w:rPr>
                <w:b/>
                <w:color w:val="000000"/>
                <w:szCs w:val="22"/>
                <w:vertAlign w:val="subscript"/>
                <w:lang w:eastAsia="en-GB"/>
              </w:rPr>
              <w:t>max</w:t>
            </w:r>
            <w:r w:rsidRPr="008D5A11">
              <w:rPr>
                <w:b/>
                <w:color w:val="000000"/>
                <w:szCs w:val="22"/>
                <w:lang w:eastAsia="en-GB"/>
              </w:rPr>
              <w:t xml:space="preserve"> </w:t>
            </w:r>
          </w:p>
          <w:p w14:paraId="3F677C8E" w14:textId="63C91A49" w:rsidR="00552C97" w:rsidRPr="005D7A39" w:rsidRDefault="00552C97" w:rsidP="006128F6">
            <w:pPr>
              <w:keepNext/>
              <w:tabs>
                <w:tab w:val="clear" w:pos="567"/>
              </w:tabs>
              <w:spacing w:line="240" w:lineRule="auto"/>
              <w:jc w:val="center"/>
              <w:rPr>
                <w:b/>
                <w:color w:val="000000"/>
                <w:szCs w:val="22"/>
                <w:lang w:eastAsia="en-GB"/>
              </w:rPr>
            </w:pPr>
            <w:r w:rsidRPr="008D5A11">
              <w:rPr>
                <w:b/>
                <w:color w:val="000000"/>
                <w:szCs w:val="22"/>
                <w:lang w:eastAsia="en-GB"/>
              </w:rPr>
              <w:t>(</w:t>
            </w:r>
            <w:r w:rsidR="00EE0352" w:rsidRPr="005D7A39">
              <w:rPr>
                <w:b/>
                <w:lang w:val="en-US"/>
              </w:rPr>
              <w:t>µg</w:t>
            </w:r>
            <w:r w:rsidRPr="005D7A39">
              <w:rPr>
                <w:b/>
                <w:color w:val="000000"/>
                <w:szCs w:val="22"/>
                <w:lang w:eastAsia="en-GB"/>
              </w:rPr>
              <w:t>/mL)</w:t>
            </w:r>
          </w:p>
        </w:tc>
        <w:tc>
          <w:tcPr>
            <w:tcW w:w="1802" w:type="dxa"/>
            <w:shd w:val="clear" w:color="auto" w:fill="auto"/>
            <w:noWrap/>
            <w:vAlign w:val="center"/>
            <w:hideMark/>
          </w:tcPr>
          <w:p w14:paraId="0022196C" w14:textId="35025888" w:rsidR="00552C97" w:rsidRPr="005D7A39" w:rsidRDefault="00552C97" w:rsidP="006128F6">
            <w:pPr>
              <w:keepNext/>
              <w:tabs>
                <w:tab w:val="clear" w:pos="567"/>
              </w:tabs>
              <w:spacing w:line="240" w:lineRule="auto"/>
              <w:jc w:val="center"/>
              <w:rPr>
                <w:b/>
                <w:color w:val="000000"/>
                <w:szCs w:val="22"/>
                <w:lang w:eastAsia="en-GB"/>
              </w:rPr>
            </w:pPr>
            <w:r w:rsidRPr="005D7A39">
              <w:rPr>
                <w:b/>
                <w:color w:val="000000"/>
                <w:szCs w:val="22"/>
                <w:lang w:eastAsia="en-GB"/>
              </w:rPr>
              <w:t>AUC</w:t>
            </w:r>
            <w:r w:rsidRPr="005D7A39">
              <w:rPr>
                <w:b/>
                <w:color w:val="000000"/>
                <w:szCs w:val="22"/>
                <w:vertAlign w:val="subscript"/>
                <w:lang w:eastAsia="en-GB"/>
              </w:rPr>
              <w:t>0-21days</w:t>
            </w:r>
            <w:r w:rsidRPr="005D7A39">
              <w:rPr>
                <w:b/>
                <w:color w:val="000000"/>
                <w:szCs w:val="22"/>
                <w:lang w:eastAsia="en-GB"/>
              </w:rPr>
              <w:t xml:space="preserve"> (</w:t>
            </w:r>
            <w:r w:rsidR="00EE0352" w:rsidRPr="005D7A39">
              <w:rPr>
                <w:b/>
                <w:lang w:val="en-US"/>
              </w:rPr>
              <w:t>µg</w:t>
            </w:r>
            <w:r w:rsidRPr="005D7A39">
              <w:rPr>
                <w:b/>
                <w:color w:val="000000"/>
                <w:szCs w:val="22"/>
                <w:lang w:eastAsia="en-GB"/>
              </w:rPr>
              <w:t>.day/mL)</w:t>
            </w:r>
          </w:p>
        </w:tc>
      </w:tr>
      <w:tr w:rsidR="00552C97" w:rsidRPr="006128F6" w14:paraId="71AC20E3" w14:textId="77777777" w:rsidTr="003F2106">
        <w:trPr>
          <w:trHeight w:val="547"/>
        </w:trPr>
        <w:tc>
          <w:tcPr>
            <w:tcW w:w="1417" w:type="dxa"/>
            <w:vMerge w:val="restart"/>
            <w:shd w:val="clear" w:color="auto" w:fill="auto"/>
            <w:noWrap/>
            <w:vAlign w:val="center"/>
            <w:hideMark/>
          </w:tcPr>
          <w:p w14:paraId="2E163FA7" w14:textId="32F2357F" w:rsidR="00552C97" w:rsidRPr="006958EC" w:rsidRDefault="00552C97" w:rsidP="006128F6">
            <w:pPr>
              <w:keepNext/>
              <w:tabs>
                <w:tab w:val="clear" w:pos="567"/>
              </w:tabs>
              <w:spacing w:line="240" w:lineRule="auto"/>
              <w:rPr>
                <w:color w:val="000000"/>
                <w:szCs w:val="22"/>
                <w:lang w:val="nl-NL" w:eastAsia="en-GB"/>
              </w:rPr>
            </w:pPr>
            <w:r w:rsidRPr="006958EC">
              <w:rPr>
                <w:color w:val="000000"/>
                <w:szCs w:val="22"/>
                <w:lang w:val="nl-NL" w:eastAsia="en-GB"/>
              </w:rPr>
              <w:t>8</w:t>
            </w:r>
            <w:r w:rsidR="00CB45CA" w:rsidRPr="006958EC">
              <w:rPr>
                <w:color w:val="000000"/>
                <w:szCs w:val="22"/>
                <w:lang w:val="nl-NL" w:eastAsia="en-GB"/>
              </w:rPr>
              <w:t> </w:t>
            </w:r>
            <w:r w:rsidRPr="006958EC">
              <w:rPr>
                <w:color w:val="000000"/>
                <w:szCs w:val="22"/>
                <w:lang w:val="nl-NL" w:eastAsia="en-GB"/>
              </w:rPr>
              <w:t>mg/kg +</w:t>
            </w:r>
          </w:p>
          <w:p w14:paraId="2694AEFB" w14:textId="2EC50362" w:rsidR="00552C97" w:rsidRPr="006958EC" w:rsidRDefault="00552C97" w:rsidP="006128F6">
            <w:pPr>
              <w:keepNext/>
              <w:tabs>
                <w:tab w:val="clear" w:pos="567"/>
              </w:tabs>
              <w:spacing w:line="240" w:lineRule="auto"/>
              <w:rPr>
                <w:color w:val="000000"/>
                <w:szCs w:val="22"/>
                <w:lang w:val="nl-NL" w:eastAsia="en-GB"/>
              </w:rPr>
            </w:pPr>
            <w:r w:rsidRPr="006958EC">
              <w:rPr>
                <w:color w:val="000000"/>
                <w:szCs w:val="22"/>
                <w:lang w:val="nl-NL" w:eastAsia="en-GB"/>
              </w:rPr>
              <w:t>6</w:t>
            </w:r>
            <w:r w:rsidR="00CB45CA" w:rsidRPr="006958EC">
              <w:rPr>
                <w:color w:val="000000"/>
                <w:szCs w:val="22"/>
                <w:lang w:val="nl-NL" w:eastAsia="en-GB"/>
              </w:rPr>
              <w:t> </w:t>
            </w:r>
            <w:r w:rsidRPr="006958EC">
              <w:rPr>
                <w:color w:val="000000"/>
                <w:szCs w:val="22"/>
                <w:lang w:val="nl-NL" w:eastAsia="en-GB"/>
              </w:rPr>
              <w:t>mg/kg q3w</w:t>
            </w:r>
          </w:p>
        </w:tc>
        <w:tc>
          <w:tcPr>
            <w:tcW w:w="1559" w:type="dxa"/>
            <w:shd w:val="clear" w:color="auto" w:fill="auto"/>
            <w:noWrap/>
            <w:vAlign w:val="center"/>
            <w:hideMark/>
          </w:tcPr>
          <w:p w14:paraId="31098756" w14:textId="77777777"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MBC</w:t>
            </w:r>
          </w:p>
        </w:tc>
        <w:tc>
          <w:tcPr>
            <w:tcW w:w="993" w:type="dxa"/>
            <w:shd w:val="clear" w:color="auto" w:fill="auto"/>
            <w:noWrap/>
            <w:vAlign w:val="center"/>
            <w:hideMark/>
          </w:tcPr>
          <w:p w14:paraId="5599B1E7" w14:textId="77777777"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805</w:t>
            </w:r>
          </w:p>
        </w:tc>
        <w:tc>
          <w:tcPr>
            <w:tcW w:w="1721" w:type="dxa"/>
            <w:shd w:val="clear" w:color="auto" w:fill="auto"/>
            <w:noWrap/>
            <w:vAlign w:val="center"/>
            <w:hideMark/>
          </w:tcPr>
          <w:p w14:paraId="044AC596" w14:textId="77777777"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28.7</w:t>
            </w:r>
          </w:p>
          <w:p w14:paraId="438AB6BA" w14:textId="77777777"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(2.9</w:t>
            </w:r>
            <w:r w:rsidRPr="006128F6">
              <w:rPr>
                <w:color w:val="000000"/>
                <w:szCs w:val="22"/>
                <w:lang w:eastAsia="en-GB"/>
              </w:rPr>
              <w:noBreakHyphen/>
              <w:t>46.3)</w:t>
            </w:r>
          </w:p>
        </w:tc>
        <w:tc>
          <w:tcPr>
            <w:tcW w:w="1722" w:type="dxa"/>
            <w:shd w:val="clear" w:color="auto" w:fill="auto"/>
            <w:noWrap/>
            <w:vAlign w:val="center"/>
            <w:hideMark/>
          </w:tcPr>
          <w:p w14:paraId="3B90CFFE" w14:textId="77777777"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182</w:t>
            </w:r>
          </w:p>
          <w:p w14:paraId="3D88159F" w14:textId="77777777"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(134</w:t>
            </w:r>
            <w:r w:rsidRPr="006128F6">
              <w:rPr>
                <w:color w:val="000000"/>
                <w:szCs w:val="22"/>
                <w:lang w:eastAsia="en-GB"/>
              </w:rPr>
              <w:noBreakHyphen/>
              <w:t>280)</w:t>
            </w:r>
          </w:p>
        </w:tc>
        <w:tc>
          <w:tcPr>
            <w:tcW w:w="1802" w:type="dxa"/>
            <w:shd w:val="clear" w:color="auto" w:fill="auto"/>
            <w:noWrap/>
            <w:vAlign w:val="center"/>
            <w:hideMark/>
          </w:tcPr>
          <w:p w14:paraId="28B24024" w14:textId="39A923FF"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1</w:t>
            </w:r>
            <w:r w:rsidR="000B44AA">
              <w:rPr>
                <w:color w:val="000000"/>
                <w:szCs w:val="22"/>
                <w:lang w:eastAsia="en-GB"/>
              </w:rPr>
              <w:t> </w:t>
            </w:r>
            <w:r w:rsidRPr="006128F6">
              <w:rPr>
                <w:color w:val="000000"/>
                <w:szCs w:val="22"/>
                <w:lang w:eastAsia="en-GB"/>
              </w:rPr>
              <w:t>376</w:t>
            </w:r>
          </w:p>
          <w:p w14:paraId="59537493" w14:textId="12671621"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(72</w:t>
            </w:r>
            <w:r w:rsidR="00616B64">
              <w:rPr>
                <w:color w:val="000000"/>
                <w:szCs w:val="22"/>
                <w:lang w:eastAsia="en-GB"/>
              </w:rPr>
              <w:t>8</w:t>
            </w:r>
            <w:r w:rsidRPr="006128F6">
              <w:rPr>
                <w:color w:val="000000"/>
                <w:szCs w:val="22"/>
                <w:lang w:eastAsia="en-GB"/>
              </w:rPr>
              <w:t> </w:t>
            </w:r>
            <w:r w:rsidRPr="006128F6">
              <w:rPr>
                <w:color w:val="000000"/>
                <w:szCs w:val="22"/>
                <w:lang w:eastAsia="en-GB"/>
              </w:rPr>
              <w:noBreakHyphen/>
              <w:t>1</w:t>
            </w:r>
            <w:r w:rsidR="000B44AA">
              <w:rPr>
                <w:color w:val="000000"/>
                <w:szCs w:val="22"/>
                <w:lang w:eastAsia="en-GB"/>
              </w:rPr>
              <w:t> </w:t>
            </w:r>
            <w:r w:rsidRPr="006128F6">
              <w:rPr>
                <w:color w:val="000000"/>
                <w:szCs w:val="22"/>
                <w:lang w:eastAsia="en-GB"/>
              </w:rPr>
              <w:t>998)</w:t>
            </w:r>
          </w:p>
        </w:tc>
      </w:tr>
      <w:tr w:rsidR="00552C97" w:rsidRPr="006128F6" w14:paraId="2937AF11" w14:textId="77777777" w:rsidTr="003F2106">
        <w:trPr>
          <w:trHeight w:val="555"/>
        </w:trPr>
        <w:tc>
          <w:tcPr>
            <w:tcW w:w="1417" w:type="dxa"/>
            <w:vMerge/>
            <w:shd w:val="clear" w:color="auto" w:fill="auto"/>
            <w:noWrap/>
            <w:vAlign w:val="bottom"/>
            <w:hideMark/>
          </w:tcPr>
          <w:p w14:paraId="73769D79" w14:textId="77777777" w:rsidR="00552C97" w:rsidRPr="006128F6" w:rsidRDefault="00552C97" w:rsidP="006128F6">
            <w:pPr>
              <w:keepNext/>
              <w:tabs>
                <w:tab w:val="clear" w:pos="567"/>
              </w:tabs>
              <w:spacing w:line="240" w:lineRule="auto"/>
              <w:rPr>
                <w:color w:val="000000"/>
                <w:szCs w:val="22"/>
                <w:lang w:eastAsia="en-GB"/>
              </w:rPr>
            </w:pPr>
          </w:p>
        </w:tc>
        <w:tc>
          <w:tcPr>
            <w:tcW w:w="1559" w:type="dxa"/>
            <w:shd w:val="clear" w:color="auto" w:fill="auto"/>
            <w:noWrap/>
            <w:vAlign w:val="center"/>
            <w:hideMark/>
          </w:tcPr>
          <w:p w14:paraId="28841249" w14:textId="77777777"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EBC</w:t>
            </w:r>
          </w:p>
        </w:tc>
        <w:tc>
          <w:tcPr>
            <w:tcW w:w="993" w:type="dxa"/>
            <w:shd w:val="clear" w:color="auto" w:fill="auto"/>
            <w:noWrap/>
            <w:vAlign w:val="center"/>
            <w:hideMark/>
          </w:tcPr>
          <w:p w14:paraId="6DBE4093" w14:textId="77777777"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390</w:t>
            </w:r>
          </w:p>
        </w:tc>
        <w:tc>
          <w:tcPr>
            <w:tcW w:w="1721" w:type="dxa"/>
            <w:shd w:val="clear" w:color="auto" w:fill="auto"/>
            <w:noWrap/>
            <w:vAlign w:val="center"/>
            <w:hideMark/>
          </w:tcPr>
          <w:p w14:paraId="36C0413D" w14:textId="77777777"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30.9</w:t>
            </w:r>
          </w:p>
          <w:p w14:paraId="08938220" w14:textId="77777777"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(18.7</w:t>
            </w:r>
            <w:r w:rsidRPr="006128F6">
              <w:rPr>
                <w:color w:val="000000"/>
                <w:szCs w:val="22"/>
                <w:lang w:eastAsia="en-GB"/>
              </w:rPr>
              <w:noBreakHyphen/>
              <w:t>45.5)</w:t>
            </w:r>
          </w:p>
        </w:tc>
        <w:tc>
          <w:tcPr>
            <w:tcW w:w="1722" w:type="dxa"/>
            <w:shd w:val="clear" w:color="auto" w:fill="auto"/>
            <w:noWrap/>
            <w:vAlign w:val="center"/>
            <w:hideMark/>
          </w:tcPr>
          <w:p w14:paraId="1DF3CB9C" w14:textId="77777777"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176</w:t>
            </w:r>
          </w:p>
          <w:p w14:paraId="2CD6EC2D" w14:textId="77777777"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(127</w:t>
            </w:r>
            <w:r w:rsidRPr="006128F6">
              <w:rPr>
                <w:color w:val="000000"/>
                <w:szCs w:val="22"/>
                <w:lang w:eastAsia="en-GB"/>
              </w:rPr>
              <w:noBreakHyphen/>
              <w:t>227)</w:t>
            </w:r>
          </w:p>
        </w:tc>
        <w:tc>
          <w:tcPr>
            <w:tcW w:w="1802" w:type="dxa"/>
            <w:shd w:val="clear" w:color="auto" w:fill="auto"/>
            <w:noWrap/>
            <w:vAlign w:val="center"/>
            <w:hideMark/>
          </w:tcPr>
          <w:p w14:paraId="4C2F3F48" w14:textId="28D6BEF0"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1</w:t>
            </w:r>
            <w:r w:rsidR="000B44AA">
              <w:rPr>
                <w:color w:val="000000"/>
                <w:szCs w:val="22"/>
                <w:lang w:eastAsia="en-GB"/>
              </w:rPr>
              <w:t> </w:t>
            </w:r>
            <w:r w:rsidRPr="006128F6">
              <w:rPr>
                <w:color w:val="000000"/>
                <w:szCs w:val="22"/>
                <w:lang w:eastAsia="en-GB"/>
              </w:rPr>
              <w:t>390</w:t>
            </w:r>
          </w:p>
          <w:p w14:paraId="4B9B8B31" w14:textId="0A8F573D"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(1</w:t>
            </w:r>
            <w:r w:rsidR="000B44AA">
              <w:rPr>
                <w:color w:val="000000"/>
                <w:szCs w:val="22"/>
                <w:lang w:eastAsia="en-GB"/>
              </w:rPr>
              <w:t> </w:t>
            </w:r>
            <w:r w:rsidRPr="006128F6">
              <w:rPr>
                <w:color w:val="000000"/>
                <w:szCs w:val="22"/>
                <w:lang w:eastAsia="en-GB"/>
              </w:rPr>
              <w:t>039</w:t>
            </w:r>
            <w:r w:rsidRPr="006128F6">
              <w:rPr>
                <w:color w:val="000000"/>
                <w:szCs w:val="22"/>
                <w:lang w:eastAsia="en-GB"/>
              </w:rPr>
              <w:noBreakHyphen/>
              <w:t>1</w:t>
            </w:r>
            <w:r w:rsidR="000B44AA">
              <w:rPr>
                <w:color w:val="000000"/>
                <w:szCs w:val="22"/>
                <w:lang w:eastAsia="en-GB"/>
              </w:rPr>
              <w:t> </w:t>
            </w:r>
            <w:r w:rsidRPr="006128F6">
              <w:rPr>
                <w:color w:val="000000"/>
                <w:szCs w:val="22"/>
                <w:lang w:eastAsia="en-GB"/>
              </w:rPr>
              <w:t>895)</w:t>
            </w:r>
          </w:p>
        </w:tc>
      </w:tr>
      <w:tr w:rsidR="00552C97" w:rsidRPr="006128F6" w14:paraId="07501CFA" w14:textId="77777777" w:rsidTr="003F2106">
        <w:trPr>
          <w:trHeight w:val="549"/>
        </w:trPr>
        <w:tc>
          <w:tcPr>
            <w:tcW w:w="1417" w:type="dxa"/>
            <w:vMerge/>
            <w:shd w:val="clear" w:color="auto" w:fill="auto"/>
            <w:noWrap/>
            <w:vAlign w:val="bottom"/>
            <w:hideMark/>
          </w:tcPr>
          <w:p w14:paraId="5843F7F7" w14:textId="77777777" w:rsidR="00552C97" w:rsidRPr="006128F6" w:rsidRDefault="00552C97" w:rsidP="006128F6">
            <w:pPr>
              <w:keepNext/>
              <w:tabs>
                <w:tab w:val="clear" w:pos="567"/>
              </w:tabs>
              <w:spacing w:line="240" w:lineRule="auto"/>
              <w:rPr>
                <w:color w:val="000000"/>
                <w:szCs w:val="22"/>
                <w:lang w:eastAsia="en-GB"/>
              </w:rPr>
            </w:pPr>
          </w:p>
        </w:tc>
        <w:tc>
          <w:tcPr>
            <w:tcW w:w="1559" w:type="dxa"/>
            <w:shd w:val="clear" w:color="auto" w:fill="auto"/>
            <w:noWrap/>
            <w:vAlign w:val="center"/>
            <w:hideMark/>
          </w:tcPr>
          <w:p w14:paraId="428CA1F0" w14:textId="77777777"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AGC</w:t>
            </w:r>
          </w:p>
        </w:tc>
        <w:tc>
          <w:tcPr>
            <w:tcW w:w="993" w:type="dxa"/>
            <w:shd w:val="clear" w:color="auto" w:fill="auto"/>
            <w:noWrap/>
            <w:vAlign w:val="center"/>
            <w:hideMark/>
          </w:tcPr>
          <w:p w14:paraId="282D3A8C" w14:textId="77777777"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274</w:t>
            </w:r>
          </w:p>
        </w:tc>
        <w:tc>
          <w:tcPr>
            <w:tcW w:w="1721" w:type="dxa"/>
            <w:shd w:val="clear" w:color="auto" w:fill="auto"/>
            <w:noWrap/>
            <w:vAlign w:val="center"/>
            <w:hideMark/>
          </w:tcPr>
          <w:p w14:paraId="6A2BD5D6" w14:textId="77777777"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23.1</w:t>
            </w:r>
          </w:p>
          <w:p w14:paraId="2EB76FCD" w14:textId="77777777"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(6.1</w:t>
            </w:r>
            <w:r w:rsidRPr="006128F6">
              <w:rPr>
                <w:color w:val="000000"/>
                <w:szCs w:val="22"/>
                <w:lang w:eastAsia="en-GB"/>
              </w:rPr>
              <w:noBreakHyphen/>
              <w:t>50.3)</w:t>
            </w:r>
          </w:p>
        </w:tc>
        <w:tc>
          <w:tcPr>
            <w:tcW w:w="1722" w:type="dxa"/>
            <w:shd w:val="clear" w:color="auto" w:fill="auto"/>
            <w:noWrap/>
            <w:vAlign w:val="center"/>
            <w:hideMark/>
          </w:tcPr>
          <w:p w14:paraId="4E48C504" w14:textId="77777777"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132</w:t>
            </w:r>
          </w:p>
          <w:p w14:paraId="58BB1779" w14:textId="77777777"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(84.2</w:t>
            </w:r>
            <w:r w:rsidRPr="006128F6">
              <w:rPr>
                <w:color w:val="000000"/>
                <w:szCs w:val="22"/>
                <w:lang w:eastAsia="en-GB"/>
              </w:rPr>
              <w:noBreakHyphen/>
              <w:t>225)</w:t>
            </w:r>
          </w:p>
        </w:tc>
        <w:tc>
          <w:tcPr>
            <w:tcW w:w="1802" w:type="dxa"/>
            <w:shd w:val="clear" w:color="auto" w:fill="auto"/>
            <w:noWrap/>
            <w:vAlign w:val="center"/>
            <w:hideMark/>
          </w:tcPr>
          <w:p w14:paraId="1C8061D0" w14:textId="5167B3BC"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1</w:t>
            </w:r>
            <w:r w:rsidR="000B44AA">
              <w:rPr>
                <w:color w:val="000000"/>
                <w:szCs w:val="22"/>
                <w:lang w:eastAsia="en-GB"/>
              </w:rPr>
              <w:t> </w:t>
            </w:r>
            <w:r w:rsidRPr="006128F6">
              <w:rPr>
                <w:color w:val="000000"/>
                <w:szCs w:val="22"/>
                <w:lang w:eastAsia="en-GB"/>
              </w:rPr>
              <w:t>109</w:t>
            </w:r>
          </w:p>
          <w:p w14:paraId="04352EC6" w14:textId="38126D9E"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(588</w:t>
            </w:r>
            <w:r w:rsidRPr="006128F6">
              <w:rPr>
                <w:color w:val="000000"/>
                <w:szCs w:val="22"/>
                <w:lang w:eastAsia="en-GB"/>
              </w:rPr>
              <w:noBreakHyphen/>
              <w:t>1</w:t>
            </w:r>
            <w:r w:rsidR="000B44AA">
              <w:rPr>
                <w:color w:val="000000"/>
                <w:szCs w:val="22"/>
                <w:lang w:eastAsia="en-GB"/>
              </w:rPr>
              <w:t> </w:t>
            </w:r>
            <w:r w:rsidRPr="006128F6">
              <w:rPr>
                <w:color w:val="000000"/>
                <w:szCs w:val="22"/>
                <w:lang w:eastAsia="en-GB"/>
              </w:rPr>
              <w:t>938)</w:t>
            </w:r>
          </w:p>
        </w:tc>
      </w:tr>
      <w:tr w:rsidR="00552C97" w:rsidRPr="006128F6" w14:paraId="6FDB00D0" w14:textId="77777777" w:rsidTr="003F2106">
        <w:trPr>
          <w:trHeight w:val="571"/>
        </w:trPr>
        <w:tc>
          <w:tcPr>
            <w:tcW w:w="1417" w:type="dxa"/>
            <w:vMerge w:val="restart"/>
            <w:shd w:val="clear" w:color="auto" w:fill="auto"/>
            <w:noWrap/>
            <w:vAlign w:val="center"/>
            <w:hideMark/>
          </w:tcPr>
          <w:p w14:paraId="27745B65" w14:textId="6FD44954" w:rsidR="00552C97" w:rsidRPr="00C25AB7" w:rsidRDefault="00552C97" w:rsidP="006128F6">
            <w:pPr>
              <w:keepNext/>
              <w:tabs>
                <w:tab w:val="clear" w:pos="567"/>
              </w:tabs>
              <w:spacing w:line="240" w:lineRule="auto"/>
              <w:rPr>
                <w:color w:val="000000"/>
                <w:szCs w:val="22"/>
                <w:lang w:val="de-DE" w:eastAsia="en-GB"/>
              </w:rPr>
            </w:pPr>
            <w:r w:rsidRPr="00C25AB7">
              <w:rPr>
                <w:color w:val="000000"/>
                <w:szCs w:val="22"/>
                <w:lang w:val="de-DE" w:eastAsia="en-GB"/>
              </w:rPr>
              <w:t>4</w:t>
            </w:r>
            <w:r w:rsidR="00CB45CA" w:rsidRPr="00C25AB7">
              <w:rPr>
                <w:color w:val="000000"/>
                <w:szCs w:val="22"/>
                <w:lang w:val="de-DE" w:eastAsia="en-GB"/>
              </w:rPr>
              <w:t> </w:t>
            </w:r>
            <w:r w:rsidRPr="00C25AB7">
              <w:rPr>
                <w:color w:val="000000"/>
                <w:szCs w:val="22"/>
                <w:lang w:val="de-DE" w:eastAsia="en-GB"/>
              </w:rPr>
              <w:t>mg/kg + 2</w:t>
            </w:r>
            <w:r w:rsidR="00CB45CA" w:rsidRPr="00C25AB7">
              <w:rPr>
                <w:color w:val="000000"/>
                <w:szCs w:val="22"/>
                <w:lang w:val="de-DE" w:eastAsia="en-GB"/>
              </w:rPr>
              <w:t> </w:t>
            </w:r>
            <w:r w:rsidRPr="00C25AB7">
              <w:rPr>
                <w:color w:val="000000"/>
                <w:szCs w:val="22"/>
                <w:lang w:val="de-DE" w:eastAsia="en-GB"/>
              </w:rPr>
              <w:t xml:space="preserve">mg/kg qw </w:t>
            </w:r>
          </w:p>
        </w:tc>
        <w:tc>
          <w:tcPr>
            <w:tcW w:w="1559" w:type="dxa"/>
            <w:shd w:val="clear" w:color="auto" w:fill="auto"/>
            <w:noWrap/>
            <w:vAlign w:val="center"/>
            <w:hideMark/>
          </w:tcPr>
          <w:p w14:paraId="35E2EA7D" w14:textId="77777777"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MBC</w:t>
            </w:r>
          </w:p>
        </w:tc>
        <w:tc>
          <w:tcPr>
            <w:tcW w:w="993" w:type="dxa"/>
            <w:shd w:val="clear" w:color="auto" w:fill="auto"/>
            <w:noWrap/>
            <w:vAlign w:val="center"/>
            <w:hideMark/>
          </w:tcPr>
          <w:p w14:paraId="5D4A8B1C" w14:textId="77777777"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805</w:t>
            </w:r>
          </w:p>
        </w:tc>
        <w:tc>
          <w:tcPr>
            <w:tcW w:w="1721" w:type="dxa"/>
            <w:shd w:val="clear" w:color="auto" w:fill="auto"/>
            <w:noWrap/>
            <w:vAlign w:val="center"/>
            <w:hideMark/>
          </w:tcPr>
          <w:p w14:paraId="0FC798E0" w14:textId="77777777"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37.4</w:t>
            </w:r>
          </w:p>
          <w:p w14:paraId="77408BD5" w14:textId="77777777"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(8.7</w:t>
            </w:r>
            <w:r w:rsidRPr="006128F6">
              <w:rPr>
                <w:color w:val="000000"/>
                <w:szCs w:val="22"/>
                <w:lang w:eastAsia="en-GB"/>
              </w:rPr>
              <w:noBreakHyphen/>
              <w:t>58.9)</w:t>
            </w:r>
          </w:p>
        </w:tc>
        <w:tc>
          <w:tcPr>
            <w:tcW w:w="1722" w:type="dxa"/>
            <w:shd w:val="clear" w:color="auto" w:fill="auto"/>
            <w:noWrap/>
            <w:vAlign w:val="center"/>
            <w:hideMark/>
          </w:tcPr>
          <w:p w14:paraId="02416F02" w14:textId="77777777"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76.5</w:t>
            </w:r>
          </w:p>
          <w:p w14:paraId="234C4053" w14:textId="77777777"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(49.4</w:t>
            </w:r>
            <w:r w:rsidRPr="006128F6">
              <w:rPr>
                <w:color w:val="000000"/>
                <w:szCs w:val="22"/>
                <w:lang w:eastAsia="en-GB"/>
              </w:rPr>
              <w:noBreakHyphen/>
              <w:t>114)</w:t>
            </w:r>
          </w:p>
        </w:tc>
        <w:tc>
          <w:tcPr>
            <w:tcW w:w="1802" w:type="dxa"/>
            <w:shd w:val="clear" w:color="auto" w:fill="auto"/>
            <w:noWrap/>
            <w:vAlign w:val="center"/>
            <w:hideMark/>
          </w:tcPr>
          <w:p w14:paraId="3F4C6428" w14:textId="1B78D333"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1</w:t>
            </w:r>
            <w:r w:rsidR="000B44AA">
              <w:rPr>
                <w:color w:val="000000"/>
                <w:szCs w:val="22"/>
                <w:lang w:eastAsia="en-GB"/>
              </w:rPr>
              <w:t> </w:t>
            </w:r>
            <w:r w:rsidRPr="006128F6">
              <w:rPr>
                <w:color w:val="000000"/>
                <w:szCs w:val="22"/>
                <w:lang w:eastAsia="en-GB"/>
              </w:rPr>
              <w:t>073</w:t>
            </w:r>
          </w:p>
          <w:p w14:paraId="70AB1F41" w14:textId="3604118D"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(597</w:t>
            </w:r>
            <w:r w:rsidRPr="006128F6">
              <w:rPr>
                <w:color w:val="000000"/>
                <w:szCs w:val="22"/>
                <w:lang w:eastAsia="en-GB"/>
              </w:rPr>
              <w:noBreakHyphen/>
              <w:t>1</w:t>
            </w:r>
            <w:r w:rsidR="000B44AA">
              <w:rPr>
                <w:color w:val="000000"/>
                <w:szCs w:val="22"/>
                <w:lang w:eastAsia="en-GB"/>
              </w:rPr>
              <w:t> </w:t>
            </w:r>
            <w:r w:rsidRPr="006128F6">
              <w:rPr>
                <w:color w:val="000000"/>
                <w:szCs w:val="22"/>
                <w:lang w:eastAsia="en-GB"/>
              </w:rPr>
              <w:t>584)</w:t>
            </w:r>
          </w:p>
        </w:tc>
      </w:tr>
      <w:tr w:rsidR="00552C97" w:rsidRPr="006128F6" w14:paraId="3E8DB5D5" w14:textId="77777777" w:rsidTr="003F2106">
        <w:trPr>
          <w:trHeight w:val="409"/>
        </w:trPr>
        <w:tc>
          <w:tcPr>
            <w:tcW w:w="1417" w:type="dxa"/>
            <w:vMerge/>
            <w:shd w:val="clear" w:color="auto" w:fill="auto"/>
            <w:noWrap/>
            <w:vAlign w:val="bottom"/>
            <w:hideMark/>
          </w:tcPr>
          <w:p w14:paraId="3FBB23AC" w14:textId="77777777" w:rsidR="00552C97" w:rsidRPr="006128F6" w:rsidRDefault="00552C97" w:rsidP="006128F6">
            <w:pPr>
              <w:keepNext/>
              <w:tabs>
                <w:tab w:val="clear" w:pos="567"/>
              </w:tabs>
              <w:spacing w:line="240" w:lineRule="auto"/>
              <w:rPr>
                <w:color w:val="000000"/>
                <w:szCs w:val="22"/>
                <w:lang w:eastAsia="en-GB"/>
              </w:rPr>
            </w:pPr>
          </w:p>
        </w:tc>
        <w:tc>
          <w:tcPr>
            <w:tcW w:w="1559" w:type="dxa"/>
            <w:shd w:val="clear" w:color="auto" w:fill="auto"/>
            <w:noWrap/>
            <w:vAlign w:val="center"/>
            <w:hideMark/>
          </w:tcPr>
          <w:p w14:paraId="09545DEC" w14:textId="77777777"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EBC</w:t>
            </w:r>
          </w:p>
        </w:tc>
        <w:tc>
          <w:tcPr>
            <w:tcW w:w="993" w:type="dxa"/>
            <w:shd w:val="clear" w:color="auto" w:fill="auto"/>
            <w:noWrap/>
            <w:vAlign w:val="center"/>
            <w:hideMark/>
          </w:tcPr>
          <w:p w14:paraId="04A3D173" w14:textId="77777777"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390</w:t>
            </w:r>
          </w:p>
        </w:tc>
        <w:tc>
          <w:tcPr>
            <w:tcW w:w="1721" w:type="dxa"/>
            <w:shd w:val="clear" w:color="auto" w:fill="auto"/>
            <w:noWrap/>
            <w:vAlign w:val="center"/>
            <w:hideMark/>
          </w:tcPr>
          <w:p w14:paraId="1BA6CA6C" w14:textId="77777777"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38.9</w:t>
            </w:r>
          </w:p>
          <w:p w14:paraId="68B05A10" w14:textId="25BD6A7B" w:rsidR="00552C97" w:rsidRPr="006128F6" w:rsidRDefault="00F83B26" w:rsidP="006128F6">
            <w:pPr>
              <w:keepNext/>
              <w:tabs>
                <w:tab w:val="clear" w:pos="567"/>
              </w:tabs>
              <w:spacing w:line="240" w:lineRule="auto"/>
              <w:jc w:val="center"/>
              <w:rPr>
                <w:color w:val="000000"/>
                <w:szCs w:val="22"/>
                <w:lang w:eastAsia="en-GB"/>
              </w:rPr>
            </w:pPr>
            <w:r w:rsidRPr="006128F6">
              <w:rPr>
                <w:color w:val="000000"/>
                <w:szCs w:val="22"/>
                <w:lang w:eastAsia="en-GB"/>
              </w:rPr>
              <w:t>(</w:t>
            </w:r>
            <w:r w:rsidR="00616B64">
              <w:rPr>
                <w:color w:val="000000"/>
                <w:szCs w:val="22"/>
                <w:lang w:eastAsia="en-GB"/>
              </w:rPr>
              <w:t>2</w:t>
            </w:r>
            <w:r w:rsidR="00552C97" w:rsidRPr="006128F6">
              <w:rPr>
                <w:color w:val="000000"/>
                <w:szCs w:val="22"/>
                <w:lang w:eastAsia="en-GB"/>
              </w:rPr>
              <w:t>5.3</w:t>
            </w:r>
            <w:r w:rsidR="00552C97" w:rsidRPr="006128F6">
              <w:rPr>
                <w:color w:val="000000"/>
                <w:szCs w:val="22"/>
                <w:lang w:eastAsia="en-GB"/>
              </w:rPr>
              <w:noBreakHyphen/>
              <w:t>58.8)</w:t>
            </w:r>
          </w:p>
        </w:tc>
        <w:tc>
          <w:tcPr>
            <w:tcW w:w="1722" w:type="dxa"/>
            <w:shd w:val="clear" w:color="auto" w:fill="auto"/>
            <w:noWrap/>
            <w:vAlign w:val="center"/>
            <w:hideMark/>
          </w:tcPr>
          <w:p w14:paraId="507C06EE" w14:textId="77777777"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76.0</w:t>
            </w:r>
          </w:p>
          <w:p w14:paraId="4122C09D" w14:textId="77777777"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(54.7</w:t>
            </w:r>
            <w:r w:rsidRPr="006128F6">
              <w:rPr>
                <w:color w:val="000000"/>
                <w:szCs w:val="22"/>
                <w:lang w:eastAsia="en-GB"/>
              </w:rPr>
              <w:noBreakHyphen/>
              <w:t>104)</w:t>
            </w:r>
          </w:p>
        </w:tc>
        <w:tc>
          <w:tcPr>
            <w:tcW w:w="1802" w:type="dxa"/>
            <w:shd w:val="clear" w:color="auto" w:fill="auto"/>
            <w:noWrap/>
            <w:vAlign w:val="center"/>
            <w:hideMark/>
          </w:tcPr>
          <w:p w14:paraId="6D440CF1" w14:textId="054B1D0E"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1</w:t>
            </w:r>
            <w:r w:rsidR="000B44AA">
              <w:rPr>
                <w:color w:val="000000"/>
                <w:szCs w:val="22"/>
                <w:lang w:eastAsia="en-GB"/>
              </w:rPr>
              <w:t> </w:t>
            </w:r>
            <w:r w:rsidRPr="006128F6">
              <w:rPr>
                <w:color w:val="000000"/>
                <w:szCs w:val="22"/>
                <w:lang w:eastAsia="en-GB"/>
              </w:rPr>
              <w:t>074</w:t>
            </w:r>
          </w:p>
          <w:p w14:paraId="66B16572" w14:textId="55222F2E" w:rsidR="00552C97" w:rsidRPr="006128F6" w:rsidRDefault="00552C97" w:rsidP="006128F6">
            <w:pPr>
              <w:keepNext/>
              <w:tabs>
                <w:tab w:val="clear" w:pos="567"/>
              </w:tabs>
              <w:spacing w:line="240" w:lineRule="auto"/>
              <w:jc w:val="center"/>
              <w:rPr>
                <w:color w:val="000000"/>
                <w:szCs w:val="22"/>
                <w:lang w:eastAsia="en-GB"/>
              </w:rPr>
            </w:pPr>
            <w:r w:rsidRPr="006128F6">
              <w:rPr>
                <w:color w:val="000000"/>
                <w:szCs w:val="22"/>
                <w:lang w:eastAsia="en-GB"/>
              </w:rPr>
              <w:t>(783</w:t>
            </w:r>
            <w:r w:rsidRPr="006128F6">
              <w:rPr>
                <w:color w:val="000000"/>
                <w:szCs w:val="22"/>
                <w:lang w:eastAsia="en-GB"/>
              </w:rPr>
              <w:noBreakHyphen/>
              <w:t>1</w:t>
            </w:r>
            <w:r w:rsidR="000B44AA">
              <w:rPr>
                <w:color w:val="000000"/>
                <w:szCs w:val="22"/>
                <w:lang w:eastAsia="en-GB"/>
              </w:rPr>
              <w:t> </w:t>
            </w:r>
            <w:r w:rsidRPr="006128F6">
              <w:rPr>
                <w:color w:val="000000"/>
                <w:szCs w:val="22"/>
                <w:lang w:eastAsia="en-GB"/>
              </w:rPr>
              <w:t>502)</w:t>
            </w:r>
          </w:p>
        </w:tc>
      </w:tr>
    </w:tbl>
    <w:p w14:paraId="35EE8249" w14:textId="77777777" w:rsidR="003F2106" w:rsidRPr="00CE427E" w:rsidRDefault="003F2106" w:rsidP="006128F6">
      <w:pPr>
        <w:keepNext/>
        <w:tabs>
          <w:tab w:val="clear" w:pos="567"/>
        </w:tabs>
        <w:autoSpaceDE w:val="0"/>
        <w:autoSpaceDN w:val="0"/>
        <w:adjustRightInd w:val="0"/>
        <w:spacing w:line="240" w:lineRule="auto"/>
        <w:rPr>
          <w:rFonts w:eastAsia="Calibri"/>
          <w:b/>
          <w:szCs w:val="22"/>
        </w:rPr>
      </w:pPr>
    </w:p>
    <w:p w14:paraId="5D858A0A" w14:textId="360B3678" w:rsidR="00D501B8" w:rsidRPr="00CE427E" w:rsidRDefault="003F2106" w:rsidP="00801B3F">
      <w:pPr>
        <w:tabs>
          <w:tab w:val="clear" w:pos="567"/>
        </w:tabs>
        <w:autoSpaceDE w:val="0"/>
        <w:autoSpaceDN w:val="0"/>
        <w:adjustRightInd w:val="0"/>
        <w:spacing w:line="240" w:lineRule="auto"/>
        <w:rPr>
          <w:rFonts w:eastAsia="Calibri"/>
          <w:color w:val="000000"/>
          <w:szCs w:val="24"/>
        </w:rPr>
      </w:pPr>
      <w:r w:rsidRPr="00CE427E">
        <w:rPr>
          <w:rFonts w:eastAsia="Calibri"/>
          <w:b/>
          <w:szCs w:val="22"/>
        </w:rPr>
        <w:t>Table 15 Population predicted steady-state PK exposure values (median with 5th </w:t>
      </w:r>
      <w:r w:rsidRPr="00CE427E">
        <w:rPr>
          <w:rFonts w:eastAsia="Calibri"/>
          <w:b/>
          <w:szCs w:val="22"/>
        </w:rPr>
        <w:noBreakHyphen/>
        <w:t xml:space="preserve"> 95th percentiles) for trastuzumab </w:t>
      </w:r>
      <w:r w:rsidR="00D248DE" w:rsidRPr="00CE427E">
        <w:rPr>
          <w:rFonts w:eastAsia="Calibri"/>
          <w:b/>
          <w:szCs w:val="22"/>
        </w:rPr>
        <w:t>intravenous</w:t>
      </w:r>
      <w:r w:rsidRPr="00CE427E">
        <w:rPr>
          <w:rFonts w:eastAsia="Calibri"/>
          <w:b/>
          <w:szCs w:val="22"/>
        </w:rPr>
        <w:t xml:space="preserve"> dosing regimens in MBC, EBC and AGC patients</w:t>
      </w:r>
    </w:p>
    <w:p w14:paraId="24797A80" w14:textId="77777777" w:rsidR="003F2106" w:rsidRPr="00CE427E" w:rsidRDefault="003F2106" w:rsidP="00801B3F">
      <w:pPr>
        <w:tabs>
          <w:tab w:val="clear" w:pos="567"/>
        </w:tabs>
        <w:autoSpaceDE w:val="0"/>
        <w:autoSpaceDN w:val="0"/>
        <w:adjustRightInd w:val="0"/>
        <w:spacing w:line="240" w:lineRule="auto"/>
        <w:rPr>
          <w:rFonts w:eastAsia="Calibri"/>
          <w:b/>
          <w:szCs w:val="22"/>
        </w:rPr>
      </w:pPr>
    </w:p>
    <w:tbl>
      <w:tblPr>
        <w:tblpPr w:leftFromText="181" w:rightFromText="181" w:vertAnchor="text" w:horzAnchor="margin" w:tblpX="1"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1278"/>
        <w:gridCol w:w="710"/>
        <w:gridCol w:w="1415"/>
        <w:gridCol w:w="1417"/>
        <w:gridCol w:w="1701"/>
        <w:gridCol w:w="1380"/>
      </w:tblGrid>
      <w:tr w:rsidR="006128F6" w:rsidRPr="006128F6" w14:paraId="3CBC7D9E" w14:textId="77777777" w:rsidTr="00AA2C64">
        <w:trPr>
          <w:cantSplit/>
          <w:trHeight w:val="300"/>
        </w:trPr>
        <w:tc>
          <w:tcPr>
            <w:tcW w:w="746" w:type="pct"/>
            <w:shd w:val="clear" w:color="auto" w:fill="auto"/>
            <w:noWrap/>
            <w:hideMark/>
          </w:tcPr>
          <w:p w14:paraId="4E405A49" w14:textId="77777777" w:rsidR="003F2106" w:rsidRPr="006128F6" w:rsidRDefault="003F2106" w:rsidP="00801B3F">
            <w:pPr>
              <w:tabs>
                <w:tab w:val="clear" w:pos="567"/>
              </w:tabs>
              <w:spacing w:line="240" w:lineRule="auto"/>
              <w:jc w:val="center"/>
              <w:rPr>
                <w:b/>
                <w:color w:val="000000"/>
                <w:szCs w:val="22"/>
                <w:lang w:eastAsia="en-GB"/>
              </w:rPr>
            </w:pPr>
            <w:r w:rsidRPr="006128F6">
              <w:rPr>
                <w:b/>
                <w:color w:val="000000"/>
                <w:szCs w:val="22"/>
                <w:lang w:eastAsia="en-GB"/>
              </w:rPr>
              <w:t>Regimen</w:t>
            </w:r>
          </w:p>
        </w:tc>
        <w:tc>
          <w:tcPr>
            <w:tcW w:w="688" w:type="pct"/>
            <w:shd w:val="clear" w:color="auto" w:fill="auto"/>
            <w:noWrap/>
            <w:hideMark/>
          </w:tcPr>
          <w:p w14:paraId="15D48D25" w14:textId="77777777" w:rsidR="003F2106" w:rsidRPr="006128F6" w:rsidRDefault="003F2106" w:rsidP="00801B3F">
            <w:pPr>
              <w:tabs>
                <w:tab w:val="clear" w:pos="567"/>
              </w:tabs>
              <w:spacing w:line="240" w:lineRule="auto"/>
              <w:jc w:val="center"/>
              <w:rPr>
                <w:b/>
                <w:color w:val="000000"/>
                <w:szCs w:val="22"/>
                <w:lang w:eastAsia="en-GB"/>
              </w:rPr>
            </w:pPr>
            <w:r w:rsidRPr="006128F6">
              <w:rPr>
                <w:b/>
                <w:color w:val="000000"/>
                <w:szCs w:val="22"/>
                <w:lang w:eastAsia="en-GB"/>
              </w:rPr>
              <w:t>Primary tumour type</w:t>
            </w:r>
          </w:p>
        </w:tc>
        <w:tc>
          <w:tcPr>
            <w:tcW w:w="382" w:type="pct"/>
            <w:shd w:val="clear" w:color="auto" w:fill="auto"/>
            <w:noWrap/>
            <w:hideMark/>
          </w:tcPr>
          <w:p w14:paraId="16378A21" w14:textId="77777777" w:rsidR="003F2106" w:rsidRPr="006128F6" w:rsidRDefault="003F2106" w:rsidP="00801B3F">
            <w:pPr>
              <w:tabs>
                <w:tab w:val="clear" w:pos="567"/>
              </w:tabs>
              <w:spacing w:line="240" w:lineRule="auto"/>
              <w:jc w:val="center"/>
              <w:rPr>
                <w:b/>
                <w:color w:val="000000"/>
                <w:szCs w:val="22"/>
                <w:lang w:eastAsia="en-GB"/>
              </w:rPr>
            </w:pPr>
            <w:r w:rsidRPr="006128F6">
              <w:rPr>
                <w:b/>
                <w:color w:val="000000"/>
                <w:szCs w:val="22"/>
                <w:lang w:eastAsia="en-GB"/>
              </w:rPr>
              <w:t>N</w:t>
            </w:r>
          </w:p>
        </w:tc>
        <w:tc>
          <w:tcPr>
            <w:tcW w:w="762" w:type="pct"/>
            <w:shd w:val="clear" w:color="auto" w:fill="auto"/>
            <w:noWrap/>
            <w:hideMark/>
          </w:tcPr>
          <w:p w14:paraId="6BBAC49D" w14:textId="77777777" w:rsidR="003F2106" w:rsidRPr="005D7A39" w:rsidRDefault="003F2106" w:rsidP="00801B3F">
            <w:pPr>
              <w:tabs>
                <w:tab w:val="clear" w:pos="567"/>
              </w:tabs>
              <w:spacing w:line="240" w:lineRule="auto"/>
              <w:jc w:val="center"/>
              <w:rPr>
                <w:b/>
                <w:color w:val="000000"/>
                <w:szCs w:val="22"/>
                <w:vertAlign w:val="subscript"/>
                <w:lang w:eastAsia="en-GB"/>
              </w:rPr>
            </w:pPr>
            <w:r w:rsidRPr="005D7A39">
              <w:rPr>
                <w:b/>
                <w:color w:val="000000"/>
                <w:szCs w:val="22"/>
                <w:lang w:eastAsia="en-GB"/>
              </w:rPr>
              <w:t>C</w:t>
            </w:r>
            <w:r w:rsidRPr="005D7A39">
              <w:rPr>
                <w:b/>
                <w:color w:val="000000"/>
                <w:szCs w:val="22"/>
                <w:vertAlign w:val="subscript"/>
                <w:lang w:eastAsia="en-GB"/>
              </w:rPr>
              <w:t xml:space="preserve">min,ss* </w:t>
            </w:r>
          </w:p>
          <w:p w14:paraId="7715B6D0" w14:textId="673563FF" w:rsidR="003F2106" w:rsidRPr="005D7A39" w:rsidRDefault="003F2106" w:rsidP="00801B3F">
            <w:pPr>
              <w:tabs>
                <w:tab w:val="clear" w:pos="567"/>
              </w:tabs>
              <w:spacing w:line="240" w:lineRule="auto"/>
              <w:jc w:val="center"/>
              <w:rPr>
                <w:b/>
                <w:color w:val="000000"/>
                <w:szCs w:val="22"/>
                <w:lang w:eastAsia="en-GB"/>
              </w:rPr>
            </w:pPr>
            <w:r w:rsidRPr="005D7A39">
              <w:rPr>
                <w:b/>
                <w:color w:val="000000"/>
                <w:szCs w:val="22"/>
                <w:lang w:eastAsia="en-GB"/>
              </w:rPr>
              <w:t>(</w:t>
            </w:r>
            <w:r w:rsidR="00EE0352" w:rsidRPr="005D7A39">
              <w:rPr>
                <w:b/>
                <w:lang w:val="en-US"/>
              </w:rPr>
              <w:t>µg</w:t>
            </w:r>
            <w:r w:rsidRPr="005D7A39">
              <w:rPr>
                <w:b/>
                <w:color w:val="000000"/>
                <w:szCs w:val="22"/>
                <w:lang w:eastAsia="en-GB"/>
              </w:rPr>
              <w:t>/mL)</w:t>
            </w:r>
          </w:p>
        </w:tc>
        <w:tc>
          <w:tcPr>
            <w:tcW w:w="763" w:type="pct"/>
            <w:shd w:val="clear" w:color="auto" w:fill="auto"/>
            <w:noWrap/>
            <w:hideMark/>
          </w:tcPr>
          <w:p w14:paraId="17134C77" w14:textId="064A15A4" w:rsidR="003F2106" w:rsidRPr="005D7A39" w:rsidRDefault="003F2106" w:rsidP="00801B3F">
            <w:pPr>
              <w:tabs>
                <w:tab w:val="clear" w:pos="567"/>
              </w:tabs>
              <w:spacing w:line="240" w:lineRule="auto"/>
              <w:jc w:val="center"/>
              <w:rPr>
                <w:b/>
                <w:color w:val="000000"/>
                <w:szCs w:val="22"/>
                <w:lang w:eastAsia="en-GB"/>
              </w:rPr>
            </w:pPr>
            <w:r w:rsidRPr="005D7A39">
              <w:rPr>
                <w:b/>
                <w:color w:val="000000"/>
                <w:szCs w:val="22"/>
                <w:lang w:eastAsia="en-GB"/>
              </w:rPr>
              <w:t>C</w:t>
            </w:r>
            <w:r w:rsidRPr="005D7A39">
              <w:rPr>
                <w:b/>
                <w:color w:val="000000"/>
                <w:szCs w:val="22"/>
                <w:vertAlign w:val="subscript"/>
                <w:lang w:eastAsia="en-GB"/>
              </w:rPr>
              <w:t xml:space="preserve">max,ss** </w:t>
            </w:r>
            <w:r w:rsidRPr="005D7A39">
              <w:rPr>
                <w:b/>
                <w:color w:val="000000"/>
                <w:szCs w:val="22"/>
                <w:lang w:eastAsia="en-GB"/>
              </w:rPr>
              <w:t>(</w:t>
            </w:r>
            <w:r w:rsidR="00EE0352" w:rsidRPr="005D7A39">
              <w:rPr>
                <w:b/>
                <w:lang w:val="en-US"/>
              </w:rPr>
              <w:t>µg</w:t>
            </w:r>
            <w:r w:rsidRPr="005D7A39">
              <w:rPr>
                <w:b/>
                <w:color w:val="000000"/>
                <w:szCs w:val="22"/>
                <w:lang w:eastAsia="en-GB"/>
              </w:rPr>
              <w:t>/mL)</w:t>
            </w:r>
          </w:p>
        </w:tc>
        <w:tc>
          <w:tcPr>
            <w:tcW w:w="916" w:type="pct"/>
            <w:shd w:val="clear" w:color="auto" w:fill="auto"/>
            <w:noWrap/>
            <w:hideMark/>
          </w:tcPr>
          <w:p w14:paraId="5A69314B" w14:textId="632CEC8C" w:rsidR="003F2106" w:rsidRPr="005D7A39" w:rsidRDefault="003F2106" w:rsidP="00801B3F">
            <w:pPr>
              <w:tabs>
                <w:tab w:val="clear" w:pos="567"/>
              </w:tabs>
              <w:spacing w:line="240" w:lineRule="auto"/>
              <w:jc w:val="center"/>
              <w:rPr>
                <w:b/>
                <w:color w:val="000000"/>
                <w:szCs w:val="22"/>
                <w:lang w:eastAsia="en-GB"/>
              </w:rPr>
            </w:pPr>
            <w:r w:rsidRPr="005D7A39">
              <w:rPr>
                <w:b/>
                <w:color w:val="000000"/>
                <w:szCs w:val="22"/>
                <w:lang w:eastAsia="en-GB"/>
              </w:rPr>
              <w:t>AUC</w:t>
            </w:r>
            <w:r w:rsidRPr="005D7A39">
              <w:rPr>
                <w:b/>
                <w:color w:val="000000"/>
                <w:szCs w:val="22"/>
                <w:vertAlign w:val="subscript"/>
                <w:lang w:eastAsia="en-GB"/>
              </w:rPr>
              <w:t>ss,</w:t>
            </w:r>
            <w:r w:rsidRPr="005D7A39">
              <w:rPr>
                <w:b/>
                <w:color w:val="000000"/>
                <w:szCs w:val="22"/>
                <w:lang w:eastAsia="en-GB"/>
              </w:rPr>
              <w:t xml:space="preserve"> </w:t>
            </w:r>
            <w:r w:rsidRPr="005D7A39">
              <w:rPr>
                <w:b/>
                <w:color w:val="000000"/>
                <w:szCs w:val="22"/>
                <w:vertAlign w:val="subscript"/>
                <w:lang w:eastAsia="en-GB"/>
              </w:rPr>
              <w:t xml:space="preserve">0-21days </w:t>
            </w:r>
            <w:r w:rsidRPr="005D7A39">
              <w:rPr>
                <w:b/>
                <w:color w:val="000000"/>
                <w:szCs w:val="22"/>
                <w:lang w:eastAsia="en-GB"/>
              </w:rPr>
              <w:t>(</w:t>
            </w:r>
            <w:r w:rsidR="00EE0352" w:rsidRPr="005D7A39">
              <w:rPr>
                <w:b/>
                <w:lang w:val="en-US"/>
              </w:rPr>
              <w:t>µg</w:t>
            </w:r>
            <w:r w:rsidRPr="005D7A39">
              <w:rPr>
                <w:b/>
                <w:color w:val="000000"/>
                <w:szCs w:val="22"/>
                <w:lang w:eastAsia="en-GB"/>
              </w:rPr>
              <w:t>.day/mL)</w:t>
            </w:r>
          </w:p>
        </w:tc>
        <w:tc>
          <w:tcPr>
            <w:tcW w:w="744" w:type="pct"/>
            <w:shd w:val="clear" w:color="auto" w:fill="auto"/>
            <w:noWrap/>
            <w:hideMark/>
          </w:tcPr>
          <w:p w14:paraId="1094EFB4" w14:textId="77777777" w:rsidR="003F2106" w:rsidRPr="006128F6" w:rsidRDefault="003F2106" w:rsidP="00801B3F">
            <w:pPr>
              <w:tabs>
                <w:tab w:val="clear" w:pos="567"/>
              </w:tabs>
              <w:spacing w:line="240" w:lineRule="auto"/>
              <w:jc w:val="center"/>
              <w:rPr>
                <w:b/>
                <w:color w:val="000000"/>
                <w:szCs w:val="22"/>
                <w:lang w:eastAsia="en-GB"/>
              </w:rPr>
            </w:pPr>
            <w:r w:rsidRPr="006128F6">
              <w:rPr>
                <w:b/>
                <w:color w:val="000000"/>
                <w:szCs w:val="22"/>
                <w:lang w:eastAsia="en-GB"/>
              </w:rPr>
              <w:t>Time to steady-state</w:t>
            </w:r>
            <w:r w:rsidRPr="006128F6">
              <w:rPr>
                <w:b/>
                <w:color w:val="000000"/>
                <w:szCs w:val="22"/>
                <w:vertAlign w:val="superscript"/>
                <w:lang w:eastAsia="en-GB"/>
              </w:rPr>
              <w:t>***</w:t>
            </w:r>
            <w:r w:rsidRPr="006128F6">
              <w:rPr>
                <w:b/>
                <w:color w:val="000000"/>
                <w:szCs w:val="22"/>
                <w:lang w:eastAsia="en-GB"/>
              </w:rPr>
              <w:t xml:space="preserve"> (week)</w:t>
            </w:r>
          </w:p>
        </w:tc>
      </w:tr>
      <w:tr w:rsidR="006128F6" w:rsidRPr="006128F6" w14:paraId="3D003BEB" w14:textId="77777777" w:rsidTr="00AA2C64">
        <w:trPr>
          <w:cantSplit/>
          <w:trHeight w:val="300"/>
        </w:trPr>
        <w:tc>
          <w:tcPr>
            <w:tcW w:w="746" w:type="pct"/>
            <w:vMerge w:val="restart"/>
            <w:shd w:val="clear" w:color="auto" w:fill="auto"/>
            <w:noWrap/>
            <w:vAlign w:val="center"/>
            <w:hideMark/>
          </w:tcPr>
          <w:p w14:paraId="262BFD34" w14:textId="77777777" w:rsidR="003F2106" w:rsidRPr="006958EC" w:rsidRDefault="003F2106" w:rsidP="00801B3F">
            <w:pPr>
              <w:tabs>
                <w:tab w:val="clear" w:pos="567"/>
              </w:tabs>
              <w:spacing w:line="240" w:lineRule="auto"/>
              <w:jc w:val="center"/>
              <w:rPr>
                <w:color w:val="000000"/>
                <w:szCs w:val="22"/>
                <w:lang w:val="nl-NL" w:eastAsia="en-GB"/>
              </w:rPr>
            </w:pPr>
            <w:r w:rsidRPr="006958EC">
              <w:rPr>
                <w:color w:val="000000"/>
                <w:szCs w:val="22"/>
                <w:lang w:val="nl-NL" w:eastAsia="en-GB"/>
              </w:rPr>
              <w:t>8 mg/kg + 6 mg/kg q3w</w:t>
            </w:r>
          </w:p>
        </w:tc>
        <w:tc>
          <w:tcPr>
            <w:tcW w:w="688" w:type="pct"/>
            <w:shd w:val="clear" w:color="auto" w:fill="auto"/>
            <w:noWrap/>
            <w:vAlign w:val="center"/>
            <w:hideMark/>
          </w:tcPr>
          <w:p w14:paraId="009D6F76" w14:textId="77777777" w:rsidR="003F2106" w:rsidRPr="006128F6" w:rsidRDefault="003F2106" w:rsidP="00801B3F">
            <w:pPr>
              <w:tabs>
                <w:tab w:val="clear" w:pos="567"/>
              </w:tabs>
              <w:spacing w:line="240" w:lineRule="auto"/>
              <w:jc w:val="center"/>
              <w:rPr>
                <w:color w:val="000000"/>
                <w:szCs w:val="22"/>
                <w:lang w:eastAsia="en-GB"/>
              </w:rPr>
            </w:pPr>
            <w:r w:rsidRPr="006128F6">
              <w:rPr>
                <w:color w:val="000000"/>
                <w:szCs w:val="22"/>
                <w:lang w:eastAsia="en-GB"/>
              </w:rPr>
              <w:t>MBC</w:t>
            </w:r>
          </w:p>
        </w:tc>
        <w:tc>
          <w:tcPr>
            <w:tcW w:w="382" w:type="pct"/>
            <w:shd w:val="clear" w:color="auto" w:fill="auto"/>
            <w:noWrap/>
            <w:vAlign w:val="center"/>
            <w:hideMark/>
          </w:tcPr>
          <w:p w14:paraId="32C9C4DB" w14:textId="77777777" w:rsidR="003F2106" w:rsidRPr="006128F6" w:rsidRDefault="003F2106" w:rsidP="00801B3F">
            <w:pPr>
              <w:tabs>
                <w:tab w:val="clear" w:pos="567"/>
              </w:tabs>
              <w:spacing w:line="240" w:lineRule="auto"/>
              <w:jc w:val="center"/>
              <w:rPr>
                <w:color w:val="000000"/>
                <w:szCs w:val="22"/>
                <w:lang w:eastAsia="en-GB"/>
              </w:rPr>
            </w:pPr>
            <w:r w:rsidRPr="006128F6">
              <w:rPr>
                <w:color w:val="000000"/>
                <w:szCs w:val="22"/>
                <w:lang w:eastAsia="en-GB"/>
              </w:rPr>
              <w:t>805</w:t>
            </w:r>
          </w:p>
        </w:tc>
        <w:tc>
          <w:tcPr>
            <w:tcW w:w="762" w:type="pct"/>
            <w:shd w:val="clear" w:color="auto" w:fill="auto"/>
            <w:noWrap/>
            <w:vAlign w:val="center"/>
            <w:hideMark/>
          </w:tcPr>
          <w:p w14:paraId="0191C7E0" w14:textId="77777777" w:rsidR="003F2106" w:rsidRPr="006128F6" w:rsidRDefault="003F2106" w:rsidP="00801B3F">
            <w:pPr>
              <w:tabs>
                <w:tab w:val="clear" w:pos="567"/>
              </w:tabs>
              <w:spacing w:line="240" w:lineRule="auto"/>
              <w:jc w:val="center"/>
              <w:rPr>
                <w:color w:val="000000"/>
                <w:szCs w:val="22"/>
                <w:lang w:eastAsia="en-GB"/>
              </w:rPr>
            </w:pPr>
            <w:r w:rsidRPr="006128F6">
              <w:rPr>
                <w:color w:val="000000"/>
                <w:szCs w:val="22"/>
                <w:lang w:eastAsia="en-GB"/>
              </w:rPr>
              <w:t>44.2</w:t>
            </w:r>
          </w:p>
          <w:p w14:paraId="50AD91D6" w14:textId="77777777" w:rsidR="003F2106" w:rsidRPr="006128F6" w:rsidRDefault="003F2106" w:rsidP="00801B3F">
            <w:pPr>
              <w:tabs>
                <w:tab w:val="clear" w:pos="567"/>
              </w:tabs>
              <w:spacing w:line="240" w:lineRule="auto"/>
              <w:jc w:val="center"/>
              <w:rPr>
                <w:color w:val="000000"/>
                <w:szCs w:val="22"/>
                <w:lang w:eastAsia="en-GB"/>
              </w:rPr>
            </w:pPr>
            <w:r w:rsidRPr="006128F6">
              <w:rPr>
                <w:color w:val="000000"/>
                <w:szCs w:val="22"/>
                <w:lang w:eastAsia="en-GB"/>
              </w:rPr>
              <w:t>(1.8</w:t>
            </w:r>
            <w:r w:rsidRPr="006128F6">
              <w:rPr>
                <w:color w:val="000000"/>
                <w:szCs w:val="22"/>
                <w:lang w:eastAsia="en-GB"/>
              </w:rPr>
              <w:noBreakHyphen/>
              <w:t>85.4)</w:t>
            </w:r>
          </w:p>
        </w:tc>
        <w:tc>
          <w:tcPr>
            <w:tcW w:w="763" w:type="pct"/>
            <w:shd w:val="clear" w:color="auto" w:fill="auto"/>
            <w:noWrap/>
            <w:vAlign w:val="center"/>
            <w:hideMark/>
          </w:tcPr>
          <w:p w14:paraId="2DC09C71" w14:textId="77777777" w:rsidR="003F2106" w:rsidRPr="006128F6" w:rsidRDefault="003F2106" w:rsidP="00801B3F">
            <w:pPr>
              <w:tabs>
                <w:tab w:val="clear" w:pos="567"/>
              </w:tabs>
              <w:spacing w:line="240" w:lineRule="auto"/>
              <w:jc w:val="center"/>
              <w:rPr>
                <w:color w:val="000000"/>
                <w:szCs w:val="22"/>
                <w:lang w:eastAsia="en-GB"/>
              </w:rPr>
            </w:pPr>
            <w:r w:rsidRPr="006128F6">
              <w:rPr>
                <w:color w:val="000000"/>
                <w:szCs w:val="22"/>
                <w:lang w:eastAsia="en-GB"/>
              </w:rPr>
              <w:t>179</w:t>
            </w:r>
          </w:p>
          <w:p w14:paraId="513E72A4" w14:textId="77777777" w:rsidR="003F2106" w:rsidRPr="006128F6" w:rsidRDefault="003F2106" w:rsidP="00801B3F">
            <w:pPr>
              <w:tabs>
                <w:tab w:val="clear" w:pos="567"/>
              </w:tabs>
              <w:spacing w:line="240" w:lineRule="auto"/>
              <w:jc w:val="center"/>
              <w:rPr>
                <w:color w:val="000000"/>
                <w:szCs w:val="22"/>
                <w:lang w:eastAsia="en-GB"/>
              </w:rPr>
            </w:pPr>
            <w:r w:rsidRPr="006128F6">
              <w:rPr>
                <w:color w:val="000000"/>
                <w:szCs w:val="22"/>
                <w:lang w:eastAsia="en-GB"/>
              </w:rPr>
              <w:t>(123</w:t>
            </w:r>
            <w:r w:rsidRPr="006128F6">
              <w:rPr>
                <w:color w:val="000000"/>
                <w:szCs w:val="22"/>
                <w:lang w:eastAsia="en-GB"/>
              </w:rPr>
              <w:noBreakHyphen/>
              <w:t>266)</w:t>
            </w:r>
          </w:p>
        </w:tc>
        <w:tc>
          <w:tcPr>
            <w:tcW w:w="916" w:type="pct"/>
            <w:shd w:val="clear" w:color="auto" w:fill="auto"/>
            <w:noWrap/>
            <w:vAlign w:val="center"/>
            <w:hideMark/>
          </w:tcPr>
          <w:p w14:paraId="63C0E461" w14:textId="2DA6472D" w:rsidR="003F2106" w:rsidRPr="006128F6" w:rsidRDefault="003F2106" w:rsidP="00801B3F">
            <w:pPr>
              <w:tabs>
                <w:tab w:val="clear" w:pos="567"/>
              </w:tabs>
              <w:spacing w:line="240" w:lineRule="auto"/>
              <w:jc w:val="center"/>
              <w:rPr>
                <w:color w:val="000000"/>
                <w:szCs w:val="22"/>
                <w:lang w:eastAsia="en-GB"/>
              </w:rPr>
            </w:pPr>
            <w:r w:rsidRPr="006128F6">
              <w:rPr>
                <w:color w:val="000000"/>
                <w:szCs w:val="22"/>
                <w:lang w:eastAsia="en-GB"/>
              </w:rPr>
              <w:t>1</w:t>
            </w:r>
            <w:r w:rsidR="000B44AA">
              <w:rPr>
                <w:color w:val="000000"/>
                <w:szCs w:val="22"/>
                <w:lang w:eastAsia="en-GB"/>
              </w:rPr>
              <w:t> </w:t>
            </w:r>
            <w:r w:rsidRPr="006128F6">
              <w:rPr>
                <w:color w:val="000000"/>
                <w:szCs w:val="22"/>
                <w:lang w:eastAsia="en-GB"/>
              </w:rPr>
              <w:t>736</w:t>
            </w:r>
          </w:p>
          <w:p w14:paraId="7A063F2B" w14:textId="5F055FD0" w:rsidR="003F2106" w:rsidRPr="006128F6" w:rsidRDefault="003F2106" w:rsidP="00801B3F">
            <w:pPr>
              <w:tabs>
                <w:tab w:val="clear" w:pos="567"/>
              </w:tabs>
              <w:spacing w:line="240" w:lineRule="auto"/>
              <w:jc w:val="center"/>
              <w:rPr>
                <w:color w:val="000000"/>
                <w:szCs w:val="22"/>
                <w:lang w:eastAsia="en-GB"/>
              </w:rPr>
            </w:pPr>
            <w:r w:rsidRPr="006128F6">
              <w:rPr>
                <w:color w:val="000000"/>
                <w:szCs w:val="22"/>
                <w:lang w:eastAsia="en-GB"/>
              </w:rPr>
              <w:t>(618</w:t>
            </w:r>
            <w:r w:rsidRPr="006128F6">
              <w:rPr>
                <w:color w:val="000000"/>
                <w:szCs w:val="22"/>
                <w:lang w:eastAsia="en-GB"/>
              </w:rPr>
              <w:noBreakHyphen/>
              <w:t>2</w:t>
            </w:r>
            <w:r w:rsidR="000B44AA">
              <w:rPr>
                <w:color w:val="000000"/>
                <w:szCs w:val="22"/>
                <w:lang w:eastAsia="en-GB"/>
              </w:rPr>
              <w:t> </w:t>
            </w:r>
            <w:r w:rsidRPr="006128F6">
              <w:rPr>
                <w:color w:val="000000"/>
                <w:szCs w:val="22"/>
                <w:lang w:eastAsia="en-GB"/>
              </w:rPr>
              <w:t>756)</w:t>
            </w:r>
          </w:p>
        </w:tc>
        <w:tc>
          <w:tcPr>
            <w:tcW w:w="744" w:type="pct"/>
            <w:shd w:val="clear" w:color="auto" w:fill="auto"/>
            <w:noWrap/>
            <w:vAlign w:val="center"/>
            <w:hideMark/>
          </w:tcPr>
          <w:p w14:paraId="5CB23DF8" w14:textId="77777777" w:rsidR="003F2106" w:rsidRPr="006128F6" w:rsidRDefault="003F2106" w:rsidP="00801B3F">
            <w:pPr>
              <w:tabs>
                <w:tab w:val="clear" w:pos="567"/>
              </w:tabs>
              <w:spacing w:line="240" w:lineRule="auto"/>
              <w:jc w:val="center"/>
              <w:rPr>
                <w:color w:val="000000"/>
                <w:szCs w:val="22"/>
                <w:lang w:eastAsia="en-GB"/>
              </w:rPr>
            </w:pPr>
            <w:r w:rsidRPr="006128F6">
              <w:rPr>
                <w:color w:val="000000"/>
                <w:szCs w:val="22"/>
                <w:lang w:eastAsia="en-GB"/>
              </w:rPr>
              <w:t>12</w:t>
            </w:r>
          </w:p>
        </w:tc>
      </w:tr>
      <w:tr w:rsidR="006128F6" w:rsidRPr="006128F6" w14:paraId="516466A7" w14:textId="77777777" w:rsidTr="00AA2C64">
        <w:trPr>
          <w:cantSplit/>
          <w:trHeight w:val="300"/>
        </w:trPr>
        <w:tc>
          <w:tcPr>
            <w:tcW w:w="746" w:type="pct"/>
            <w:vMerge/>
            <w:shd w:val="clear" w:color="auto" w:fill="auto"/>
            <w:noWrap/>
            <w:vAlign w:val="center"/>
            <w:hideMark/>
          </w:tcPr>
          <w:p w14:paraId="4D0784A1" w14:textId="77777777" w:rsidR="003F2106" w:rsidRPr="006128F6" w:rsidRDefault="003F2106" w:rsidP="004B6AD5">
            <w:pPr>
              <w:tabs>
                <w:tab w:val="clear" w:pos="567"/>
              </w:tabs>
              <w:spacing w:line="240" w:lineRule="auto"/>
              <w:jc w:val="center"/>
              <w:rPr>
                <w:color w:val="000000"/>
                <w:szCs w:val="22"/>
                <w:lang w:eastAsia="en-GB"/>
              </w:rPr>
            </w:pPr>
          </w:p>
        </w:tc>
        <w:tc>
          <w:tcPr>
            <w:tcW w:w="688" w:type="pct"/>
            <w:shd w:val="clear" w:color="auto" w:fill="auto"/>
            <w:noWrap/>
            <w:vAlign w:val="center"/>
            <w:hideMark/>
          </w:tcPr>
          <w:p w14:paraId="347801A9" w14:textId="77777777" w:rsidR="003F2106" w:rsidRPr="006128F6" w:rsidRDefault="003F2106" w:rsidP="004B6AD5">
            <w:pPr>
              <w:tabs>
                <w:tab w:val="clear" w:pos="567"/>
              </w:tabs>
              <w:spacing w:line="240" w:lineRule="auto"/>
              <w:jc w:val="center"/>
              <w:rPr>
                <w:color w:val="000000"/>
                <w:szCs w:val="22"/>
                <w:lang w:eastAsia="en-GB"/>
              </w:rPr>
            </w:pPr>
            <w:r w:rsidRPr="006128F6">
              <w:rPr>
                <w:color w:val="000000"/>
                <w:szCs w:val="22"/>
                <w:lang w:eastAsia="en-GB"/>
              </w:rPr>
              <w:t>EBC</w:t>
            </w:r>
          </w:p>
        </w:tc>
        <w:tc>
          <w:tcPr>
            <w:tcW w:w="382" w:type="pct"/>
            <w:shd w:val="clear" w:color="auto" w:fill="auto"/>
            <w:noWrap/>
            <w:vAlign w:val="center"/>
            <w:hideMark/>
          </w:tcPr>
          <w:p w14:paraId="7AE47CD1" w14:textId="77777777" w:rsidR="003F2106" w:rsidRPr="006128F6" w:rsidRDefault="003F2106" w:rsidP="004B6AD5">
            <w:pPr>
              <w:tabs>
                <w:tab w:val="clear" w:pos="567"/>
              </w:tabs>
              <w:spacing w:line="240" w:lineRule="auto"/>
              <w:jc w:val="center"/>
              <w:rPr>
                <w:color w:val="000000"/>
                <w:szCs w:val="22"/>
                <w:lang w:eastAsia="en-GB"/>
              </w:rPr>
            </w:pPr>
            <w:r w:rsidRPr="006128F6">
              <w:rPr>
                <w:color w:val="000000"/>
                <w:szCs w:val="22"/>
                <w:lang w:eastAsia="en-GB"/>
              </w:rPr>
              <w:t>390</w:t>
            </w:r>
          </w:p>
        </w:tc>
        <w:tc>
          <w:tcPr>
            <w:tcW w:w="762" w:type="pct"/>
            <w:shd w:val="clear" w:color="auto" w:fill="auto"/>
            <w:noWrap/>
            <w:vAlign w:val="center"/>
            <w:hideMark/>
          </w:tcPr>
          <w:p w14:paraId="2A95689F" w14:textId="77777777" w:rsidR="003F2106" w:rsidRPr="006128F6" w:rsidRDefault="003F2106" w:rsidP="004B6AD5">
            <w:pPr>
              <w:tabs>
                <w:tab w:val="clear" w:pos="567"/>
              </w:tabs>
              <w:spacing w:line="240" w:lineRule="auto"/>
              <w:jc w:val="center"/>
              <w:rPr>
                <w:color w:val="000000"/>
                <w:szCs w:val="22"/>
                <w:lang w:eastAsia="en-GB"/>
              </w:rPr>
            </w:pPr>
            <w:r w:rsidRPr="006128F6">
              <w:rPr>
                <w:color w:val="000000"/>
                <w:szCs w:val="22"/>
                <w:lang w:eastAsia="en-GB"/>
              </w:rPr>
              <w:t>53.8</w:t>
            </w:r>
          </w:p>
          <w:p w14:paraId="40DB57A1" w14:textId="77777777" w:rsidR="003F2106" w:rsidRPr="006128F6" w:rsidRDefault="003F2106" w:rsidP="004B6AD5">
            <w:pPr>
              <w:tabs>
                <w:tab w:val="clear" w:pos="567"/>
              </w:tabs>
              <w:spacing w:line="240" w:lineRule="auto"/>
              <w:jc w:val="center"/>
              <w:rPr>
                <w:color w:val="000000"/>
                <w:szCs w:val="22"/>
                <w:lang w:eastAsia="en-GB"/>
              </w:rPr>
            </w:pPr>
            <w:r w:rsidRPr="006128F6">
              <w:rPr>
                <w:color w:val="000000"/>
                <w:szCs w:val="22"/>
                <w:lang w:eastAsia="en-GB"/>
              </w:rPr>
              <w:t>(28.7 </w:t>
            </w:r>
            <w:r w:rsidRPr="006128F6">
              <w:rPr>
                <w:color w:val="000000"/>
                <w:szCs w:val="22"/>
                <w:lang w:eastAsia="en-GB"/>
              </w:rPr>
              <w:noBreakHyphen/>
              <w:t> 85.8)</w:t>
            </w:r>
          </w:p>
        </w:tc>
        <w:tc>
          <w:tcPr>
            <w:tcW w:w="763" w:type="pct"/>
            <w:shd w:val="clear" w:color="auto" w:fill="auto"/>
            <w:noWrap/>
            <w:vAlign w:val="center"/>
            <w:hideMark/>
          </w:tcPr>
          <w:p w14:paraId="39BD9A59" w14:textId="77777777" w:rsidR="003F2106" w:rsidRPr="006128F6" w:rsidRDefault="003F2106" w:rsidP="004B6AD5">
            <w:pPr>
              <w:tabs>
                <w:tab w:val="clear" w:pos="567"/>
              </w:tabs>
              <w:spacing w:line="240" w:lineRule="auto"/>
              <w:jc w:val="center"/>
              <w:rPr>
                <w:color w:val="000000"/>
                <w:szCs w:val="22"/>
                <w:lang w:eastAsia="en-GB"/>
              </w:rPr>
            </w:pPr>
            <w:r w:rsidRPr="006128F6">
              <w:rPr>
                <w:color w:val="000000"/>
                <w:szCs w:val="22"/>
                <w:lang w:eastAsia="en-GB"/>
              </w:rPr>
              <w:t>184</w:t>
            </w:r>
          </w:p>
          <w:p w14:paraId="39D72086" w14:textId="77777777" w:rsidR="003F2106" w:rsidRPr="006128F6" w:rsidRDefault="003F2106" w:rsidP="004B6AD5">
            <w:pPr>
              <w:tabs>
                <w:tab w:val="clear" w:pos="567"/>
              </w:tabs>
              <w:spacing w:line="240" w:lineRule="auto"/>
              <w:jc w:val="center"/>
              <w:rPr>
                <w:color w:val="000000"/>
                <w:szCs w:val="22"/>
                <w:lang w:eastAsia="en-GB"/>
              </w:rPr>
            </w:pPr>
            <w:r w:rsidRPr="006128F6">
              <w:rPr>
                <w:color w:val="000000"/>
                <w:szCs w:val="22"/>
                <w:lang w:eastAsia="en-GB"/>
              </w:rPr>
              <w:t>(134 </w:t>
            </w:r>
            <w:r w:rsidRPr="006128F6">
              <w:rPr>
                <w:color w:val="000000"/>
                <w:szCs w:val="22"/>
                <w:lang w:eastAsia="en-GB"/>
              </w:rPr>
              <w:noBreakHyphen/>
              <w:t> 247)</w:t>
            </w:r>
          </w:p>
        </w:tc>
        <w:tc>
          <w:tcPr>
            <w:tcW w:w="916" w:type="pct"/>
            <w:shd w:val="clear" w:color="auto" w:fill="auto"/>
            <w:noWrap/>
            <w:vAlign w:val="center"/>
            <w:hideMark/>
          </w:tcPr>
          <w:p w14:paraId="0D078681" w14:textId="6C399FED" w:rsidR="003F2106" w:rsidRPr="006128F6" w:rsidRDefault="003F2106" w:rsidP="004B6AD5">
            <w:pPr>
              <w:tabs>
                <w:tab w:val="clear" w:pos="567"/>
              </w:tabs>
              <w:spacing w:line="240" w:lineRule="auto"/>
              <w:jc w:val="center"/>
              <w:rPr>
                <w:color w:val="000000"/>
                <w:szCs w:val="22"/>
                <w:lang w:eastAsia="en-GB"/>
              </w:rPr>
            </w:pPr>
            <w:r w:rsidRPr="006128F6">
              <w:rPr>
                <w:color w:val="000000"/>
                <w:szCs w:val="22"/>
                <w:lang w:eastAsia="en-GB"/>
              </w:rPr>
              <w:t>1</w:t>
            </w:r>
            <w:r w:rsidR="000B44AA">
              <w:rPr>
                <w:color w:val="000000"/>
                <w:szCs w:val="22"/>
                <w:lang w:eastAsia="en-GB"/>
              </w:rPr>
              <w:t> </w:t>
            </w:r>
            <w:r w:rsidRPr="006128F6">
              <w:rPr>
                <w:color w:val="000000"/>
                <w:szCs w:val="22"/>
                <w:lang w:eastAsia="en-GB"/>
              </w:rPr>
              <w:t>927</w:t>
            </w:r>
          </w:p>
          <w:p w14:paraId="74BFC3D3" w14:textId="0519004B" w:rsidR="003F2106" w:rsidRPr="006128F6" w:rsidRDefault="003F2106" w:rsidP="004B6AD5">
            <w:pPr>
              <w:tabs>
                <w:tab w:val="clear" w:pos="567"/>
              </w:tabs>
              <w:spacing w:line="240" w:lineRule="auto"/>
              <w:jc w:val="center"/>
              <w:rPr>
                <w:color w:val="000000"/>
                <w:szCs w:val="22"/>
                <w:lang w:eastAsia="en-GB"/>
              </w:rPr>
            </w:pPr>
            <w:r w:rsidRPr="006128F6">
              <w:rPr>
                <w:color w:val="000000"/>
                <w:szCs w:val="22"/>
                <w:lang w:eastAsia="en-GB"/>
              </w:rPr>
              <w:t>(1</w:t>
            </w:r>
            <w:r w:rsidR="000B44AA">
              <w:rPr>
                <w:color w:val="000000"/>
                <w:szCs w:val="22"/>
                <w:lang w:eastAsia="en-GB"/>
              </w:rPr>
              <w:t> </w:t>
            </w:r>
            <w:r w:rsidRPr="006128F6">
              <w:rPr>
                <w:color w:val="000000"/>
                <w:szCs w:val="22"/>
                <w:lang w:eastAsia="en-GB"/>
              </w:rPr>
              <w:t>332 </w:t>
            </w:r>
            <w:r w:rsidR="000B44AA">
              <w:rPr>
                <w:color w:val="000000"/>
                <w:szCs w:val="22"/>
                <w:lang w:eastAsia="en-GB"/>
              </w:rPr>
              <w:t>–</w:t>
            </w:r>
            <w:r w:rsidRPr="006128F6">
              <w:rPr>
                <w:color w:val="000000"/>
                <w:szCs w:val="22"/>
                <w:lang w:eastAsia="en-GB"/>
              </w:rPr>
              <w:t> 2</w:t>
            </w:r>
            <w:r w:rsidR="000B44AA">
              <w:rPr>
                <w:color w:val="000000"/>
                <w:szCs w:val="22"/>
                <w:lang w:eastAsia="en-GB"/>
              </w:rPr>
              <w:t> </w:t>
            </w:r>
            <w:r w:rsidRPr="006128F6">
              <w:rPr>
                <w:color w:val="000000"/>
                <w:szCs w:val="22"/>
                <w:lang w:eastAsia="en-GB"/>
              </w:rPr>
              <w:t>771)</w:t>
            </w:r>
          </w:p>
        </w:tc>
        <w:tc>
          <w:tcPr>
            <w:tcW w:w="744" w:type="pct"/>
            <w:shd w:val="clear" w:color="auto" w:fill="auto"/>
            <w:noWrap/>
            <w:vAlign w:val="center"/>
            <w:hideMark/>
          </w:tcPr>
          <w:p w14:paraId="7BC861FF" w14:textId="77777777" w:rsidR="003F2106" w:rsidRPr="006128F6" w:rsidRDefault="003F2106" w:rsidP="004B6AD5">
            <w:pPr>
              <w:tabs>
                <w:tab w:val="clear" w:pos="567"/>
              </w:tabs>
              <w:spacing w:line="240" w:lineRule="auto"/>
              <w:jc w:val="center"/>
              <w:rPr>
                <w:color w:val="000000"/>
                <w:szCs w:val="22"/>
                <w:lang w:eastAsia="en-GB"/>
              </w:rPr>
            </w:pPr>
            <w:r w:rsidRPr="006128F6">
              <w:rPr>
                <w:color w:val="000000"/>
                <w:szCs w:val="22"/>
                <w:lang w:eastAsia="en-GB"/>
              </w:rPr>
              <w:t>15</w:t>
            </w:r>
          </w:p>
        </w:tc>
      </w:tr>
      <w:tr w:rsidR="006128F6" w:rsidRPr="006128F6" w14:paraId="2FCFD2D6" w14:textId="77777777" w:rsidTr="00AA2C64">
        <w:trPr>
          <w:cantSplit/>
          <w:trHeight w:val="300"/>
        </w:trPr>
        <w:tc>
          <w:tcPr>
            <w:tcW w:w="746" w:type="pct"/>
            <w:vMerge/>
            <w:shd w:val="clear" w:color="auto" w:fill="auto"/>
            <w:noWrap/>
            <w:vAlign w:val="center"/>
            <w:hideMark/>
          </w:tcPr>
          <w:p w14:paraId="13C2E79E" w14:textId="77777777" w:rsidR="003F2106" w:rsidRPr="006128F6" w:rsidRDefault="003F2106" w:rsidP="004B6AD5">
            <w:pPr>
              <w:tabs>
                <w:tab w:val="clear" w:pos="567"/>
              </w:tabs>
              <w:spacing w:line="240" w:lineRule="auto"/>
              <w:jc w:val="center"/>
              <w:rPr>
                <w:color w:val="000000"/>
                <w:szCs w:val="22"/>
                <w:lang w:eastAsia="en-GB"/>
              </w:rPr>
            </w:pPr>
          </w:p>
        </w:tc>
        <w:tc>
          <w:tcPr>
            <w:tcW w:w="688" w:type="pct"/>
            <w:shd w:val="clear" w:color="auto" w:fill="auto"/>
            <w:noWrap/>
            <w:vAlign w:val="center"/>
            <w:hideMark/>
          </w:tcPr>
          <w:p w14:paraId="373C4ECC" w14:textId="77777777" w:rsidR="003F2106" w:rsidRPr="006128F6" w:rsidRDefault="003F2106" w:rsidP="004B6AD5">
            <w:pPr>
              <w:tabs>
                <w:tab w:val="clear" w:pos="567"/>
              </w:tabs>
              <w:spacing w:line="240" w:lineRule="auto"/>
              <w:jc w:val="center"/>
              <w:rPr>
                <w:color w:val="000000"/>
                <w:szCs w:val="22"/>
                <w:lang w:eastAsia="en-GB"/>
              </w:rPr>
            </w:pPr>
            <w:r w:rsidRPr="006128F6">
              <w:rPr>
                <w:color w:val="000000"/>
                <w:szCs w:val="22"/>
                <w:lang w:eastAsia="en-GB"/>
              </w:rPr>
              <w:t>AGC</w:t>
            </w:r>
          </w:p>
        </w:tc>
        <w:tc>
          <w:tcPr>
            <w:tcW w:w="382" w:type="pct"/>
            <w:shd w:val="clear" w:color="auto" w:fill="auto"/>
            <w:noWrap/>
            <w:vAlign w:val="center"/>
            <w:hideMark/>
          </w:tcPr>
          <w:p w14:paraId="1FA7BD01" w14:textId="77777777" w:rsidR="003F2106" w:rsidRPr="006128F6" w:rsidRDefault="003F2106" w:rsidP="004B6AD5">
            <w:pPr>
              <w:tabs>
                <w:tab w:val="clear" w:pos="567"/>
              </w:tabs>
              <w:spacing w:line="240" w:lineRule="auto"/>
              <w:jc w:val="center"/>
              <w:rPr>
                <w:color w:val="000000"/>
                <w:szCs w:val="22"/>
                <w:lang w:eastAsia="en-GB"/>
              </w:rPr>
            </w:pPr>
            <w:r w:rsidRPr="006128F6">
              <w:rPr>
                <w:color w:val="000000"/>
                <w:szCs w:val="22"/>
                <w:lang w:eastAsia="en-GB"/>
              </w:rPr>
              <w:t>274</w:t>
            </w:r>
          </w:p>
        </w:tc>
        <w:tc>
          <w:tcPr>
            <w:tcW w:w="762" w:type="pct"/>
            <w:shd w:val="clear" w:color="auto" w:fill="auto"/>
            <w:noWrap/>
            <w:vAlign w:val="center"/>
            <w:hideMark/>
          </w:tcPr>
          <w:p w14:paraId="010AA17D" w14:textId="77777777" w:rsidR="003F2106" w:rsidRPr="006128F6" w:rsidRDefault="003F2106" w:rsidP="004B6AD5">
            <w:pPr>
              <w:tabs>
                <w:tab w:val="clear" w:pos="567"/>
              </w:tabs>
              <w:spacing w:line="240" w:lineRule="auto"/>
              <w:jc w:val="center"/>
              <w:rPr>
                <w:color w:val="000000"/>
                <w:szCs w:val="22"/>
                <w:lang w:eastAsia="en-GB"/>
              </w:rPr>
            </w:pPr>
            <w:r w:rsidRPr="006128F6">
              <w:rPr>
                <w:color w:val="000000"/>
                <w:szCs w:val="22"/>
                <w:lang w:eastAsia="en-GB"/>
              </w:rPr>
              <w:t>32.9</w:t>
            </w:r>
          </w:p>
          <w:p w14:paraId="0FE1EEE3" w14:textId="77777777" w:rsidR="003F2106" w:rsidRPr="006128F6" w:rsidRDefault="003F2106" w:rsidP="004B6AD5">
            <w:pPr>
              <w:tabs>
                <w:tab w:val="clear" w:pos="567"/>
              </w:tabs>
              <w:spacing w:line="240" w:lineRule="auto"/>
              <w:jc w:val="center"/>
              <w:rPr>
                <w:color w:val="000000"/>
                <w:szCs w:val="22"/>
                <w:lang w:eastAsia="en-GB"/>
              </w:rPr>
            </w:pPr>
            <w:r w:rsidRPr="006128F6">
              <w:rPr>
                <w:color w:val="000000"/>
                <w:szCs w:val="22"/>
                <w:lang w:eastAsia="en-GB"/>
              </w:rPr>
              <w:t>(6.1</w:t>
            </w:r>
            <w:r w:rsidRPr="006128F6">
              <w:rPr>
                <w:color w:val="000000"/>
                <w:szCs w:val="22"/>
                <w:lang w:eastAsia="en-GB"/>
              </w:rPr>
              <w:noBreakHyphen/>
              <w:t>88.9)</w:t>
            </w:r>
          </w:p>
        </w:tc>
        <w:tc>
          <w:tcPr>
            <w:tcW w:w="763" w:type="pct"/>
            <w:shd w:val="clear" w:color="auto" w:fill="auto"/>
            <w:noWrap/>
            <w:vAlign w:val="center"/>
            <w:hideMark/>
          </w:tcPr>
          <w:p w14:paraId="69962FF6" w14:textId="77777777" w:rsidR="003F2106" w:rsidRPr="006128F6" w:rsidRDefault="003F2106" w:rsidP="004B6AD5">
            <w:pPr>
              <w:tabs>
                <w:tab w:val="clear" w:pos="567"/>
              </w:tabs>
              <w:spacing w:line="240" w:lineRule="auto"/>
              <w:jc w:val="center"/>
              <w:rPr>
                <w:color w:val="000000"/>
                <w:szCs w:val="22"/>
                <w:lang w:eastAsia="en-GB"/>
              </w:rPr>
            </w:pPr>
            <w:r w:rsidRPr="006128F6">
              <w:rPr>
                <w:color w:val="000000"/>
                <w:szCs w:val="22"/>
                <w:lang w:eastAsia="en-GB"/>
              </w:rPr>
              <w:t>131</w:t>
            </w:r>
          </w:p>
          <w:p w14:paraId="41BAF03C" w14:textId="77777777" w:rsidR="003F2106" w:rsidRPr="006128F6" w:rsidRDefault="003F2106" w:rsidP="004B6AD5">
            <w:pPr>
              <w:tabs>
                <w:tab w:val="clear" w:pos="567"/>
              </w:tabs>
              <w:spacing w:line="240" w:lineRule="auto"/>
              <w:jc w:val="center"/>
              <w:rPr>
                <w:color w:val="000000"/>
                <w:szCs w:val="22"/>
                <w:lang w:eastAsia="en-GB"/>
              </w:rPr>
            </w:pPr>
            <w:r w:rsidRPr="006128F6">
              <w:rPr>
                <w:color w:val="000000"/>
                <w:szCs w:val="22"/>
                <w:lang w:eastAsia="en-GB"/>
              </w:rPr>
              <w:t>(72.5</w:t>
            </w:r>
            <w:r w:rsidRPr="006128F6">
              <w:rPr>
                <w:color w:val="000000"/>
                <w:szCs w:val="22"/>
                <w:lang w:eastAsia="en-GB"/>
              </w:rPr>
              <w:noBreakHyphen/>
              <w:t>251)</w:t>
            </w:r>
          </w:p>
        </w:tc>
        <w:tc>
          <w:tcPr>
            <w:tcW w:w="916" w:type="pct"/>
            <w:shd w:val="clear" w:color="auto" w:fill="auto"/>
            <w:noWrap/>
            <w:vAlign w:val="center"/>
            <w:hideMark/>
          </w:tcPr>
          <w:p w14:paraId="3B9EF355" w14:textId="18BD679B" w:rsidR="003F2106" w:rsidRPr="006128F6" w:rsidRDefault="003F2106" w:rsidP="004B6AD5">
            <w:pPr>
              <w:tabs>
                <w:tab w:val="clear" w:pos="567"/>
              </w:tabs>
              <w:spacing w:line="240" w:lineRule="auto"/>
              <w:jc w:val="center"/>
              <w:rPr>
                <w:color w:val="000000"/>
                <w:szCs w:val="22"/>
                <w:lang w:eastAsia="en-GB"/>
              </w:rPr>
            </w:pPr>
            <w:r w:rsidRPr="006128F6">
              <w:rPr>
                <w:color w:val="000000"/>
                <w:szCs w:val="22"/>
                <w:lang w:eastAsia="en-GB"/>
              </w:rPr>
              <w:t>1</w:t>
            </w:r>
            <w:r w:rsidR="000B44AA">
              <w:rPr>
                <w:color w:val="000000"/>
                <w:szCs w:val="22"/>
                <w:lang w:eastAsia="en-GB"/>
              </w:rPr>
              <w:t> </w:t>
            </w:r>
            <w:r w:rsidRPr="006128F6">
              <w:rPr>
                <w:color w:val="000000"/>
                <w:szCs w:val="22"/>
                <w:lang w:eastAsia="en-GB"/>
              </w:rPr>
              <w:t>338</w:t>
            </w:r>
          </w:p>
          <w:p w14:paraId="5BE9CCEF" w14:textId="353C6B25" w:rsidR="003F2106" w:rsidRPr="006128F6" w:rsidRDefault="003F2106" w:rsidP="004B6AD5">
            <w:pPr>
              <w:tabs>
                <w:tab w:val="clear" w:pos="567"/>
              </w:tabs>
              <w:spacing w:line="240" w:lineRule="auto"/>
              <w:jc w:val="center"/>
              <w:rPr>
                <w:color w:val="000000"/>
                <w:szCs w:val="22"/>
                <w:lang w:eastAsia="en-GB"/>
              </w:rPr>
            </w:pPr>
            <w:r w:rsidRPr="006128F6">
              <w:rPr>
                <w:color w:val="000000"/>
                <w:szCs w:val="22"/>
                <w:lang w:eastAsia="en-GB"/>
              </w:rPr>
              <w:t>(557</w:t>
            </w:r>
            <w:r w:rsidRPr="006128F6">
              <w:rPr>
                <w:color w:val="000000"/>
                <w:szCs w:val="22"/>
                <w:lang w:eastAsia="en-GB"/>
              </w:rPr>
              <w:noBreakHyphen/>
              <w:t>2</w:t>
            </w:r>
            <w:r w:rsidR="000B44AA">
              <w:rPr>
                <w:color w:val="000000"/>
                <w:szCs w:val="22"/>
                <w:lang w:eastAsia="en-GB"/>
              </w:rPr>
              <w:t> </w:t>
            </w:r>
            <w:r w:rsidRPr="006128F6">
              <w:rPr>
                <w:color w:val="000000"/>
                <w:szCs w:val="22"/>
                <w:lang w:eastAsia="en-GB"/>
              </w:rPr>
              <w:t>875)</w:t>
            </w:r>
          </w:p>
        </w:tc>
        <w:tc>
          <w:tcPr>
            <w:tcW w:w="744" w:type="pct"/>
            <w:shd w:val="clear" w:color="auto" w:fill="auto"/>
            <w:noWrap/>
            <w:vAlign w:val="center"/>
            <w:hideMark/>
          </w:tcPr>
          <w:p w14:paraId="3367CA7C" w14:textId="77777777" w:rsidR="003F2106" w:rsidRPr="006128F6" w:rsidRDefault="003F2106" w:rsidP="004B6AD5">
            <w:pPr>
              <w:tabs>
                <w:tab w:val="clear" w:pos="567"/>
              </w:tabs>
              <w:spacing w:line="240" w:lineRule="auto"/>
              <w:jc w:val="center"/>
              <w:rPr>
                <w:color w:val="000000"/>
                <w:szCs w:val="22"/>
                <w:lang w:eastAsia="en-GB"/>
              </w:rPr>
            </w:pPr>
            <w:r w:rsidRPr="006128F6">
              <w:rPr>
                <w:color w:val="000000"/>
                <w:szCs w:val="22"/>
                <w:lang w:eastAsia="en-GB"/>
              </w:rPr>
              <w:t>9</w:t>
            </w:r>
          </w:p>
        </w:tc>
      </w:tr>
      <w:tr w:rsidR="006128F6" w:rsidRPr="006128F6" w14:paraId="764D6F68" w14:textId="77777777" w:rsidTr="00AA2C64">
        <w:trPr>
          <w:cantSplit/>
          <w:trHeight w:val="300"/>
        </w:trPr>
        <w:tc>
          <w:tcPr>
            <w:tcW w:w="746" w:type="pct"/>
            <w:vMerge w:val="restart"/>
            <w:shd w:val="clear" w:color="auto" w:fill="auto"/>
            <w:noWrap/>
            <w:vAlign w:val="center"/>
            <w:hideMark/>
          </w:tcPr>
          <w:p w14:paraId="52D822C6" w14:textId="77777777" w:rsidR="003F2106" w:rsidRPr="00C25AB7" w:rsidRDefault="003F2106" w:rsidP="00801B3F">
            <w:pPr>
              <w:tabs>
                <w:tab w:val="clear" w:pos="567"/>
              </w:tabs>
              <w:spacing w:line="240" w:lineRule="auto"/>
              <w:jc w:val="center"/>
              <w:rPr>
                <w:color w:val="000000"/>
                <w:szCs w:val="22"/>
                <w:lang w:val="de-DE" w:eastAsia="en-GB"/>
              </w:rPr>
            </w:pPr>
            <w:r w:rsidRPr="00C25AB7">
              <w:rPr>
                <w:color w:val="000000"/>
                <w:szCs w:val="22"/>
                <w:lang w:val="de-DE" w:eastAsia="en-GB"/>
              </w:rPr>
              <w:t>4 mg/kg + 2 mg/kg qw</w:t>
            </w:r>
          </w:p>
        </w:tc>
        <w:tc>
          <w:tcPr>
            <w:tcW w:w="688" w:type="pct"/>
            <w:shd w:val="clear" w:color="auto" w:fill="auto"/>
            <w:noWrap/>
            <w:vAlign w:val="center"/>
            <w:hideMark/>
          </w:tcPr>
          <w:p w14:paraId="48BAE743" w14:textId="77777777" w:rsidR="003F2106" w:rsidRPr="006128F6" w:rsidRDefault="003F2106" w:rsidP="00801B3F">
            <w:pPr>
              <w:tabs>
                <w:tab w:val="clear" w:pos="567"/>
              </w:tabs>
              <w:spacing w:line="240" w:lineRule="auto"/>
              <w:jc w:val="center"/>
              <w:rPr>
                <w:color w:val="000000"/>
                <w:szCs w:val="22"/>
                <w:lang w:eastAsia="en-GB"/>
              </w:rPr>
            </w:pPr>
            <w:r w:rsidRPr="006128F6">
              <w:rPr>
                <w:color w:val="000000"/>
                <w:szCs w:val="22"/>
                <w:lang w:eastAsia="en-GB"/>
              </w:rPr>
              <w:t>MBC</w:t>
            </w:r>
          </w:p>
        </w:tc>
        <w:tc>
          <w:tcPr>
            <w:tcW w:w="382" w:type="pct"/>
            <w:shd w:val="clear" w:color="auto" w:fill="auto"/>
            <w:noWrap/>
            <w:vAlign w:val="center"/>
            <w:hideMark/>
          </w:tcPr>
          <w:p w14:paraId="4546CD4E" w14:textId="77777777" w:rsidR="003F2106" w:rsidRPr="006128F6" w:rsidRDefault="003F2106" w:rsidP="00801B3F">
            <w:pPr>
              <w:tabs>
                <w:tab w:val="clear" w:pos="567"/>
              </w:tabs>
              <w:spacing w:line="240" w:lineRule="auto"/>
              <w:jc w:val="center"/>
              <w:rPr>
                <w:color w:val="000000"/>
                <w:szCs w:val="22"/>
                <w:lang w:eastAsia="en-GB"/>
              </w:rPr>
            </w:pPr>
            <w:r w:rsidRPr="006128F6">
              <w:rPr>
                <w:color w:val="000000"/>
                <w:szCs w:val="22"/>
                <w:lang w:eastAsia="en-GB"/>
              </w:rPr>
              <w:t>805</w:t>
            </w:r>
          </w:p>
        </w:tc>
        <w:tc>
          <w:tcPr>
            <w:tcW w:w="762" w:type="pct"/>
            <w:shd w:val="clear" w:color="auto" w:fill="auto"/>
            <w:noWrap/>
            <w:vAlign w:val="center"/>
            <w:hideMark/>
          </w:tcPr>
          <w:p w14:paraId="483F0C9E" w14:textId="77777777" w:rsidR="003F2106" w:rsidRPr="006128F6" w:rsidRDefault="003F2106" w:rsidP="00801B3F">
            <w:pPr>
              <w:tabs>
                <w:tab w:val="clear" w:pos="567"/>
              </w:tabs>
              <w:spacing w:line="240" w:lineRule="auto"/>
              <w:jc w:val="center"/>
              <w:rPr>
                <w:color w:val="000000"/>
                <w:szCs w:val="22"/>
                <w:lang w:eastAsia="en-GB"/>
              </w:rPr>
            </w:pPr>
            <w:r w:rsidRPr="006128F6">
              <w:rPr>
                <w:color w:val="000000"/>
                <w:szCs w:val="22"/>
                <w:lang w:eastAsia="en-GB"/>
              </w:rPr>
              <w:t>63.1</w:t>
            </w:r>
          </w:p>
          <w:p w14:paraId="35D3D6BA" w14:textId="77777777" w:rsidR="003F2106" w:rsidRPr="006128F6" w:rsidRDefault="003F2106" w:rsidP="00801B3F">
            <w:pPr>
              <w:tabs>
                <w:tab w:val="clear" w:pos="567"/>
              </w:tabs>
              <w:spacing w:line="240" w:lineRule="auto"/>
              <w:jc w:val="center"/>
              <w:rPr>
                <w:color w:val="000000"/>
                <w:szCs w:val="22"/>
                <w:lang w:eastAsia="en-GB"/>
              </w:rPr>
            </w:pPr>
            <w:r w:rsidRPr="006128F6">
              <w:rPr>
                <w:color w:val="000000"/>
                <w:szCs w:val="22"/>
                <w:lang w:eastAsia="en-GB"/>
              </w:rPr>
              <w:t>(11.7</w:t>
            </w:r>
            <w:r w:rsidRPr="006128F6">
              <w:rPr>
                <w:color w:val="000000"/>
                <w:szCs w:val="22"/>
                <w:lang w:eastAsia="en-GB"/>
              </w:rPr>
              <w:noBreakHyphen/>
              <w:t>107)</w:t>
            </w:r>
          </w:p>
        </w:tc>
        <w:tc>
          <w:tcPr>
            <w:tcW w:w="763" w:type="pct"/>
            <w:shd w:val="clear" w:color="auto" w:fill="auto"/>
            <w:noWrap/>
            <w:vAlign w:val="center"/>
            <w:hideMark/>
          </w:tcPr>
          <w:p w14:paraId="1AE1626F" w14:textId="77777777" w:rsidR="003F2106" w:rsidRPr="006128F6" w:rsidRDefault="003F2106" w:rsidP="00801B3F">
            <w:pPr>
              <w:tabs>
                <w:tab w:val="clear" w:pos="567"/>
              </w:tabs>
              <w:spacing w:line="240" w:lineRule="auto"/>
              <w:jc w:val="center"/>
              <w:rPr>
                <w:color w:val="000000"/>
                <w:szCs w:val="22"/>
                <w:lang w:eastAsia="en-GB"/>
              </w:rPr>
            </w:pPr>
            <w:r w:rsidRPr="006128F6">
              <w:rPr>
                <w:color w:val="000000"/>
                <w:szCs w:val="22"/>
                <w:lang w:eastAsia="en-GB"/>
              </w:rPr>
              <w:t>107</w:t>
            </w:r>
          </w:p>
          <w:p w14:paraId="5389ED07" w14:textId="77777777" w:rsidR="003F2106" w:rsidRPr="006128F6" w:rsidRDefault="003F2106" w:rsidP="00801B3F">
            <w:pPr>
              <w:tabs>
                <w:tab w:val="clear" w:pos="567"/>
              </w:tabs>
              <w:spacing w:line="240" w:lineRule="auto"/>
              <w:jc w:val="center"/>
              <w:rPr>
                <w:color w:val="000000"/>
                <w:szCs w:val="22"/>
                <w:lang w:eastAsia="en-GB"/>
              </w:rPr>
            </w:pPr>
            <w:r w:rsidRPr="006128F6">
              <w:rPr>
                <w:color w:val="000000"/>
                <w:szCs w:val="22"/>
                <w:lang w:eastAsia="en-GB"/>
              </w:rPr>
              <w:t>(54.2</w:t>
            </w:r>
            <w:r w:rsidRPr="006128F6">
              <w:rPr>
                <w:color w:val="000000"/>
                <w:szCs w:val="22"/>
                <w:lang w:eastAsia="en-GB"/>
              </w:rPr>
              <w:noBreakHyphen/>
              <w:t>164)</w:t>
            </w:r>
          </w:p>
        </w:tc>
        <w:tc>
          <w:tcPr>
            <w:tcW w:w="916" w:type="pct"/>
            <w:shd w:val="clear" w:color="auto" w:fill="auto"/>
            <w:noWrap/>
            <w:vAlign w:val="center"/>
            <w:hideMark/>
          </w:tcPr>
          <w:p w14:paraId="6D5701ED" w14:textId="69E72901" w:rsidR="003F2106" w:rsidRPr="006128F6" w:rsidRDefault="003F2106" w:rsidP="00801B3F">
            <w:pPr>
              <w:tabs>
                <w:tab w:val="clear" w:pos="567"/>
              </w:tabs>
              <w:spacing w:line="240" w:lineRule="auto"/>
              <w:jc w:val="center"/>
              <w:rPr>
                <w:color w:val="000000"/>
                <w:szCs w:val="22"/>
                <w:lang w:eastAsia="en-GB"/>
              </w:rPr>
            </w:pPr>
            <w:r w:rsidRPr="006128F6">
              <w:rPr>
                <w:color w:val="000000"/>
                <w:szCs w:val="22"/>
                <w:lang w:eastAsia="en-GB"/>
              </w:rPr>
              <w:t>1</w:t>
            </w:r>
            <w:r w:rsidR="000B44AA">
              <w:rPr>
                <w:color w:val="000000"/>
                <w:szCs w:val="22"/>
                <w:lang w:eastAsia="en-GB"/>
              </w:rPr>
              <w:t> </w:t>
            </w:r>
            <w:r w:rsidRPr="006128F6">
              <w:rPr>
                <w:color w:val="000000"/>
                <w:szCs w:val="22"/>
                <w:lang w:eastAsia="en-GB"/>
              </w:rPr>
              <w:t>710</w:t>
            </w:r>
          </w:p>
          <w:p w14:paraId="3DF1DFE0" w14:textId="641CFEE7" w:rsidR="003F2106" w:rsidRPr="006128F6" w:rsidRDefault="003F2106" w:rsidP="00801B3F">
            <w:pPr>
              <w:tabs>
                <w:tab w:val="clear" w:pos="567"/>
              </w:tabs>
              <w:spacing w:line="240" w:lineRule="auto"/>
              <w:jc w:val="center"/>
              <w:rPr>
                <w:color w:val="000000"/>
                <w:szCs w:val="22"/>
                <w:lang w:eastAsia="en-GB"/>
              </w:rPr>
            </w:pPr>
            <w:r w:rsidRPr="006128F6">
              <w:rPr>
                <w:color w:val="000000"/>
                <w:szCs w:val="22"/>
                <w:lang w:eastAsia="en-GB"/>
              </w:rPr>
              <w:t>(581</w:t>
            </w:r>
            <w:r w:rsidRPr="006128F6">
              <w:rPr>
                <w:color w:val="000000"/>
                <w:szCs w:val="22"/>
                <w:lang w:eastAsia="en-GB"/>
              </w:rPr>
              <w:noBreakHyphen/>
              <w:t>2</w:t>
            </w:r>
            <w:r w:rsidR="000B44AA">
              <w:rPr>
                <w:color w:val="000000"/>
                <w:szCs w:val="22"/>
                <w:lang w:eastAsia="en-GB"/>
              </w:rPr>
              <w:t> </w:t>
            </w:r>
            <w:r w:rsidRPr="006128F6">
              <w:rPr>
                <w:color w:val="000000"/>
                <w:szCs w:val="22"/>
                <w:lang w:eastAsia="en-GB"/>
              </w:rPr>
              <w:t>715)</w:t>
            </w:r>
          </w:p>
        </w:tc>
        <w:tc>
          <w:tcPr>
            <w:tcW w:w="744" w:type="pct"/>
            <w:shd w:val="clear" w:color="auto" w:fill="auto"/>
            <w:noWrap/>
            <w:vAlign w:val="center"/>
            <w:hideMark/>
          </w:tcPr>
          <w:p w14:paraId="03267B1B" w14:textId="77777777" w:rsidR="003F2106" w:rsidRPr="006128F6" w:rsidRDefault="003F2106" w:rsidP="00801B3F">
            <w:pPr>
              <w:tabs>
                <w:tab w:val="clear" w:pos="567"/>
              </w:tabs>
              <w:spacing w:line="240" w:lineRule="auto"/>
              <w:jc w:val="center"/>
              <w:rPr>
                <w:color w:val="000000"/>
                <w:szCs w:val="22"/>
                <w:lang w:eastAsia="en-GB"/>
              </w:rPr>
            </w:pPr>
            <w:r w:rsidRPr="006128F6">
              <w:rPr>
                <w:color w:val="000000"/>
                <w:szCs w:val="22"/>
                <w:lang w:eastAsia="en-GB"/>
              </w:rPr>
              <w:t>12</w:t>
            </w:r>
          </w:p>
        </w:tc>
      </w:tr>
      <w:tr w:rsidR="006128F6" w:rsidRPr="006128F6" w14:paraId="3FA2FC32" w14:textId="77777777" w:rsidTr="00AA2C64">
        <w:trPr>
          <w:cantSplit/>
          <w:trHeight w:val="300"/>
        </w:trPr>
        <w:tc>
          <w:tcPr>
            <w:tcW w:w="746" w:type="pct"/>
            <w:vMerge/>
            <w:shd w:val="clear" w:color="auto" w:fill="auto"/>
            <w:noWrap/>
            <w:vAlign w:val="center"/>
            <w:hideMark/>
          </w:tcPr>
          <w:p w14:paraId="13B7D642" w14:textId="77777777" w:rsidR="003F2106" w:rsidRPr="006128F6" w:rsidRDefault="003F2106" w:rsidP="004B6AD5">
            <w:pPr>
              <w:tabs>
                <w:tab w:val="clear" w:pos="567"/>
              </w:tabs>
              <w:spacing w:line="240" w:lineRule="auto"/>
              <w:jc w:val="center"/>
              <w:rPr>
                <w:color w:val="000000"/>
                <w:szCs w:val="22"/>
                <w:lang w:eastAsia="en-GB"/>
              </w:rPr>
            </w:pPr>
          </w:p>
        </w:tc>
        <w:tc>
          <w:tcPr>
            <w:tcW w:w="688" w:type="pct"/>
            <w:shd w:val="clear" w:color="auto" w:fill="auto"/>
            <w:noWrap/>
            <w:vAlign w:val="center"/>
            <w:hideMark/>
          </w:tcPr>
          <w:p w14:paraId="0EA3548E" w14:textId="77777777" w:rsidR="003F2106" w:rsidRPr="006128F6" w:rsidRDefault="003F2106" w:rsidP="004B6AD5">
            <w:pPr>
              <w:tabs>
                <w:tab w:val="clear" w:pos="567"/>
              </w:tabs>
              <w:spacing w:line="240" w:lineRule="auto"/>
              <w:jc w:val="center"/>
              <w:rPr>
                <w:color w:val="000000"/>
                <w:szCs w:val="22"/>
                <w:lang w:eastAsia="en-GB"/>
              </w:rPr>
            </w:pPr>
            <w:r w:rsidRPr="006128F6">
              <w:rPr>
                <w:color w:val="000000"/>
                <w:szCs w:val="22"/>
                <w:lang w:eastAsia="en-GB"/>
              </w:rPr>
              <w:t>EBC</w:t>
            </w:r>
          </w:p>
        </w:tc>
        <w:tc>
          <w:tcPr>
            <w:tcW w:w="382" w:type="pct"/>
            <w:shd w:val="clear" w:color="auto" w:fill="auto"/>
            <w:noWrap/>
            <w:vAlign w:val="center"/>
            <w:hideMark/>
          </w:tcPr>
          <w:p w14:paraId="2AEF965E" w14:textId="77777777" w:rsidR="003F2106" w:rsidRPr="006128F6" w:rsidRDefault="003F2106" w:rsidP="004B6AD5">
            <w:pPr>
              <w:tabs>
                <w:tab w:val="clear" w:pos="567"/>
              </w:tabs>
              <w:spacing w:line="240" w:lineRule="auto"/>
              <w:jc w:val="center"/>
              <w:rPr>
                <w:color w:val="000000"/>
                <w:szCs w:val="22"/>
                <w:lang w:eastAsia="en-GB"/>
              </w:rPr>
            </w:pPr>
            <w:r w:rsidRPr="006128F6">
              <w:rPr>
                <w:color w:val="000000"/>
                <w:szCs w:val="22"/>
                <w:lang w:eastAsia="en-GB"/>
              </w:rPr>
              <w:t>390</w:t>
            </w:r>
          </w:p>
        </w:tc>
        <w:tc>
          <w:tcPr>
            <w:tcW w:w="762" w:type="pct"/>
            <w:shd w:val="clear" w:color="auto" w:fill="auto"/>
            <w:noWrap/>
            <w:vAlign w:val="center"/>
            <w:hideMark/>
          </w:tcPr>
          <w:p w14:paraId="44685244" w14:textId="77777777" w:rsidR="003F2106" w:rsidRPr="006128F6" w:rsidRDefault="003F2106" w:rsidP="004B6AD5">
            <w:pPr>
              <w:tabs>
                <w:tab w:val="clear" w:pos="567"/>
              </w:tabs>
              <w:spacing w:line="240" w:lineRule="auto"/>
              <w:jc w:val="center"/>
              <w:rPr>
                <w:color w:val="000000"/>
                <w:szCs w:val="22"/>
                <w:lang w:eastAsia="en-GB"/>
              </w:rPr>
            </w:pPr>
            <w:r w:rsidRPr="006128F6">
              <w:rPr>
                <w:color w:val="000000"/>
                <w:szCs w:val="22"/>
                <w:lang w:eastAsia="en-GB"/>
              </w:rPr>
              <w:t>72.6</w:t>
            </w:r>
          </w:p>
          <w:p w14:paraId="7128C46E" w14:textId="77777777" w:rsidR="003F2106" w:rsidRPr="006128F6" w:rsidRDefault="003F2106" w:rsidP="004B6AD5">
            <w:pPr>
              <w:tabs>
                <w:tab w:val="clear" w:pos="567"/>
              </w:tabs>
              <w:spacing w:line="240" w:lineRule="auto"/>
              <w:jc w:val="center"/>
              <w:rPr>
                <w:color w:val="000000"/>
                <w:szCs w:val="22"/>
                <w:lang w:eastAsia="en-GB"/>
              </w:rPr>
            </w:pPr>
            <w:r w:rsidRPr="006128F6">
              <w:rPr>
                <w:color w:val="000000"/>
                <w:szCs w:val="22"/>
                <w:lang w:eastAsia="en-GB"/>
              </w:rPr>
              <w:t>(46</w:t>
            </w:r>
            <w:r w:rsidRPr="006128F6">
              <w:rPr>
                <w:color w:val="000000"/>
                <w:szCs w:val="22"/>
                <w:lang w:eastAsia="en-GB"/>
              </w:rPr>
              <w:noBreakHyphen/>
              <w:t>109)</w:t>
            </w:r>
          </w:p>
        </w:tc>
        <w:tc>
          <w:tcPr>
            <w:tcW w:w="763" w:type="pct"/>
            <w:shd w:val="clear" w:color="auto" w:fill="auto"/>
            <w:noWrap/>
            <w:vAlign w:val="center"/>
            <w:hideMark/>
          </w:tcPr>
          <w:p w14:paraId="4404A5F9" w14:textId="77777777" w:rsidR="003F2106" w:rsidRPr="006128F6" w:rsidRDefault="003F2106" w:rsidP="004B6AD5">
            <w:pPr>
              <w:tabs>
                <w:tab w:val="clear" w:pos="567"/>
              </w:tabs>
              <w:spacing w:line="240" w:lineRule="auto"/>
              <w:jc w:val="center"/>
              <w:rPr>
                <w:color w:val="000000"/>
                <w:szCs w:val="22"/>
                <w:lang w:eastAsia="en-GB"/>
              </w:rPr>
            </w:pPr>
            <w:r w:rsidRPr="006128F6">
              <w:rPr>
                <w:color w:val="000000"/>
                <w:szCs w:val="22"/>
                <w:lang w:eastAsia="en-GB"/>
              </w:rPr>
              <w:t>115</w:t>
            </w:r>
          </w:p>
          <w:p w14:paraId="01601E99" w14:textId="77777777" w:rsidR="003F2106" w:rsidRPr="006128F6" w:rsidRDefault="003F2106" w:rsidP="004B6AD5">
            <w:pPr>
              <w:tabs>
                <w:tab w:val="clear" w:pos="567"/>
              </w:tabs>
              <w:spacing w:line="240" w:lineRule="auto"/>
              <w:jc w:val="center"/>
              <w:rPr>
                <w:color w:val="000000"/>
                <w:szCs w:val="22"/>
                <w:lang w:eastAsia="en-GB"/>
              </w:rPr>
            </w:pPr>
            <w:r w:rsidRPr="006128F6">
              <w:rPr>
                <w:color w:val="000000"/>
                <w:szCs w:val="22"/>
                <w:lang w:eastAsia="en-GB"/>
              </w:rPr>
              <w:t>(82.6</w:t>
            </w:r>
            <w:r w:rsidRPr="006128F6">
              <w:rPr>
                <w:color w:val="000000"/>
                <w:szCs w:val="22"/>
                <w:lang w:eastAsia="en-GB"/>
              </w:rPr>
              <w:noBreakHyphen/>
              <w:t>160)</w:t>
            </w:r>
          </w:p>
        </w:tc>
        <w:tc>
          <w:tcPr>
            <w:tcW w:w="916" w:type="pct"/>
            <w:shd w:val="clear" w:color="auto" w:fill="auto"/>
            <w:noWrap/>
            <w:vAlign w:val="center"/>
            <w:hideMark/>
          </w:tcPr>
          <w:p w14:paraId="5F827E97" w14:textId="476BC134" w:rsidR="003F2106" w:rsidRPr="006128F6" w:rsidRDefault="003F2106" w:rsidP="004B6AD5">
            <w:pPr>
              <w:tabs>
                <w:tab w:val="clear" w:pos="567"/>
              </w:tabs>
              <w:spacing w:line="240" w:lineRule="auto"/>
              <w:jc w:val="center"/>
              <w:rPr>
                <w:color w:val="000000"/>
                <w:szCs w:val="22"/>
                <w:lang w:eastAsia="en-GB"/>
              </w:rPr>
            </w:pPr>
            <w:r w:rsidRPr="006128F6">
              <w:rPr>
                <w:color w:val="000000"/>
                <w:szCs w:val="22"/>
                <w:lang w:eastAsia="en-GB"/>
              </w:rPr>
              <w:t>1</w:t>
            </w:r>
            <w:r w:rsidR="000B44AA">
              <w:rPr>
                <w:color w:val="000000"/>
                <w:szCs w:val="22"/>
                <w:lang w:eastAsia="en-GB"/>
              </w:rPr>
              <w:t> </w:t>
            </w:r>
            <w:r w:rsidRPr="006128F6">
              <w:rPr>
                <w:color w:val="000000"/>
                <w:szCs w:val="22"/>
                <w:lang w:eastAsia="en-GB"/>
              </w:rPr>
              <w:t>893</w:t>
            </w:r>
          </w:p>
          <w:p w14:paraId="2C3F4ABD" w14:textId="22E9CB2B" w:rsidR="003F2106" w:rsidRPr="006128F6" w:rsidRDefault="003F2106" w:rsidP="004B6AD5">
            <w:pPr>
              <w:tabs>
                <w:tab w:val="clear" w:pos="567"/>
              </w:tabs>
              <w:spacing w:line="240" w:lineRule="auto"/>
              <w:jc w:val="center"/>
              <w:rPr>
                <w:color w:val="000000"/>
                <w:szCs w:val="22"/>
                <w:lang w:eastAsia="en-GB"/>
              </w:rPr>
            </w:pPr>
            <w:r w:rsidRPr="006128F6">
              <w:rPr>
                <w:color w:val="000000"/>
                <w:szCs w:val="22"/>
                <w:lang w:eastAsia="en-GB"/>
              </w:rPr>
              <w:t>(1</w:t>
            </w:r>
            <w:r w:rsidR="000B44AA">
              <w:rPr>
                <w:color w:val="000000"/>
                <w:szCs w:val="22"/>
                <w:lang w:eastAsia="en-GB"/>
              </w:rPr>
              <w:t> </w:t>
            </w:r>
            <w:r w:rsidRPr="006128F6">
              <w:rPr>
                <w:color w:val="000000"/>
                <w:szCs w:val="22"/>
                <w:lang w:eastAsia="en-GB"/>
              </w:rPr>
              <w:t>309</w:t>
            </w:r>
            <w:r w:rsidRPr="006128F6">
              <w:rPr>
                <w:color w:val="000000"/>
                <w:szCs w:val="22"/>
                <w:lang w:eastAsia="en-GB"/>
              </w:rPr>
              <w:noBreakHyphen/>
              <w:t>2</w:t>
            </w:r>
            <w:r w:rsidR="000B44AA">
              <w:rPr>
                <w:color w:val="000000"/>
                <w:szCs w:val="22"/>
                <w:lang w:eastAsia="en-GB"/>
              </w:rPr>
              <w:t> </w:t>
            </w:r>
            <w:r w:rsidRPr="006128F6">
              <w:rPr>
                <w:color w:val="000000"/>
                <w:szCs w:val="22"/>
                <w:lang w:eastAsia="en-GB"/>
              </w:rPr>
              <w:t>734)</w:t>
            </w:r>
          </w:p>
        </w:tc>
        <w:tc>
          <w:tcPr>
            <w:tcW w:w="744" w:type="pct"/>
            <w:shd w:val="clear" w:color="auto" w:fill="auto"/>
            <w:noWrap/>
            <w:vAlign w:val="center"/>
            <w:hideMark/>
          </w:tcPr>
          <w:p w14:paraId="1322F879" w14:textId="77777777" w:rsidR="003F2106" w:rsidRPr="006128F6" w:rsidRDefault="003F2106" w:rsidP="004B6AD5">
            <w:pPr>
              <w:tabs>
                <w:tab w:val="clear" w:pos="567"/>
              </w:tabs>
              <w:spacing w:line="240" w:lineRule="auto"/>
              <w:jc w:val="center"/>
              <w:rPr>
                <w:color w:val="000000"/>
                <w:szCs w:val="22"/>
                <w:lang w:eastAsia="en-GB"/>
              </w:rPr>
            </w:pPr>
            <w:r w:rsidRPr="006128F6">
              <w:rPr>
                <w:color w:val="000000"/>
                <w:szCs w:val="22"/>
                <w:lang w:eastAsia="en-GB"/>
              </w:rPr>
              <w:t>14</w:t>
            </w:r>
          </w:p>
        </w:tc>
      </w:tr>
    </w:tbl>
    <w:p w14:paraId="2D1C6C6A" w14:textId="77777777" w:rsidR="0055599E" w:rsidRPr="00CE427E" w:rsidRDefault="0055599E" w:rsidP="00801B3F">
      <w:pPr>
        <w:tabs>
          <w:tab w:val="clear" w:pos="567"/>
        </w:tabs>
        <w:autoSpaceDE w:val="0"/>
        <w:autoSpaceDN w:val="0"/>
        <w:adjustRightInd w:val="0"/>
        <w:spacing w:line="240" w:lineRule="auto"/>
        <w:rPr>
          <w:rFonts w:eastAsia="Calibri"/>
          <w:sz w:val="20"/>
        </w:rPr>
      </w:pPr>
      <w:r w:rsidRPr="00CE427E">
        <w:rPr>
          <w:rFonts w:eastAsia="Calibri"/>
          <w:sz w:val="20"/>
        </w:rPr>
        <w:t>*C</w:t>
      </w:r>
      <w:r w:rsidRPr="00CE427E">
        <w:rPr>
          <w:rFonts w:eastAsia="Calibri"/>
          <w:sz w:val="20"/>
          <w:vertAlign w:val="subscript"/>
        </w:rPr>
        <w:t>min,ss </w:t>
      </w:r>
      <w:r w:rsidRPr="00CE427E">
        <w:rPr>
          <w:rFonts w:eastAsia="Calibri"/>
          <w:sz w:val="20"/>
        </w:rPr>
        <w:noBreakHyphen/>
      </w:r>
      <w:r w:rsidRPr="00CE427E">
        <w:rPr>
          <w:rFonts w:eastAsia="Calibri"/>
          <w:sz w:val="20"/>
          <w:vertAlign w:val="subscript"/>
        </w:rPr>
        <w:t> </w:t>
      </w:r>
      <w:r w:rsidRPr="00CE427E">
        <w:rPr>
          <w:rFonts w:eastAsia="Calibri"/>
          <w:sz w:val="20"/>
        </w:rPr>
        <w:t>C</w:t>
      </w:r>
      <w:r w:rsidRPr="00CE427E">
        <w:rPr>
          <w:rFonts w:eastAsia="Calibri"/>
          <w:sz w:val="20"/>
          <w:vertAlign w:val="subscript"/>
        </w:rPr>
        <w:t>min</w:t>
      </w:r>
      <w:r w:rsidRPr="00CE427E">
        <w:rPr>
          <w:rFonts w:eastAsia="Calibri"/>
          <w:sz w:val="20"/>
        </w:rPr>
        <w:t xml:space="preserve"> at steady</w:t>
      </w:r>
      <w:r w:rsidRPr="00CE427E">
        <w:rPr>
          <w:rFonts w:eastAsia="Calibri"/>
          <w:sz w:val="20"/>
        </w:rPr>
        <w:noBreakHyphen/>
        <w:t>state</w:t>
      </w:r>
    </w:p>
    <w:p w14:paraId="3677E8FD" w14:textId="77777777" w:rsidR="0055599E" w:rsidRPr="00CE427E" w:rsidRDefault="0055599E">
      <w:pPr>
        <w:tabs>
          <w:tab w:val="clear" w:pos="567"/>
        </w:tabs>
        <w:autoSpaceDE w:val="0"/>
        <w:autoSpaceDN w:val="0"/>
        <w:adjustRightInd w:val="0"/>
        <w:spacing w:line="240" w:lineRule="auto"/>
        <w:rPr>
          <w:rFonts w:eastAsia="Calibri"/>
          <w:sz w:val="20"/>
        </w:rPr>
      </w:pPr>
      <w:r w:rsidRPr="00CE427E">
        <w:rPr>
          <w:rFonts w:eastAsia="Calibri"/>
          <w:sz w:val="20"/>
        </w:rPr>
        <w:t>**C</w:t>
      </w:r>
      <w:r w:rsidRPr="00CE427E">
        <w:rPr>
          <w:rFonts w:eastAsia="Calibri"/>
          <w:sz w:val="20"/>
          <w:vertAlign w:val="subscript"/>
        </w:rPr>
        <w:t>max,ss</w:t>
      </w:r>
      <w:r w:rsidRPr="00CE427E">
        <w:rPr>
          <w:rFonts w:eastAsia="Calibri"/>
          <w:sz w:val="20"/>
        </w:rPr>
        <w:t> = C</w:t>
      </w:r>
      <w:r w:rsidRPr="00CE427E">
        <w:rPr>
          <w:rFonts w:eastAsia="Calibri"/>
          <w:sz w:val="20"/>
          <w:vertAlign w:val="subscript"/>
        </w:rPr>
        <w:t>max</w:t>
      </w:r>
      <w:r w:rsidRPr="00CE427E">
        <w:rPr>
          <w:rFonts w:eastAsia="Calibri"/>
          <w:sz w:val="20"/>
        </w:rPr>
        <w:t xml:space="preserve"> at steady</w:t>
      </w:r>
      <w:r w:rsidRPr="00CE427E">
        <w:rPr>
          <w:rFonts w:eastAsia="Calibri"/>
          <w:sz w:val="20"/>
        </w:rPr>
        <w:noBreakHyphen/>
        <w:t>state</w:t>
      </w:r>
    </w:p>
    <w:p w14:paraId="3131FA84" w14:textId="6BA75B2B" w:rsidR="0055599E" w:rsidRPr="00CE427E" w:rsidRDefault="0055599E">
      <w:pPr>
        <w:tabs>
          <w:tab w:val="clear" w:pos="567"/>
        </w:tabs>
        <w:autoSpaceDE w:val="0"/>
        <w:autoSpaceDN w:val="0"/>
        <w:adjustRightInd w:val="0"/>
        <w:spacing w:line="240" w:lineRule="auto"/>
        <w:rPr>
          <w:rFonts w:eastAsia="Calibri"/>
          <w:sz w:val="20"/>
        </w:rPr>
      </w:pPr>
      <w:r w:rsidRPr="00CE427E">
        <w:rPr>
          <w:rFonts w:eastAsia="Calibri"/>
          <w:sz w:val="20"/>
        </w:rPr>
        <w:t>*** time to 90</w:t>
      </w:r>
      <w:r w:rsidR="000840CF" w:rsidRPr="00CE427E">
        <w:rPr>
          <w:rFonts w:eastAsia="Calibri"/>
          <w:sz w:val="20"/>
        </w:rPr>
        <w:t>%</w:t>
      </w:r>
      <w:r w:rsidRPr="00CE427E">
        <w:rPr>
          <w:rFonts w:eastAsia="Calibri"/>
          <w:sz w:val="20"/>
        </w:rPr>
        <w:t xml:space="preserve"> of steady</w:t>
      </w:r>
      <w:r w:rsidRPr="00CE427E">
        <w:rPr>
          <w:rFonts w:eastAsia="Calibri"/>
          <w:sz w:val="20"/>
        </w:rPr>
        <w:noBreakHyphen/>
        <w:t>state</w:t>
      </w:r>
    </w:p>
    <w:p w14:paraId="6564742A" w14:textId="77777777" w:rsidR="0055599E" w:rsidRPr="00CE427E" w:rsidRDefault="0055599E">
      <w:pPr>
        <w:tabs>
          <w:tab w:val="clear" w:pos="567"/>
        </w:tabs>
        <w:autoSpaceDE w:val="0"/>
        <w:autoSpaceDN w:val="0"/>
        <w:adjustRightInd w:val="0"/>
        <w:spacing w:line="240" w:lineRule="auto"/>
        <w:rPr>
          <w:rFonts w:eastAsia="Calibri"/>
          <w:szCs w:val="22"/>
        </w:rPr>
      </w:pPr>
    </w:p>
    <w:p w14:paraId="59C963C5" w14:textId="4D7BAAFF" w:rsidR="00D501B8" w:rsidRPr="00CE427E" w:rsidRDefault="00D501B8" w:rsidP="00801B3F">
      <w:pPr>
        <w:keepNext/>
        <w:keepLines/>
        <w:tabs>
          <w:tab w:val="clear" w:pos="567"/>
        </w:tabs>
        <w:autoSpaceDE w:val="0"/>
        <w:autoSpaceDN w:val="0"/>
        <w:adjustRightInd w:val="0"/>
        <w:spacing w:line="240" w:lineRule="auto"/>
        <w:rPr>
          <w:rFonts w:eastAsia="Calibri"/>
          <w:b/>
          <w:szCs w:val="22"/>
        </w:rPr>
      </w:pPr>
      <w:r w:rsidRPr="00CE427E">
        <w:rPr>
          <w:rFonts w:eastAsia="Calibri"/>
          <w:b/>
          <w:szCs w:val="22"/>
        </w:rPr>
        <w:t>Table 16 Population predicted PK parameter values at steady</w:t>
      </w:r>
      <w:r w:rsidR="006006B9" w:rsidRPr="00CE427E">
        <w:rPr>
          <w:rFonts w:eastAsia="Calibri"/>
          <w:b/>
          <w:szCs w:val="22"/>
        </w:rPr>
        <w:t>-</w:t>
      </w:r>
      <w:r w:rsidRPr="00CE427E">
        <w:rPr>
          <w:rFonts w:eastAsia="Calibri"/>
          <w:b/>
          <w:szCs w:val="22"/>
        </w:rPr>
        <w:t xml:space="preserve">state for </w:t>
      </w:r>
      <w:r w:rsidR="0093307D" w:rsidRPr="00CE427E">
        <w:rPr>
          <w:rFonts w:eastAsia="Calibri"/>
          <w:b/>
          <w:szCs w:val="22"/>
        </w:rPr>
        <w:t>trastuzumab</w:t>
      </w:r>
      <w:r w:rsidRPr="00CE427E">
        <w:rPr>
          <w:rFonts w:eastAsia="Calibri"/>
          <w:b/>
          <w:szCs w:val="22"/>
        </w:rPr>
        <w:t xml:space="preserve"> </w:t>
      </w:r>
      <w:r w:rsidR="00D248DE" w:rsidRPr="00CE427E">
        <w:rPr>
          <w:rFonts w:eastAsia="Calibri"/>
          <w:b/>
          <w:szCs w:val="22"/>
        </w:rPr>
        <w:t>intravenous</w:t>
      </w:r>
      <w:r w:rsidRPr="00CE427E">
        <w:rPr>
          <w:rFonts w:eastAsia="Calibri"/>
          <w:b/>
          <w:szCs w:val="22"/>
        </w:rPr>
        <w:t xml:space="preserve"> dosing regimens in MBC, EBC and AGC patients</w:t>
      </w:r>
    </w:p>
    <w:p w14:paraId="1E0567B7" w14:textId="77777777" w:rsidR="00B0681D" w:rsidRPr="00CE427E" w:rsidRDefault="00B0681D" w:rsidP="00801B3F">
      <w:pPr>
        <w:keepNext/>
        <w:keepLines/>
        <w:tabs>
          <w:tab w:val="clear" w:pos="567"/>
        </w:tabs>
        <w:autoSpaceDE w:val="0"/>
        <w:autoSpaceDN w:val="0"/>
        <w:adjustRightInd w:val="0"/>
        <w:spacing w:line="240" w:lineRule="auto"/>
        <w:rPr>
          <w:rFonts w:eastAsia="Calibri"/>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8"/>
        <w:gridCol w:w="1861"/>
        <w:gridCol w:w="780"/>
        <w:gridCol w:w="2337"/>
        <w:gridCol w:w="2091"/>
      </w:tblGrid>
      <w:tr w:rsidR="0003548F" w:rsidRPr="006128F6" w14:paraId="42EDC3FD" w14:textId="77777777" w:rsidTr="000840CF">
        <w:trPr>
          <w:trHeight w:val="300"/>
        </w:trPr>
        <w:tc>
          <w:tcPr>
            <w:tcW w:w="1194" w:type="pct"/>
            <w:shd w:val="clear" w:color="auto" w:fill="auto"/>
            <w:noWrap/>
            <w:vAlign w:val="center"/>
            <w:hideMark/>
          </w:tcPr>
          <w:p w14:paraId="5068A794" w14:textId="77777777" w:rsidR="0003548F" w:rsidRPr="006128F6" w:rsidRDefault="0003548F" w:rsidP="00801B3F">
            <w:pPr>
              <w:keepNext/>
              <w:keepLines/>
              <w:tabs>
                <w:tab w:val="clear" w:pos="567"/>
              </w:tabs>
              <w:spacing w:line="240" w:lineRule="auto"/>
              <w:jc w:val="center"/>
              <w:rPr>
                <w:b/>
                <w:color w:val="000000"/>
                <w:szCs w:val="22"/>
                <w:lang w:eastAsia="en-GB"/>
              </w:rPr>
            </w:pPr>
            <w:r w:rsidRPr="006128F6">
              <w:rPr>
                <w:b/>
                <w:color w:val="000000"/>
                <w:szCs w:val="22"/>
                <w:lang w:eastAsia="en-GB"/>
              </w:rPr>
              <w:t>Regimen</w:t>
            </w:r>
          </w:p>
        </w:tc>
        <w:tc>
          <w:tcPr>
            <w:tcW w:w="1002" w:type="pct"/>
            <w:shd w:val="clear" w:color="auto" w:fill="auto"/>
            <w:noWrap/>
            <w:vAlign w:val="center"/>
            <w:hideMark/>
          </w:tcPr>
          <w:p w14:paraId="59F1B946" w14:textId="77777777" w:rsidR="0003548F" w:rsidRPr="006128F6" w:rsidRDefault="0003548F" w:rsidP="00801B3F">
            <w:pPr>
              <w:keepNext/>
              <w:keepLines/>
              <w:tabs>
                <w:tab w:val="clear" w:pos="567"/>
              </w:tabs>
              <w:spacing w:line="240" w:lineRule="auto"/>
              <w:jc w:val="center"/>
              <w:rPr>
                <w:b/>
                <w:color w:val="000000"/>
                <w:szCs w:val="22"/>
                <w:lang w:eastAsia="en-GB"/>
              </w:rPr>
            </w:pPr>
            <w:r w:rsidRPr="006128F6">
              <w:rPr>
                <w:b/>
                <w:color w:val="000000"/>
                <w:szCs w:val="22"/>
                <w:lang w:eastAsia="en-GB"/>
              </w:rPr>
              <w:t>Primary tumour type</w:t>
            </w:r>
          </w:p>
        </w:tc>
        <w:tc>
          <w:tcPr>
            <w:tcW w:w="420" w:type="pct"/>
            <w:shd w:val="clear" w:color="auto" w:fill="auto"/>
            <w:noWrap/>
            <w:vAlign w:val="center"/>
            <w:hideMark/>
          </w:tcPr>
          <w:p w14:paraId="295D8A79" w14:textId="77777777" w:rsidR="0003548F" w:rsidRPr="006128F6" w:rsidRDefault="0003548F" w:rsidP="00801B3F">
            <w:pPr>
              <w:keepNext/>
              <w:keepLines/>
              <w:tabs>
                <w:tab w:val="clear" w:pos="567"/>
              </w:tabs>
              <w:spacing w:line="240" w:lineRule="auto"/>
              <w:jc w:val="center"/>
              <w:rPr>
                <w:b/>
                <w:color w:val="000000"/>
                <w:szCs w:val="22"/>
                <w:lang w:eastAsia="en-GB"/>
              </w:rPr>
            </w:pPr>
            <w:r w:rsidRPr="006128F6">
              <w:rPr>
                <w:b/>
                <w:color w:val="000000"/>
                <w:szCs w:val="22"/>
                <w:lang w:eastAsia="en-GB"/>
              </w:rPr>
              <w:t>N</w:t>
            </w:r>
          </w:p>
        </w:tc>
        <w:tc>
          <w:tcPr>
            <w:tcW w:w="1258" w:type="pct"/>
            <w:shd w:val="clear" w:color="auto" w:fill="auto"/>
            <w:noWrap/>
            <w:vAlign w:val="center"/>
            <w:hideMark/>
          </w:tcPr>
          <w:p w14:paraId="049607D9" w14:textId="77777777" w:rsidR="0003548F" w:rsidRPr="006128F6" w:rsidRDefault="0003548F" w:rsidP="00801B3F">
            <w:pPr>
              <w:keepNext/>
              <w:keepLines/>
              <w:tabs>
                <w:tab w:val="clear" w:pos="567"/>
              </w:tabs>
              <w:spacing w:line="240" w:lineRule="auto"/>
              <w:jc w:val="center"/>
              <w:rPr>
                <w:b/>
                <w:color w:val="000000"/>
                <w:szCs w:val="22"/>
                <w:lang w:eastAsia="en-GB"/>
              </w:rPr>
            </w:pPr>
            <w:r w:rsidRPr="006128F6">
              <w:rPr>
                <w:b/>
                <w:color w:val="000000"/>
                <w:szCs w:val="22"/>
                <w:lang w:eastAsia="en-GB"/>
              </w:rPr>
              <w:t xml:space="preserve">Total CL range </w:t>
            </w:r>
          </w:p>
          <w:p w14:paraId="444E5C15" w14:textId="2C568520" w:rsidR="0003548F" w:rsidRPr="006128F6" w:rsidRDefault="0003548F" w:rsidP="00801B3F">
            <w:pPr>
              <w:keepNext/>
              <w:keepLines/>
              <w:tabs>
                <w:tab w:val="clear" w:pos="567"/>
              </w:tabs>
              <w:spacing w:line="240" w:lineRule="auto"/>
              <w:jc w:val="center"/>
              <w:rPr>
                <w:b/>
                <w:color w:val="000000"/>
                <w:szCs w:val="22"/>
                <w:lang w:eastAsia="en-GB"/>
              </w:rPr>
            </w:pPr>
            <w:r w:rsidRPr="006128F6">
              <w:rPr>
                <w:b/>
                <w:color w:val="000000"/>
                <w:szCs w:val="22"/>
                <w:lang w:eastAsia="en-GB"/>
              </w:rPr>
              <w:t>from C</w:t>
            </w:r>
            <w:r w:rsidRPr="006128F6">
              <w:rPr>
                <w:b/>
                <w:color w:val="000000"/>
                <w:szCs w:val="22"/>
                <w:vertAlign w:val="subscript"/>
                <w:lang w:eastAsia="en-GB"/>
              </w:rPr>
              <w:t>max,ss</w:t>
            </w:r>
            <w:r w:rsidRPr="006128F6">
              <w:rPr>
                <w:b/>
                <w:color w:val="000000"/>
                <w:szCs w:val="22"/>
                <w:lang w:eastAsia="en-GB"/>
              </w:rPr>
              <w:t xml:space="preserve"> to C</w:t>
            </w:r>
            <w:r w:rsidRPr="006128F6">
              <w:rPr>
                <w:b/>
                <w:color w:val="000000"/>
                <w:szCs w:val="22"/>
                <w:vertAlign w:val="subscript"/>
                <w:lang w:eastAsia="en-GB"/>
              </w:rPr>
              <w:t>min,ss</w:t>
            </w:r>
            <w:r w:rsidRPr="006128F6">
              <w:rPr>
                <w:b/>
                <w:color w:val="000000"/>
                <w:szCs w:val="22"/>
                <w:lang w:eastAsia="en-GB"/>
              </w:rPr>
              <w:t xml:space="preserve"> </w:t>
            </w:r>
          </w:p>
          <w:p w14:paraId="0D2F652D" w14:textId="77777777" w:rsidR="0003548F" w:rsidRPr="006128F6" w:rsidRDefault="0003548F" w:rsidP="00801B3F">
            <w:pPr>
              <w:keepNext/>
              <w:keepLines/>
              <w:tabs>
                <w:tab w:val="clear" w:pos="567"/>
              </w:tabs>
              <w:spacing w:line="240" w:lineRule="auto"/>
              <w:jc w:val="center"/>
              <w:rPr>
                <w:b/>
                <w:color w:val="000000"/>
                <w:szCs w:val="22"/>
                <w:lang w:eastAsia="en-GB"/>
              </w:rPr>
            </w:pPr>
            <w:r w:rsidRPr="006128F6">
              <w:rPr>
                <w:b/>
                <w:color w:val="000000"/>
                <w:szCs w:val="22"/>
                <w:lang w:eastAsia="en-GB"/>
              </w:rPr>
              <w:t>(L/day)</w:t>
            </w:r>
          </w:p>
        </w:tc>
        <w:tc>
          <w:tcPr>
            <w:tcW w:w="1126" w:type="pct"/>
            <w:shd w:val="clear" w:color="auto" w:fill="auto"/>
            <w:noWrap/>
            <w:vAlign w:val="center"/>
            <w:hideMark/>
          </w:tcPr>
          <w:p w14:paraId="6E493720" w14:textId="77777777" w:rsidR="0003548F" w:rsidRPr="006128F6" w:rsidRDefault="0003548F" w:rsidP="00801B3F">
            <w:pPr>
              <w:keepNext/>
              <w:keepLines/>
              <w:tabs>
                <w:tab w:val="clear" w:pos="567"/>
              </w:tabs>
              <w:spacing w:line="240" w:lineRule="auto"/>
              <w:jc w:val="center"/>
              <w:rPr>
                <w:b/>
                <w:color w:val="000000"/>
                <w:szCs w:val="22"/>
                <w:lang w:eastAsia="en-GB"/>
              </w:rPr>
            </w:pPr>
            <w:r w:rsidRPr="006128F6">
              <w:rPr>
                <w:b/>
                <w:color w:val="000000"/>
                <w:szCs w:val="22"/>
                <w:lang w:eastAsia="en-GB"/>
              </w:rPr>
              <w:t>t</w:t>
            </w:r>
            <w:r w:rsidRPr="006128F6">
              <w:rPr>
                <w:b/>
                <w:color w:val="000000"/>
                <w:szCs w:val="22"/>
                <w:vertAlign w:val="subscript"/>
                <w:lang w:eastAsia="en-GB"/>
              </w:rPr>
              <w:t xml:space="preserve">1/2 </w:t>
            </w:r>
            <w:r w:rsidRPr="006128F6">
              <w:rPr>
                <w:b/>
                <w:color w:val="000000"/>
                <w:szCs w:val="22"/>
                <w:lang w:eastAsia="en-GB"/>
              </w:rPr>
              <w:t>range from C</w:t>
            </w:r>
            <w:r w:rsidRPr="006128F6">
              <w:rPr>
                <w:b/>
                <w:color w:val="000000"/>
                <w:szCs w:val="22"/>
                <w:vertAlign w:val="subscript"/>
                <w:lang w:eastAsia="en-GB"/>
              </w:rPr>
              <w:t>max,ss</w:t>
            </w:r>
            <w:r w:rsidRPr="006128F6">
              <w:rPr>
                <w:b/>
                <w:color w:val="000000"/>
                <w:szCs w:val="22"/>
                <w:lang w:eastAsia="en-GB"/>
              </w:rPr>
              <w:t xml:space="preserve"> to C</w:t>
            </w:r>
            <w:r w:rsidRPr="006128F6">
              <w:rPr>
                <w:b/>
                <w:color w:val="000000"/>
                <w:szCs w:val="22"/>
                <w:vertAlign w:val="subscript"/>
                <w:lang w:eastAsia="en-GB"/>
              </w:rPr>
              <w:t>min,ss</w:t>
            </w:r>
            <w:r w:rsidRPr="006128F6">
              <w:rPr>
                <w:b/>
                <w:color w:val="000000"/>
                <w:szCs w:val="22"/>
                <w:lang w:eastAsia="en-GB"/>
              </w:rPr>
              <w:t xml:space="preserve"> </w:t>
            </w:r>
          </w:p>
          <w:p w14:paraId="09D4C748" w14:textId="77777777" w:rsidR="0003548F" w:rsidRPr="006128F6" w:rsidRDefault="0003548F" w:rsidP="00801B3F">
            <w:pPr>
              <w:keepNext/>
              <w:keepLines/>
              <w:tabs>
                <w:tab w:val="clear" w:pos="567"/>
              </w:tabs>
              <w:spacing w:line="240" w:lineRule="auto"/>
              <w:jc w:val="center"/>
              <w:rPr>
                <w:b/>
                <w:color w:val="000000"/>
                <w:szCs w:val="22"/>
                <w:lang w:eastAsia="en-GB"/>
              </w:rPr>
            </w:pPr>
            <w:r w:rsidRPr="006128F6">
              <w:rPr>
                <w:b/>
                <w:color w:val="000000"/>
                <w:szCs w:val="22"/>
                <w:lang w:eastAsia="en-GB"/>
              </w:rPr>
              <w:t>(day)</w:t>
            </w:r>
          </w:p>
        </w:tc>
      </w:tr>
      <w:tr w:rsidR="00D91EEF" w:rsidRPr="006128F6" w14:paraId="6D32B67D" w14:textId="77777777" w:rsidTr="000840CF">
        <w:trPr>
          <w:trHeight w:val="300"/>
        </w:trPr>
        <w:tc>
          <w:tcPr>
            <w:tcW w:w="1194" w:type="pct"/>
            <w:vMerge w:val="restart"/>
            <w:shd w:val="clear" w:color="auto" w:fill="auto"/>
            <w:noWrap/>
            <w:vAlign w:val="center"/>
            <w:hideMark/>
          </w:tcPr>
          <w:p w14:paraId="3684888B" w14:textId="01B769FB" w:rsidR="00D91EEF" w:rsidRPr="006958EC" w:rsidRDefault="00D91EEF" w:rsidP="00801B3F">
            <w:pPr>
              <w:keepNext/>
              <w:keepLines/>
              <w:tabs>
                <w:tab w:val="clear" w:pos="567"/>
              </w:tabs>
              <w:spacing w:line="240" w:lineRule="auto"/>
              <w:jc w:val="center"/>
              <w:rPr>
                <w:color w:val="000000"/>
                <w:szCs w:val="22"/>
                <w:lang w:val="nl-NL" w:eastAsia="en-GB"/>
              </w:rPr>
            </w:pPr>
            <w:r w:rsidRPr="006958EC">
              <w:rPr>
                <w:color w:val="000000"/>
                <w:szCs w:val="22"/>
                <w:lang w:val="nl-NL" w:eastAsia="en-GB"/>
              </w:rPr>
              <w:t>8</w:t>
            </w:r>
            <w:r w:rsidR="00CB45CA" w:rsidRPr="006958EC">
              <w:rPr>
                <w:color w:val="000000"/>
                <w:szCs w:val="22"/>
                <w:lang w:val="nl-NL" w:eastAsia="en-GB"/>
              </w:rPr>
              <w:t> </w:t>
            </w:r>
            <w:r w:rsidRPr="006958EC">
              <w:rPr>
                <w:color w:val="000000"/>
                <w:szCs w:val="22"/>
                <w:lang w:val="nl-NL" w:eastAsia="en-GB"/>
              </w:rPr>
              <w:t>mg/kg + 6</w:t>
            </w:r>
            <w:r w:rsidR="00CB45CA" w:rsidRPr="006958EC">
              <w:rPr>
                <w:color w:val="000000"/>
                <w:szCs w:val="22"/>
                <w:lang w:val="nl-NL" w:eastAsia="en-GB"/>
              </w:rPr>
              <w:t> </w:t>
            </w:r>
            <w:r w:rsidRPr="006958EC">
              <w:rPr>
                <w:color w:val="000000"/>
                <w:szCs w:val="22"/>
                <w:lang w:val="nl-NL" w:eastAsia="en-GB"/>
              </w:rPr>
              <w:t>mg/kg q3w</w:t>
            </w:r>
          </w:p>
        </w:tc>
        <w:tc>
          <w:tcPr>
            <w:tcW w:w="1002" w:type="pct"/>
            <w:shd w:val="clear" w:color="auto" w:fill="auto"/>
            <w:noWrap/>
            <w:vAlign w:val="center"/>
            <w:hideMark/>
          </w:tcPr>
          <w:p w14:paraId="157708DA" w14:textId="77777777" w:rsidR="00D91EEF" w:rsidRPr="006128F6" w:rsidRDefault="00D91EEF" w:rsidP="00801B3F">
            <w:pPr>
              <w:keepNext/>
              <w:keepLines/>
              <w:tabs>
                <w:tab w:val="clear" w:pos="567"/>
              </w:tabs>
              <w:spacing w:line="240" w:lineRule="auto"/>
              <w:jc w:val="center"/>
              <w:rPr>
                <w:color w:val="000000"/>
                <w:szCs w:val="22"/>
                <w:lang w:eastAsia="en-GB"/>
              </w:rPr>
            </w:pPr>
            <w:r w:rsidRPr="006128F6">
              <w:rPr>
                <w:color w:val="000000"/>
                <w:szCs w:val="22"/>
                <w:lang w:eastAsia="en-GB"/>
              </w:rPr>
              <w:t>MBC</w:t>
            </w:r>
          </w:p>
        </w:tc>
        <w:tc>
          <w:tcPr>
            <w:tcW w:w="420" w:type="pct"/>
            <w:shd w:val="clear" w:color="auto" w:fill="auto"/>
            <w:noWrap/>
            <w:vAlign w:val="center"/>
            <w:hideMark/>
          </w:tcPr>
          <w:p w14:paraId="129B4A32" w14:textId="77777777" w:rsidR="00D91EEF" w:rsidRPr="006128F6" w:rsidRDefault="00D91EEF" w:rsidP="00801B3F">
            <w:pPr>
              <w:keepNext/>
              <w:keepLines/>
              <w:tabs>
                <w:tab w:val="clear" w:pos="567"/>
              </w:tabs>
              <w:spacing w:line="240" w:lineRule="auto"/>
              <w:jc w:val="center"/>
              <w:rPr>
                <w:color w:val="000000"/>
                <w:szCs w:val="22"/>
                <w:lang w:eastAsia="en-GB"/>
              </w:rPr>
            </w:pPr>
            <w:r w:rsidRPr="006128F6">
              <w:rPr>
                <w:color w:val="000000"/>
                <w:szCs w:val="22"/>
                <w:lang w:eastAsia="en-GB"/>
              </w:rPr>
              <w:t>805</w:t>
            </w:r>
          </w:p>
        </w:tc>
        <w:tc>
          <w:tcPr>
            <w:tcW w:w="1258" w:type="pct"/>
            <w:shd w:val="clear" w:color="auto" w:fill="auto"/>
            <w:noWrap/>
            <w:vAlign w:val="center"/>
            <w:hideMark/>
          </w:tcPr>
          <w:p w14:paraId="6A7A2013" w14:textId="77777777" w:rsidR="00D91EEF" w:rsidRPr="006128F6" w:rsidRDefault="00D91EEF" w:rsidP="00801B3F">
            <w:pPr>
              <w:keepNext/>
              <w:keepLines/>
              <w:tabs>
                <w:tab w:val="clear" w:pos="567"/>
              </w:tabs>
              <w:spacing w:line="240" w:lineRule="auto"/>
              <w:jc w:val="center"/>
              <w:rPr>
                <w:color w:val="000000"/>
                <w:szCs w:val="22"/>
                <w:lang w:eastAsia="en-GB"/>
              </w:rPr>
            </w:pPr>
            <w:r w:rsidRPr="006128F6">
              <w:rPr>
                <w:color w:val="000000"/>
                <w:szCs w:val="22"/>
                <w:lang w:eastAsia="en-GB"/>
              </w:rPr>
              <w:t>0.183</w:t>
            </w:r>
            <w:r w:rsidRPr="006128F6">
              <w:rPr>
                <w:color w:val="000000"/>
                <w:szCs w:val="22"/>
                <w:lang w:eastAsia="en-GB"/>
              </w:rPr>
              <w:noBreakHyphen/>
              <w:t>0.302</w:t>
            </w:r>
          </w:p>
        </w:tc>
        <w:tc>
          <w:tcPr>
            <w:tcW w:w="1126" w:type="pct"/>
            <w:shd w:val="clear" w:color="auto" w:fill="auto"/>
            <w:noWrap/>
            <w:vAlign w:val="center"/>
            <w:hideMark/>
          </w:tcPr>
          <w:p w14:paraId="6A2D76C8" w14:textId="77777777" w:rsidR="00D91EEF" w:rsidRPr="006128F6" w:rsidRDefault="00D91EEF" w:rsidP="00801B3F">
            <w:pPr>
              <w:keepNext/>
              <w:keepLines/>
              <w:tabs>
                <w:tab w:val="clear" w:pos="567"/>
              </w:tabs>
              <w:spacing w:line="240" w:lineRule="auto"/>
              <w:jc w:val="center"/>
              <w:rPr>
                <w:color w:val="000000"/>
                <w:szCs w:val="22"/>
                <w:lang w:eastAsia="en-GB"/>
              </w:rPr>
            </w:pPr>
            <w:r w:rsidRPr="006128F6">
              <w:rPr>
                <w:color w:val="000000"/>
                <w:szCs w:val="22"/>
                <w:lang w:eastAsia="en-GB"/>
              </w:rPr>
              <w:t>15.1</w:t>
            </w:r>
            <w:r w:rsidRPr="006128F6">
              <w:rPr>
                <w:color w:val="000000"/>
                <w:szCs w:val="22"/>
                <w:lang w:eastAsia="en-GB"/>
              </w:rPr>
              <w:noBreakHyphen/>
              <w:t>23.3</w:t>
            </w:r>
          </w:p>
        </w:tc>
      </w:tr>
      <w:tr w:rsidR="00D91EEF" w:rsidRPr="006128F6" w14:paraId="6EE62FBD" w14:textId="77777777" w:rsidTr="000840CF">
        <w:trPr>
          <w:trHeight w:val="300"/>
        </w:trPr>
        <w:tc>
          <w:tcPr>
            <w:tcW w:w="1194" w:type="pct"/>
            <w:vMerge/>
            <w:shd w:val="clear" w:color="auto" w:fill="auto"/>
            <w:noWrap/>
            <w:vAlign w:val="center"/>
            <w:hideMark/>
          </w:tcPr>
          <w:p w14:paraId="4D8FBF76" w14:textId="77777777" w:rsidR="00D91EEF" w:rsidRPr="006128F6" w:rsidRDefault="00D91EEF" w:rsidP="00801B3F">
            <w:pPr>
              <w:keepNext/>
              <w:keepLines/>
              <w:tabs>
                <w:tab w:val="clear" w:pos="567"/>
              </w:tabs>
              <w:spacing w:line="240" w:lineRule="auto"/>
              <w:jc w:val="center"/>
              <w:rPr>
                <w:color w:val="000000"/>
                <w:szCs w:val="22"/>
                <w:lang w:eastAsia="en-GB"/>
              </w:rPr>
            </w:pPr>
          </w:p>
        </w:tc>
        <w:tc>
          <w:tcPr>
            <w:tcW w:w="1002" w:type="pct"/>
            <w:shd w:val="clear" w:color="auto" w:fill="auto"/>
            <w:noWrap/>
            <w:vAlign w:val="center"/>
            <w:hideMark/>
          </w:tcPr>
          <w:p w14:paraId="1EB0FAFE" w14:textId="77777777" w:rsidR="00D91EEF" w:rsidRPr="006128F6" w:rsidRDefault="00D91EEF" w:rsidP="00801B3F">
            <w:pPr>
              <w:keepNext/>
              <w:keepLines/>
              <w:tabs>
                <w:tab w:val="clear" w:pos="567"/>
              </w:tabs>
              <w:spacing w:line="240" w:lineRule="auto"/>
              <w:jc w:val="center"/>
              <w:rPr>
                <w:color w:val="000000"/>
                <w:szCs w:val="22"/>
                <w:lang w:eastAsia="en-GB"/>
              </w:rPr>
            </w:pPr>
            <w:r w:rsidRPr="006128F6">
              <w:rPr>
                <w:color w:val="000000"/>
                <w:szCs w:val="22"/>
                <w:lang w:eastAsia="en-GB"/>
              </w:rPr>
              <w:t>EBC</w:t>
            </w:r>
          </w:p>
        </w:tc>
        <w:tc>
          <w:tcPr>
            <w:tcW w:w="420" w:type="pct"/>
            <w:shd w:val="clear" w:color="auto" w:fill="auto"/>
            <w:noWrap/>
            <w:vAlign w:val="center"/>
            <w:hideMark/>
          </w:tcPr>
          <w:p w14:paraId="0699B60C" w14:textId="77777777" w:rsidR="00D91EEF" w:rsidRPr="006128F6" w:rsidRDefault="00D91EEF" w:rsidP="00801B3F">
            <w:pPr>
              <w:keepNext/>
              <w:keepLines/>
              <w:tabs>
                <w:tab w:val="clear" w:pos="567"/>
              </w:tabs>
              <w:spacing w:line="240" w:lineRule="auto"/>
              <w:jc w:val="center"/>
              <w:rPr>
                <w:color w:val="000000"/>
                <w:szCs w:val="22"/>
                <w:lang w:eastAsia="en-GB"/>
              </w:rPr>
            </w:pPr>
            <w:r w:rsidRPr="006128F6">
              <w:rPr>
                <w:color w:val="000000"/>
                <w:szCs w:val="22"/>
                <w:lang w:eastAsia="en-GB"/>
              </w:rPr>
              <w:t>390</w:t>
            </w:r>
          </w:p>
        </w:tc>
        <w:tc>
          <w:tcPr>
            <w:tcW w:w="1258" w:type="pct"/>
            <w:shd w:val="clear" w:color="auto" w:fill="auto"/>
            <w:noWrap/>
            <w:vAlign w:val="center"/>
            <w:hideMark/>
          </w:tcPr>
          <w:p w14:paraId="51E9A0AE" w14:textId="77777777" w:rsidR="00D91EEF" w:rsidRPr="006128F6" w:rsidRDefault="00D91EEF" w:rsidP="00801B3F">
            <w:pPr>
              <w:keepNext/>
              <w:keepLines/>
              <w:tabs>
                <w:tab w:val="clear" w:pos="567"/>
              </w:tabs>
              <w:spacing w:line="240" w:lineRule="auto"/>
              <w:jc w:val="center"/>
              <w:rPr>
                <w:color w:val="000000"/>
                <w:szCs w:val="22"/>
                <w:lang w:eastAsia="en-GB"/>
              </w:rPr>
            </w:pPr>
            <w:r w:rsidRPr="006128F6">
              <w:rPr>
                <w:color w:val="000000"/>
                <w:szCs w:val="22"/>
                <w:lang w:eastAsia="en-GB"/>
              </w:rPr>
              <w:t>0.158</w:t>
            </w:r>
            <w:r w:rsidRPr="006128F6">
              <w:rPr>
                <w:color w:val="000000"/>
                <w:szCs w:val="22"/>
                <w:lang w:eastAsia="en-GB"/>
              </w:rPr>
              <w:noBreakHyphen/>
              <w:t>0.253</w:t>
            </w:r>
          </w:p>
        </w:tc>
        <w:tc>
          <w:tcPr>
            <w:tcW w:w="1126" w:type="pct"/>
            <w:shd w:val="clear" w:color="auto" w:fill="auto"/>
            <w:noWrap/>
            <w:vAlign w:val="center"/>
            <w:hideMark/>
          </w:tcPr>
          <w:p w14:paraId="0AC62781" w14:textId="77777777" w:rsidR="00D91EEF" w:rsidRPr="006128F6" w:rsidRDefault="00D91EEF" w:rsidP="00801B3F">
            <w:pPr>
              <w:keepNext/>
              <w:keepLines/>
              <w:tabs>
                <w:tab w:val="clear" w:pos="567"/>
              </w:tabs>
              <w:spacing w:line="240" w:lineRule="auto"/>
              <w:jc w:val="center"/>
              <w:rPr>
                <w:color w:val="000000"/>
                <w:szCs w:val="22"/>
                <w:lang w:eastAsia="en-GB"/>
              </w:rPr>
            </w:pPr>
            <w:r w:rsidRPr="006128F6">
              <w:rPr>
                <w:color w:val="000000"/>
                <w:szCs w:val="22"/>
                <w:lang w:eastAsia="en-GB"/>
              </w:rPr>
              <w:t>17.5</w:t>
            </w:r>
            <w:r w:rsidRPr="006128F6">
              <w:rPr>
                <w:color w:val="000000"/>
                <w:szCs w:val="22"/>
                <w:lang w:eastAsia="en-GB"/>
              </w:rPr>
              <w:noBreakHyphen/>
              <w:t>26.6</w:t>
            </w:r>
          </w:p>
        </w:tc>
      </w:tr>
      <w:tr w:rsidR="00D91EEF" w:rsidRPr="006128F6" w14:paraId="03956312" w14:textId="77777777" w:rsidTr="000840CF">
        <w:trPr>
          <w:trHeight w:val="300"/>
        </w:trPr>
        <w:tc>
          <w:tcPr>
            <w:tcW w:w="1194" w:type="pct"/>
            <w:vMerge/>
            <w:shd w:val="clear" w:color="auto" w:fill="auto"/>
            <w:noWrap/>
            <w:vAlign w:val="center"/>
            <w:hideMark/>
          </w:tcPr>
          <w:p w14:paraId="0FC2687D" w14:textId="77777777" w:rsidR="00D91EEF" w:rsidRPr="006128F6" w:rsidRDefault="00D91EEF" w:rsidP="00801B3F">
            <w:pPr>
              <w:keepNext/>
              <w:keepLines/>
              <w:tabs>
                <w:tab w:val="clear" w:pos="567"/>
              </w:tabs>
              <w:spacing w:line="240" w:lineRule="auto"/>
              <w:jc w:val="center"/>
              <w:rPr>
                <w:color w:val="000000"/>
                <w:szCs w:val="22"/>
                <w:lang w:eastAsia="en-GB"/>
              </w:rPr>
            </w:pPr>
          </w:p>
        </w:tc>
        <w:tc>
          <w:tcPr>
            <w:tcW w:w="1002" w:type="pct"/>
            <w:shd w:val="clear" w:color="auto" w:fill="auto"/>
            <w:noWrap/>
            <w:vAlign w:val="center"/>
            <w:hideMark/>
          </w:tcPr>
          <w:p w14:paraId="302F3C95" w14:textId="77777777" w:rsidR="00D91EEF" w:rsidRPr="006128F6" w:rsidRDefault="00D91EEF" w:rsidP="00801B3F">
            <w:pPr>
              <w:keepNext/>
              <w:keepLines/>
              <w:tabs>
                <w:tab w:val="clear" w:pos="567"/>
              </w:tabs>
              <w:spacing w:line="240" w:lineRule="auto"/>
              <w:jc w:val="center"/>
              <w:rPr>
                <w:color w:val="000000"/>
                <w:szCs w:val="22"/>
                <w:lang w:eastAsia="en-GB"/>
              </w:rPr>
            </w:pPr>
            <w:r w:rsidRPr="006128F6">
              <w:rPr>
                <w:color w:val="000000"/>
                <w:szCs w:val="22"/>
                <w:lang w:eastAsia="en-GB"/>
              </w:rPr>
              <w:t>AGC</w:t>
            </w:r>
          </w:p>
        </w:tc>
        <w:tc>
          <w:tcPr>
            <w:tcW w:w="420" w:type="pct"/>
            <w:shd w:val="clear" w:color="auto" w:fill="auto"/>
            <w:noWrap/>
            <w:vAlign w:val="center"/>
            <w:hideMark/>
          </w:tcPr>
          <w:p w14:paraId="1F33EA4F" w14:textId="77777777" w:rsidR="00D91EEF" w:rsidRPr="006128F6" w:rsidRDefault="00D91EEF" w:rsidP="00801B3F">
            <w:pPr>
              <w:keepNext/>
              <w:keepLines/>
              <w:tabs>
                <w:tab w:val="clear" w:pos="567"/>
              </w:tabs>
              <w:spacing w:line="240" w:lineRule="auto"/>
              <w:jc w:val="center"/>
              <w:rPr>
                <w:color w:val="000000"/>
                <w:szCs w:val="22"/>
                <w:lang w:eastAsia="en-GB"/>
              </w:rPr>
            </w:pPr>
            <w:r w:rsidRPr="006128F6">
              <w:rPr>
                <w:color w:val="000000"/>
                <w:szCs w:val="22"/>
                <w:lang w:eastAsia="en-GB"/>
              </w:rPr>
              <w:t>274</w:t>
            </w:r>
          </w:p>
        </w:tc>
        <w:tc>
          <w:tcPr>
            <w:tcW w:w="1258" w:type="pct"/>
            <w:shd w:val="clear" w:color="auto" w:fill="auto"/>
            <w:noWrap/>
            <w:vAlign w:val="center"/>
            <w:hideMark/>
          </w:tcPr>
          <w:p w14:paraId="25B0ABCC" w14:textId="77777777" w:rsidR="00D91EEF" w:rsidRPr="006128F6" w:rsidRDefault="00D91EEF" w:rsidP="00801B3F">
            <w:pPr>
              <w:keepNext/>
              <w:keepLines/>
              <w:tabs>
                <w:tab w:val="clear" w:pos="567"/>
              </w:tabs>
              <w:spacing w:line="240" w:lineRule="auto"/>
              <w:jc w:val="center"/>
              <w:rPr>
                <w:color w:val="000000"/>
                <w:szCs w:val="22"/>
                <w:lang w:eastAsia="en-GB"/>
              </w:rPr>
            </w:pPr>
            <w:r w:rsidRPr="006128F6">
              <w:rPr>
                <w:color w:val="000000"/>
                <w:szCs w:val="22"/>
                <w:lang w:eastAsia="en-GB"/>
              </w:rPr>
              <w:t>0.189</w:t>
            </w:r>
            <w:r w:rsidRPr="006128F6">
              <w:rPr>
                <w:color w:val="000000"/>
                <w:szCs w:val="22"/>
                <w:lang w:eastAsia="en-GB"/>
              </w:rPr>
              <w:noBreakHyphen/>
              <w:t>0.337</w:t>
            </w:r>
          </w:p>
        </w:tc>
        <w:tc>
          <w:tcPr>
            <w:tcW w:w="1126" w:type="pct"/>
            <w:shd w:val="clear" w:color="auto" w:fill="auto"/>
            <w:noWrap/>
            <w:vAlign w:val="center"/>
            <w:hideMark/>
          </w:tcPr>
          <w:p w14:paraId="05BB7573" w14:textId="77777777" w:rsidR="00D91EEF" w:rsidRPr="006128F6" w:rsidRDefault="00D91EEF" w:rsidP="00801B3F">
            <w:pPr>
              <w:keepNext/>
              <w:keepLines/>
              <w:tabs>
                <w:tab w:val="clear" w:pos="567"/>
              </w:tabs>
              <w:spacing w:line="240" w:lineRule="auto"/>
              <w:jc w:val="center"/>
              <w:rPr>
                <w:color w:val="000000"/>
                <w:szCs w:val="22"/>
                <w:lang w:eastAsia="en-GB"/>
              </w:rPr>
            </w:pPr>
            <w:r w:rsidRPr="006128F6">
              <w:rPr>
                <w:color w:val="000000"/>
                <w:szCs w:val="22"/>
                <w:lang w:eastAsia="en-GB"/>
              </w:rPr>
              <w:t>12.6</w:t>
            </w:r>
            <w:r w:rsidRPr="006128F6">
              <w:rPr>
                <w:color w:val="000000"/>
                <w:szCs w:val="22"/>
                <w:lang w:eastAsia="en-GB"/>
              </w:rPr>
              <w:noBreakHyphen/>
              <w:t>20.6</w:t>
            </w:r>
          </w:p>
        </w:tc>
      </w:tr>
      <w:tr w:rsidR="00D91EEF" w:rsidRPr="006128F6" w14:paraId="70239347" w14:textId="77777777" w:rsidTr="000840CF">
        <w:trPr>
          <w:trHeight w:val="300"/>
        </w:trPr>
        <w:tc>
          <w:tcPr>
            <w:tcW w:w="1194" w:type="pct"/>
            <w:vMerge w:val="restart"/>
            <w:shd w:val="clear" w:color="auto" w:fill="auto"/>
            <w:noWrap/>
            <w:vAlign w:val="center"/>
            <w:hideMark/>
          </w:tcPr>
          <w:p w14:paraId="1506560D" w14:textId="74696506" w:rsidR="00D91EEF" w:rsidRPr="00C25AB7" w:rsidRDefault="00D91EEF" w:rsidP="00801B3F">
            <w:pPr>
              <w:keepNext/>
              <w:keepLines/>
              <w:tabs>
                <w:tab w:val="clear" w:pos="567"/>
              </w:tabs>
              <w:spacing w:line="240" w:lineRule="auto"/>
              <w:jc w:val="center"/>
              <w:rPr>
                <w:color w:val="000000"/>
                <w:szCs w:val="22"/>
                <w:lang w:val="de-DE" w:eastAsia="en-GB"/>
              </w:rPr>
            </w:pPr>
            <w:r w:rsidRPr="00C25AB7">
              <w:rPr>
                <w:color w:val="000000"/>
                <w:szCs w:val="22"/>
                <w:lang w:val="de-DE" w:eastAsia="en-GB"/>
              </w:rPr>
              <w:t>4</w:t>
            </w:r>
            <w:r w:rsidR="00CB45CA" w:rsidRPr="00C25AB7">
              <w:rPr>
                <w:color w:val="000000"/>
                <w:szCs w:val="22"/>
                <w:lang w:val="de-DE" w:eastAsia="en-GB"/>
              </w:rPr>
              <w:t> </w:t>
            </w:r>
            <w:r w:rsidRPr="00C25AB7">
              <w:rPr>
                <w:color w:val="000000"/>
                <w:szCs w:val="22"/>
                <w:lang w:val="de-DE" w:eastAsia="en-GB"/>
              </w:rPr>
              <w:t>mg/kg + 2</w:t>
            </w:r>
            <w:r w:rsidR="00CB45CA" w:rsidRPr="00C25AB7">
              <w:rPr>
                <w:color w:val="000000"/>
                <w:szCs w:val="22"/>
                <w:lang w:val="de-DE" w:eastAsia="en-GB"/>
              </w:rPr>
              <w:t> </w:t>
            </w:r>
            <w:r w:rsidRPr="00C25AB7">
              <w:rPr>
                <w:color w:val="000000"/>
                <w:szCs w:val="22"/>
                <w:lang w:val="de-DE" w:eastAsia="en-GB"/>
              </w:rPr>
              <w:t>mg/kg qw</w:t>
            </w:r>
          </w:p>
        </w:tc>
        <w:tc>
          <w:tcPr>
            <w:tcW w:w="1002" w:type="pct"/>
            <w:shd w:val="clear" w:color="auto" w:fill="auto"/>
            <w:noWrap/>
            <w:vAlign w:val="center"/>
            <w:hideMark/>
          </w:tcPr>
          <w:p w14:paraId="2F1FE027" w14:textId="77777777" w:rsidR="00D91EEF" w:rsidRPr="006128F6" w:rsidRDefault="00D91EEF" w:rsidP="00801B3F">
            <w:pPr>
              <w:keepNext/>
              <w:keepLines/>
              <w:tabs>
                <w:tab w:val="clear" w:pos="567"/>
              </w:tabs>
              <w:spacing w:line="240" w:lineRule="auto"/>
              <w:jc w:val="center"/>
              <w:rPr>
                <w:color w:val="000000"/>
                <w:szCs w:val="22"/>
                <w:lang w:eastAsia="en-GB"/>
              </w:rPr>
            </w:pPr>
            <w:r w:rsidRPr="006128F6">
              <w:rPr>
                <w:color w:val="000000"/>
                <w:szCs w:val="22"/>
                <w:lang w:eastAsia="en-GB"/>
              </w:rPr>
              <w:t>MBC</w:t>
            </w:r>
          </w:p>
        </w:tc>
        <w:tc>
          <w:tcPr>
            <w:tcW w:w="420" w:type="pct"/>
            <w:shd w:val="clear" w:color="auto" w:fill="auto"/>
            <w:noWrap/>
            <w:vAlign w:val="center"/>
            <w:hideMark/>
          </w:tcPr>
          <w:p w14:paraId="74E7112E" w14:textId="77777777" w:rsidR="00D91EEF" w:rsidRPr="006128F6" w:rsidRDefault="00D91EEF" w:rsidP="00801B3F">
            <w:pPr>
              <w:keepNext/>
              <w:keepLines/>
              <w:tabs>
                <w:tab w:val="clear" w:pos="567"/>
              </w:tabs>
              <w:spacing w:line="240" w:lineRule="auto"/>
              <w:jc w:val="center"/>
              <w:rPr>
                <w:color w:val="000000"/>
                <w:szCs w:val="22"/>
                <w:lang w:eastAsia="en-GB"/>
              </w:rPr>
            </w:pPr>
            <w:r w:rsidRPr="006128F6">
              <w:rPr>
                <w:color w:val="000000"/>
                <w:szCs w:val="22"/>
                <w:lang w:eastAsia="en-GB"/>
              </w:rPr>
              <w:t>805</w:t>
            </w:r>
          </w:p>
        </w:tc>
        <w:tc>
          <w:tcPr>
            <w:tcW w:w="1258" w:type="pct"/>
            <w:shd w:val="clear" w:color="auto" w:fill="auto"/>
            <w:noWrap/>
            <w:vAlign w:val="center"/>
            <w:hideMark/>
          </w:tcPr>
          <w:p w14:paraId="5F8B09D2" w14:textId="77777777" w:rsidR="00D91EEF" w:rsidRPr="006128F6" w:rsidRDefault="00D91EEF" w:rsidP="00801B3F">
            <w:pPr>
              <w:keepNext/>
              <w:keepLines/>
              <w:tabs>
                <w:tab w:val="clear" w:pos="567"/>
              </w:tabs>
              <w:spacing w:line="240" w:lineRule="auto"/>
              <w:jc w:val="center"/>
              <w:rPr>
                <w:color w:val="000000"/>
                <w:szCs w:val="22"/>
                <w:lang w:eastAsia="en-GB"/>
              </w:rPr>
            </w:pPr>
            <w:r w:rsidRPr="006128F6">
              <w:rPr>
                <w:color w:val="000000"/>
                <w:szCs w:val="22"/>
                <w:lang w:eastAsia="en-GB"/>
              </w:rPr>
              <w:t>0.213</w:t>
            </w:r>
            <w:r w:rsidRPr="006128F6">
              <w:rPr>
                <w:color w:val="000000"/>
                <w:szCs w:val="22"/>
                <w:lang w:eastAsia="en-GB"/>
              </w:rPr>
              <w:noBreakHyphen/>
              <w:t>0.259</w:t>
            </w:r>
          </w:p>
        </w:tc>
        <w:tc>
          <w:tcPr>
            <w:tcW w:w="1126" w:type="pct"/>
            <w:shd w:val="clear" w:color="auto" w:fill="auto"/>
            <w:noWrap/>
            <w:vAlign w:val="center"/>
            <w:hideMark/>
          </w:tcPr>
          <w:p w14:paraId="74049DB8" w14:textId="77777777" w:rsidR="00D91EEF" w:rsidRPr="006128F6" w:rsidRDefault="00D91EEF" w:rsidP="00801B3F">
            <w:pPr>
              <w:keepNext/>
              <w:keepLines/>
              <w:tabs>
                <w:tab w:val="clear" w:pos="567"/>
              </w:tabs>
              <w:spacing w:line="240" w:lineRule="auto"/>
              <w:jc w:val="center"/>
              <w:rPr>
                <w:color w:val="000000"/>
                <w:szCs w:val="22"/>
                <w:lang w:eastAsia="en-GB"/>
              </w:rPr>
            </w:pPr>
            <w:r w:rsidRPr="006128F6">
              <w:rPr>
                <w:color w:val="000000"/>
                <w:szCs w:val="22"/>
                <w:lang w:eastAsia="en-GB"/>
              </w:rPr>
              <w:t>17.2</w:t>
            </w:r>
            <w:r w:rsidRPr="006128F6">
              <w:rPr>
                <w:color w:val="000000"/>
                <w:szCs w:val="22"/>
                <w:lang w:eastAsia="en-GB"/>
              </w:rPr>
              <w:noBreakHyphen/>
              <w:t>20.4</w:t>
            </w:r>
          </w:p>
        </w:tc>
      </w:tr>
      <w:tr w:rsidR="00D91EEF" w:rsidRPr="006128F6" w14:paraId="63D1644F" w14:textId="77777777" w:rsidTr="000840CF">
        <w:trPr>
          <w:trHeight w:val="300"/>
        </w:trPr>
        <w:tc>
          <w:tcPr>
            <w:tcW w:w="1194" w:type="pct"/>
            <w:vMerge/>
            <w:shd w:val="clear" w:color="auto" w:fill="auto"/>
            <w:noWrap/>
            <w:vAlign w:val="center"/>
            <w:hideMark/>
          </w:tcPr>
          <w:p w14:paraId="1FD5F951" w14:textId="77777777" w:rsidR="00D91EEF" w:rsidRPr="006128F6" w:rsidRDefault="00D91EEF" w:rsidP="00801B3F">
            <w:pPr>
              <w:keepNext/>
              <w:keepLines/>
              <w:tabs>
                <w:tab w:val="clear" w:pos="567"/>
              </w:tabs>
              <w:spacing w:line="240" w:lineRule="auto"/>
              <w:jc w:val="center"/>
              <w:rPr>
                <w:color w:val="000000"/>
                <w:szCs w:val="22"/>
                <w:lang w:eastAsia="en-GB"/>
              </w:rPr>
            </w:pPr>
          </w:p>
        </w:tc>
        <w:tc>
          <w:tcPr>
            <w:tcW w:w="1002" w:type="pct"/>
            <w:shd w:val="clear" w:color="auto" w:fill="auto"/>
            <w:noWrap/>
            <w:vAlign w:val="center"/>
            <w:hideMark/>
          </w:tcPr>
          <w:p w14:paraId="6ECA48E7" w14:textId="77777777" w:rsidR="00D91EEF" w:rsidRPr="006128F6" w:rsidRDefault="00D91EEF" w:rsidP="00801B3F">
            <w:pPr>
              <w:keepNext/>
              <w:keepLines/>
              <w:tabs>
                <w:tab w:val="clear" w:pos="567"/>
              </w:tabs>
              <w:spacing w:line="240" w:lineRule="auto"/>
              <w:jc w:val="center"/>
              <w:rPr>
                <w:color w:val="000000"/>
                <w:szCs w:val="22"/>
                <w:lang w:eastAsia="en-GB"/>
              </w:rPr>
            </w:pPr>
            <w:r w:rsidRPr="006128F6">
              <w:rPr>
                <w:color w:val="000000"/>
                <w:szCs w:val="22"/>
                <w:lang w:eastAsia="en-GB"/>
              </w:rPr>
              <w:t>EBC</w:t>
            </w:r>
          </w:p>
        </w:tc>
        <w:tc>
          <w:tcPr>
            <w:tcW w:w="420" w:type="pct"/>
            <w:shd w:val="clear" w:color="auto" w:fill="auto"/>
            <w:noWrap/>
            <w:vAlign w:val="center"/>
            <w:hideMark/>
          </w:tcPr>
          <w:p w14:paraId="615BB3C3" w14:textId="77777777" w:rsidR="00D91EEF" w:rsidRPr="006128F6" w:rsidRDefault="00D91EEF" w:rsidP="00801B3F">
            <w:pPr>
              <w:keepNext/>
              <w:keepLines/>
              <w:tabs>
                <w:tab w:val="clear" w:pos="567"/>
              </w:tabs>
              <w:spacing w:line="240" w:lineRule="auto"/>
              <w:jc w:val="center"/>
              <w:rPr>
                <w:color w:val="000000"/>
                <w:szCs w:val="22"/>
                <w:lang w:eastAsia="en-GB"/>
              </w:rPr>
            </w:pPr>
            <w:r w:rsidRPr="006128F6">
              <w:rPr>
                <w:color w:val="000000"/>
                <w:szCs w:val="22"/>
                <w:lang w:eastAsia="en-GB"/>
              </w:rPr>
              <w:t>390</w:t>
            </w:r>
          </w:p>
        </w:tc>
        <w:tc>
          <w:tcPr>
            <w:tcW w:w="1258" w:type="pct"/>
            <w:shd w:val="clear" w:color="auto" w:fill="auto"/>
            <w:noWrap/>
            <w:vAlign w:val="center"/>
            <w:hideMark/>
          </w:tcPr>
          <w:p w14:paraId="160C24C5" w14:textId="77777777" w:rsidR="00D91EEF" w:rsidRPr="006128F6" w:rsidRDefault="00D91EEF" w:rsidP="00801B3F">
            <w:pPr>
              <w:keepNext/>
              <w:keepLines/>
              <w:tabs>
                <w:tab w:val="clear" w:pos="567"/>
              </w:tabs>
              <w:spacing w:line="240" w:lineRule="auto"/>
              <w:jc w:val="center"/>
              <w:rPr>
                <w:color w:val="000000"/>
                <w:szCs w:val="22"/>
                <w:lang w:eastAsia="en-GB"/>
              </w:rPr>
            </w:pPr>
            <w:r w:rsidRPr="006128F6">
              <w:rPr>
                <w:color w:val="000000"/>
                <w:szCs w:val="22"/>
                <w:lang w:eastAsia="en-GB"/>
              </w:rPr>
              <w:t>0.184</w:t>
            </w:r>
            <w:r w:rsidRPr="006128F6">
              <w:rPr>
                <w:color w:val="000000"/>
                <w:szCs w:val="22"/>
                <w:lang w:eastAsia="en-GB"/>
              </w:rPr>
              <w:noBreakHyphen/>
              <w:t>0.221</w:t>
            </w:r>
          </w:p>
        </w:tc>
        <w:tc>
          <w:tcPr>
            <w:tcW w:w="1126" w:type="pct"/>
            <w:shd w:val="clear" w:color="auto" w:fill="auto"/>
            <w:noWrap/>
            <w:vAlign w:val="center"/>
            <w:hideMark/>
          </w:tcPr>
          <w:p w14:paraId="6AEB66BE" w14:textId="77777777" w:rsidR="00D91EEF" w:rsidRPr="006128F6" w:rsidRDefault="00D91EEF" w:rsidP="00801B3F">
            <w:pPr>
              <w:keepNext/>
              <w:keepLines/>
              <w:tabs>
                <w:tab w:val="clear" w:pos="567"/>
              </w:tabs>
              <w:spacing w:line="240" w:lineRule="auto"/>
              <w:jc w:val="center"/>
              <w:rPr>
                <w:color w:val="000000"/>
                <w:szCs w:val="22"/>
                <w:lang w:eastAsia="en-GB"/>
              </w:rPr>
            </w:pPr>
            <w:r w:rsidRPr="006128F6">
              <w:rPr>
                <w:color w:val="000000"/>
                <w:szCs w:val="22"/>
                <w:lang w:eastAsia="en-GB"/>
              </w:rPr>
              <w:t>19.7</w:t>
            </w:r>
            <w:r w:rsidRPr="006128F6">
              <w:rPr>
                <w:color w:val="000000"/>
                <w:szCs w:val="22"/>
                <w:lang w:eastAsia="en-GB"/>
              </w:rPr>
              <w:noBreakHyphen/>
              <w:t>23.2</w:t>
            </w:r>
          </w:p>
        </w:tc>
      </w:tr>
    </w:tbl>
    <w:p w14:paraId="73020A15" w14:textId="77777777" w:rsidR="00D501B8" w:rsidRPr="00CE427E" w:rsidRDefault="00D501B8" w:rsidP="00801B3F">
      <w:pPr>
        <w:keepNext/>
        <w:keepLines/>
        <w:tabs>
          <w:tab w:val="clear" w:pos="567"/>
        </w:tabs>
        <w:autoSpaceDE w:val="0"/>
        <w:autoSpaceDN w:val="0"/>
        <w:adjustRightInd w:val="0"/>
        <w:spacing w:line="240" w:lineRule="auto"/>
        <w:rPr>
          <w:rFonts w:eastAsia="Calibri"/>
          <w:szCs w:val="22"/>
        </w:rPr>
      </w:pPr>
    </w:p>
    <w:p w14:paraId="3049AA3C" w14:textId="77777777" w:rsidR="00B0681D" w:rsidRPr="00CE427E" w:rsidRDefault="00B0681D" w:rsidP="00801B3F">
      <w:pPr>
        <w:keepNext/>
        <w:keepLines/>
        <w:tabs>
          <w:tab w:val="clear" w:pos="567"/>
        </w:tabs>
        <w:autoSpaceDE w:val="0"/>
        <w:autoSpaceDN w:val="0"/>
        <w:adjustRightInd w:val="0"/>
        <w:spacing w:line="240" w:lineRule="auto"/>
        <w:rPr>
          <w:rFonts w:eastAsia="Calibri"/>
          <w:iCs/>
          <w:szCs w:val="22"/>
          <w:u w:val="single"/>
        </w:rPr>
      </w:pPr>
      <w:r w:rsidRPr="00CE427E">
        <w:rPr>
          <w:rFonts w:eastAsia="Calibri"/>
          <w:iCs/>
          <w:szCs w:val="22"/>
          <w:u w:val="single"/>
        </w:rPr>
        <w:t>Trastuzumab washout</w:t>
      </w:r>
    </w:p>
    <w:p w14:paraId="648CB175" w14:textId="77777777" w:rsidR="006128F6" w:rsidRPr="00CE427E" w:rsidRDefault="006128F6" w:rsidP="006128F6">
      <w:pPr>
        <w:tabs>
          <w:tab w:val="clear" w:pos="567"/>
        </w:tabs>
        <w:autoSpaceDE w:val="0"/>
        <w:autoSpaceDN w:val="0"/>
        <w:adjustRightInd w:val="0"/>
        <w:spacing w:line="240" w:lineRule="auto"/>
        <w:rPr>
          <w:rFonts w:eastAsia="Calibri"/>
          <w:szCs w:val="22"/>
        </w:rPr>
      </w:pPr>
    </w:p>
    <w:p w14:paraId="15149B23" w14:textId="1C5BE74F" w:rsidR="00B0681D" w:rsidRPr="00CE427E" w:rsidRDefault="00B0681D" w:rsidP="006128F6">
      <w:pPr>
        <w:tabs>
          <w:tab w:val="clear" w:pos="567"/>
        </w:tabs>
        <w:autoSpaceDE w:val="0"/>
        <w:autoSpaceDN w:val="0"/>
        <w:adjustRightInd w:val="0"/>
        <w:spacing w:line="240" w:lineRule="auto"/>
        <w:rPr>
          <w:rFonts w:eastAsia="Calibri"/>
          <w:szCs w:val="22"/>
        </w:rPr>
      </w:pPr>
      <w:r w:rsidRPr="00CE427E">
        <w:rPr>
          <w:rFonts w:eastAsia="Calibri"/>
          <w:szCs w:val="22"/>
        </w:rPr>
        <w:t>Trastuzumab washout period was assessed following q1w or q3w intravenous administration using the population PK model. The results of these simulations indicate that at least 95</w:t>
      </w:r>
      <w:r w:rsidR="000840CF" w:rsidRPr="00CE427E">
        <w:rPr>
          <w:rFonts w:eastAsia="Calibri"/>
          <w:szCs w:val="22"/>
        </w:rPr>
        <w:t>%</w:t>
      </w:r>
      <w:r w:rsidR="002D5A31" w:rsidRPr="00CE427E">
        <w:rPr>
          <w:rFonts w:eastAsia="Calibri"/>
          <w:szCs w:val="22"/>
        </w:rPr>
        <w:t xml:space="preserve"> of patients will reach </w:t>
      </w:r>
      <w:r w:rsidRPr="00CE427E">
        <w:rPr>
          <w:rFonts w:eastAsia="Calibri"/>
          <w:szCs w:val="22"/>
        </w:rPr>
        <w:t>concentrations that are &lt; 1 </w:t>
      </w:r>
      <w:r w:rsidR="00EE0352" w:rsidRPr="005D7A39">
        <w:rPr>
          <w:lang w:val="en-US"/>
        </w:rPr>
        <w:t>µg</w:t>
      </w:r>
      <w:r w:rsidRPr="00CE427E">
        <w:rPr>
          <w:rFonts w:eastAsia="Calibri"/>
          <w:szCs w:val="22"/>
        </w:rPr>
        <w:t>/mL (approximately 3</w:t>
      </w:r>
      <w:r w:rsidR="000840CF" w:rsidRPr="00CE427E">
        <w:rPr>
          <w:rFonts w:eastAsia="Calibri"/>
          <w:szCs w:val="22"/>
        </w:rPr>
        <w:t>%</w:t>
      </w:r>
      <w:r w:rsidRPr="00CE427E">
        <w:rPr>
          <w:rFonts w:eastAsia="Calibri"/>
          <w:szCs w:val="22"/>
        </w:rPr>
        <w:t xml:space="preserve"> of the population predicted C</w:t>
      </w:r>
      <w:r w:rsidRPr="00CE427E">
        <w:rPr>
          <w:rFonts w:eastAsia="Calibri"/>
          <w:szCs w:val="22"/>
          <w:vertAlign w:val="subscript"/>
        </w:rPr>
        <w:t>min,ss</w:t>
      </w:r>
      <w:r w:rsidRPr="00CE427E">
        <w:rPr>
          <w:rFonts w:eastAsia="Calibri"/>
          <w:szCs w:val="22"/>
        </w:rPr>
        <w:t>, or about 97</w:t>
      </w:r>
      <w:r w:rsidR="000840CF" w:rsidRPr="00CE427E">
        <w:rPr>
          <w:rFonts w:eastAsia="Calibri"/>
          <w:szCs w:val="22"/>
        </w:rPr>
        <w:t>%</w:t>
      </w:r>
      <w:r w:rsidRPr="00CE427E">
        <w:rPr>
          <w:rFonts w:eastAsia="Calibri"/>
          <w:szCs w:val="22"/>
        </w:rPr>
        <w:t xml:space="preserve"> washout) by 7 months.</w:t>
      </w:r>
    </w:p>
    <w:p w14:paraId="5290514D" w14:textId="77777777" w:rsidR="00B0681D" w:rsidRPr="00CE427E" w:rsidRDefault="00B0681D" w:rsidP="006128F6">
      <w:pPr>
        <w:tabs>
          <w:tab w:val="clear" w:pos="567"/>
        </w:tabs>
        <w:autoSpaceDE w:val="0"/>
        <w:autoSpaceDN w:val="0"/>
        <w:adjustRightInd w:val="0"/>
        <w:spacing w:line="240" w:lineRule="auto"/>
        <w:rPr>
          <w:rFonts w:eastAsia="Calibri"/>
          <w:i/>
          <w:iCs/>
          <w:szCs w:val="22"/>
        </w:rPr>
      </w:pPr>
    </w:p>
    <w:p w14:paraId="058BCAAC" w14:textId="4B9C58BD" w:rsidR="00B0681D" w:rsidRPr="00CE427E" w:rsidRDefault="00B0681D" w:rsidP="006128F6">
      <w:pPr>
        <w:tabs>
          <w:tab w:val="clear" w:pos="567"/>
        </w:tabs>
        <w:autoSpaceDE w:val="0"/>
        <w:autoSpaceDN w:val="0"/>
        <w:adjustRightInd w:val="0"/>
        <w:spacing w:line="240" w:lineRule="auto"/>
        <w:rPr>
          <w:rFonts w:eastAsia="Calibri"/>
          <w:iCs/>
          <w:szCs w:val="22"/>
          <w:u w:val="single"/>
        </w:rPr>
      </w:pPr>
      <w:r w:rsidRPr="00CE427E">
        <w:rPr>
          <w:rFonts w:eastAsia="Calibri"/>
          <w:iCs/>
          <w:szCs w:val="22"/>
          <w:u w:val="single"/>
        </w:rPr>
        <w:t xml:space="preserve">Circulating shed </w:t>
      </w:r>
      <w:r w:rsidR="00CB45CA" w:rsidRPr="00CE427E">
        <w:rPr>
          <w:rFonts w:eastAsia="Calibri"/>
          <w:iCs/>
          <w:szCs w:val="22"/>
          <w:u w:val="single"/>
        </w:rPr>
        <w:t>HER2</w:t>
      </w:r>
      <w:r w:rsidR="008F0ACE" w:rsidRPr="00CE427E">
        <w:rPr>
          <w:rFonts w:eastAsia="Calibri"/>
          <w:iCs/>
          <w:szCs w:val="22"/>
          <w:u w:val="single"/>
        </w:rPr>
        <w:t>-</w:t>
      </w:r>
      <w:r w:rsidR="00CB45CA" w:rsidRPr="00CE427E">
        <w:rPr>
          <w:rFonts w:eastAsia="Calibri"/>
          <w:iCs/>
          <w:szCs w:val="22"/>
          <w:u w:val="single"/>
        </w:rPr>
        <w:t>ECD</w:t>
      </w:r>
    </w:p>
    <w:p w14:paraId="0480D0B1" w14:textId="77777777" w:rsidR="006128F6" w:rsidRPr="00CE427E" w:rsidRDefault="006128F6" w:rsidP="006128F6">
      <w:pPr>
        <w:tabs>
          <w:tab w:val="clear" w:pos="567"/>
        </w:tabs>
        <w:autoSpaceDE w:val="0"/>
        <w:autoSpaceDN w:val="0"/>
        <w:adjustRightInd w:val="0"/>
        <w:spacing w:line="240" w:lineRule="auto"/>
        <w:rPr>
          <w:rFonts w:eastAsia="Calibri"/>
          <w:iCs/>
          <w:szCs w:val="22"/>
          <w:u w:val="single"/>
        </w:rPr>
      </w:pPr>
    </w:p>
    <w:p w14:paraId="5EEAD7D6" w14:textId="6A14CBE2" w:rsidR="00B0681D" w:rsidRPr="00CE427E" w:rsidRDefault="00B0681D" w:rsidP="006128F6">
      <w:pPr>
        <w:tabs>
          <w:tab w:val="clear" w:pos="567"/>
        </w:tabs>
        <w:autoSpaceDE w:val="0"/>
        <w:autoSpaceDN w:val="0"/>
        <w:adjustRightInd w:val="0"/>
        <w:spacing w:line="240" w:lineRule="auto"/>
        <w:rPr>
          <w:rFonts w:eastAsia="Calibri"/>
          <w:szCs w:val="22"/>
        </w:rPr>
      </w:pPr>
      <w:r w:rsidRPr="00CE427E">
        <w:rPr>
          <w:rFonts w:eastAsia="Calibri"/>
          <w:szCs w:val="22"/>
        </w:rPr>
        <w:t>The exploratory analyses of covariates with information in only a subset of patients suggested that patients with greater shed HER2-ECD level had faster non</w:t>
      </w:r>
      <w:r w:rsidR="005A5F46" w:rsidRPr="00CE427E">
        <w:rPr>
          <w:rFonts w:eastAsia="Calibri"/>
          <w:szCs w:val="22"/>
        </w:rPr>
        <w:t>-</w:t>
      </w:r>
      <w:r w:rsidRPr="00CE427E">
        <w:rPr>
          <w:rFonts w:eastAsia="Calibri"/>
          <w:szCs w:val="22"/>
        </w:rPr>
        <w:t>linear clearance (lower K</w:t>
      </w:r>
      <w:r w:rsidRPr="00CE427E">
        <w:rPr>
          <w:rFonts w:eastAsia="Calibri"/>
          <w:szCs w:val="22"/>
          <w:vertAlign w:val="subscript"/>
        </w:rPr>
        <w:t>m</w:t>
      </w:r>
      <w:r w:rsidRPr="00CE427E">
        <w:rPr>
          <w:rFonts w:eastAsia="Calibri"/>
          <w:szCs w:val="22"/>
        </w:rPr>
        <w:t>) (</w:t>
      </w:r>
      <w:r w:rsidR="00962715" w:rsidRPr="00CE427E">
        <w:rPr>
          <w:rFonts w:eastAsia="Calibri"/>
          <w:szCs w:val="22"/>
        </w:rPr>
        <w:t>p</w:t>
      </w:r>
      <w:r w:rsidRPr="00CE427E">
        <w:rPr>
          <w:rFonts w:eastAsia="Calibri"/>
          <w:szCs w:val="22"/>
        </w:rPr>
        <w:t> &lt;</w:t>
      </w:r>
      <w:r w:rsidRPr="006128F6">
        <w:rPr>
          <w:rFonts w:eastAsia="SymbolMT"/>
          <w:szCs w:val="22"/>
        </w:rPr>
        <w:t> </w:t>
      </w:r>
      <w:r w:rsidRPr="00CE427E">
        <w:rPr>
          <w:rFonts w:eastAsia="Calibri"/>
          <w:szCs w:val="22"/>
        </w:rPr>
        <w:t>0.001). There was a correlation between shed antigen and SGOT/AST levels; part of the impact of shed antigen on clearance may have been explained by SGOT/AST levels.</w:t>
      </w:r>
    </w:p>
    <w:p w14:paraId="72672526" w14:textId="77777777" w:rsidR="00B0681D" w:rsidRPr="00CE427E" w:rsidRDefault="00B0681D" w:rsidP="006128F6">
      <w:pPr>
        <w:tabs>
          <w:tab w:val="clear" w:pos="567"/>
        </w:tabs>
        <w:autoSpaceDE w:val="0"/>
        <w:autoSpaceDN w:val="0"/>
        <w:adjustRightInd w:val="0"/>
        <w:spacing w:line="240" w:lineRule="auto"/>
        <w:rPr>
          <w:rFonts w:eastAsia="Calibri"/>
          <w:szCs w:val="22"/>
        </w:rPr>
      </w:pPr>
    </w:p>
    <w:p w14:paraId="4AF87C67" w14:textId="3E3E1EFC" w:rsidR="00B0681D" w:rsidRPr="00CE427E" w:rsidRDefault="00CB45CA" w:rsidP="00EE0352">
      <w:pPr>
        <w:keepNext/>
        <w:tabs>
          <w:tab w:val="clear" w:pos="567"/>
          <w:tab w:val="left" w:pos="0"/>
        </w:tabs>
        <w:spacing w:line="240" w:lineRule="auto"/>
        <w:outlineLvl w:val="0"/>
        <w:rPr>
          <w:rFonts w:eastAsia="Calibri"/>
          <w:szCs w:val="22"/>
        </w:rPr>
      </w:pPr>
      <w:r w:rsidRPr="00CE427E">
        <w:rPr>
          <w:rFonts w:eastAsia="Calibri"/>
          <w:szCs w:val="22"/>
        </w:rPr>
        <w:t>Baseline levels of the shed HER2-ECD observed in MGC patients were comparable to those in MBC</w:t>
      </w:r>
      <w:r w:rsidR="0050675F" w:rsidRPr="00CE427E">
        <w:rPr>
          <w:rFonts w:eastAsia="Calibri"/>
          <w:szCs w:val="22"/>
        </w:rPr>
        <w:t xml:space="preserve"> </w:t>
      </w:r>
      <w:r w:rsidRPr="00CE427E">
        <w:rPr>
          <w:rFonts w:eastAsia="Calibri"/>
          <w:szCs w:val="22"/>
        </w:rPr>
        <w:t>and EBC patients and no apparent impact on trastuzumab clearance was observed.</w:t>
      </w:r>
    </w:p>
    <w:p w14:paraId="39C9570E" w14:textId="77777777" w:rsidR="00B0681D" w:rsidRPr="00CE427E" w:rsidRDefault="00B0681D" w:rsidP="006128F6">
      <w:pPr>
        <w:keepNext/>
        <w:spacing w:line="240" w:lineRule="auto"/>
        <w:ind w:left="567" w:hanging="567"/>
        <w:outlineLvl w:val="0"/>
        <w:rPr>
          <w:rFonts w:eastAsia="Calibri"/>
          <w:szCs w:val="22"/>
        </w:rPr>
      </w:pPr>
    </w:p>
    <w:p w14:paraId="7C1D938B" w14:textId="77777777" w:rsidR="00925686" w:rsidRPr="006128F6" w:rsidRDefault="00925686" w:rsidP="006128F6">
      <w:pPr>
        <w:keepNext/>
        <w:spacing w:line="240" w:lineRule="auto"/>
        <w:ind w:left="567" w:hanging="567"/>
        <w:outlineLvl w:val="0"/>
        <w:rPr>
          <w:szCs w:val="22"/>
        </w:rPr>
      </w:pPr>
      <w:r w:rsidRPr="006128F6">
        <w:rPr>
          <w:b/>
          <w:szCs w:val="22"/>
        </w:rPr>
        <w:t>5.3</w:t>
      </w:r>
      <w:r w:rsidRPr="006128F6">
        <w:rPr>
          <w:b/>
          <w:szCs w:val="22"/>
        </w:rPr>
        <w:tab/>
        <w:t>Preclinical safety data</w:t>
      </w:r>
    </w:p>
    <w:p w14:paraId="15B22513" w14:textId="77777777" w:rsidR="00925686" w:rsidRPr="006128F6" w:rsidRDefault="00925686" w:rsidP="006128F6">
      <w:pPr>
        <w:keepNext/>
        <w:spacing w:line="240" w:lineRule="auto"/>
      </w:pPr>
    </w:p>
    <w:p w14:paraId="6E44FAD4" w14:textId="19D99365" w:rsidR="00C917C9" w:rsidRPr="00CE427E" w:rsidRDefault="00C917C9"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There was no evidence of acute or multiple dose-related toxicity in studies of up to 6 months, or reproductive toxicity in teratology, female fertility or late gestational toxicity/placental transfer studies. </w:t>
      </w:r>
      <w:r w:rsidR="001A59DE" w:rsidRPr="00CE427E">
        <w:rPr>
          <w:rFonts w:eastAsia="Calibri"/>
          <w:color w:val="000000"/>
          <w:szCs w:val="22"/>
        </w:rPr>
        <w:t>Trastuzumab</w:t>
      </w:r>
      <w:r w:rsidRPr="00CE427E">
        <w:rPr>
          <w:rFonts w:eastAsia="Calibri"/>
          <w:color w:val="000000"/>
          <w:szCs w:val="22"/>
        </w:rPr>
        <w:t xml:space="preserve"> is not genotoxic. A study of trehalose, a major formulation excipient did not reveal any toxicities.</w:t>
      </w:r>
    </w:p>
    <w:p w14:paraId="6757884E" w14:textId="77777777" w:rsidR="00C917C9" w:rsidRPr="00CE427E" w:rsidRDefault="00C917C9" w:rsidP="006128F6">
      <w:pPr>
        <w:tabs>
          <w:tab w:val="clear" w:pos="567"/>
        </w:tabs>
        <w:autoSpaceDE w:val="0"/>
        <w:autoSpaceDN w:val="0"/>
        <w:adjustRightInd w:val="0"/>
        <w:spacing w:line="240" w:lineRule="auto"/>
        <w:rPr>
          <w:rFonts w:eastAsia="Calibri"/>
          <w:color w:val="000000"/>
          <w:szCs w:val="22"/>
        </w:rPr>
      </w:pPr>
    </w:p>
    <w:p w14:paraId="24150AC1" w14:textId="2B2D0268" w:rsidR="00C917C9" w:rsidRPr="00CE427E" w:rsidRDefault="00C917C9"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No long</w:t>
      </w:r>
      <w:r w:rsidR="00067FD0">
        <w:rPr>
          <w:rFonts w:eastAsia="Calibri"/>
          <w:color w:val="000000"/>
          <w:szCs w:val="22"/>
        </w:rPr>
        <w:t xml:space="preserve"> </w:t>
      </w:r>
      <w:r w:rsidRPr="00CE427E">
        <w:rPr>
          <w:rFonts w:eastAsia="Calibri"/>
          <w:color w:val="000000"/>
          <w:szCs w:val="22"/>
        </w:rPr>
        <w:t xml:space="preserve">term animal studies have been performed to establish the carcinogenic potential of </w:t>
      </w:r>
      <w:r w:rsidR="00D91EEF" w:rsidRPr="00CE427E">
        <w:rPr>
          <w:rFonts w:eastAsia="Calibri"/>
          <w:color w:val="000000"/>
          <w:szCs w:val="22"/>
        </w:rPr>
        <w:t>trastuzumab</w:t>
      </w:r>
      <w:r w:rsidRPr="00CE427E">
        <w:rPr>
          <w:rFonts w:eastAsia="Calibri"/>
          <w:color w:val="000000"/>
          <w:szCs w:val="22"/>
        </w:rPr>
        <w:t>, or to determine its effects on fertility in males.</w:t>
      </w:r>
    </w:p>
    <w:p w14:paraId="564A4F99" w14:textId="77777777" w:rsidR="00925686" w:rsidRPr="006128F6" w:rsidRDefault="00925686" w:rsidP="006128F6">
      <w:pPr>
        <w:spacing w:line="240" w:lineRule="auto"/>
        <w:rPr>
          <w:szCs w:val="22"/>
        </w:rPr>
      </w:pPr>
    </w:p>
    <w:p w14:paraId="7BDC9757" w14:textId="77777777" w:rsidR="00925686" w:rsidRPr="006128F6" w:rsidRDefault="00925686" w:rsidP="006128F6">
      <w:pPr>
        <w:spacing w:line="240" w:lineRule="auto"/>
        <w:rPr>
          <w:szCs w:val="22"/>
        </w:rPr>
      </w:pPr>
    </w:p>
    <w:p w14:paraId="58A6E0FC" w14:textId="77777777" w:rsidR="00925686" w:rsidRPr="006128F6" w:rsidRDefault="00925686" w:rsidP="006128F6">
      <w:pPr>
        <w:keepNext/>
        <w:suppressAutoHyphens/>
        <w:spacing w:line="240" w:lineRule="auto"/>
        <w:ind w:left="567" w:hanging="567"/>
        <w:rPr>
          <w:b/>
          <w:szCs w:val="22"/>
        </w:rPr>
      </w:pPr>
      <w:r w:rsidRPr="006128F6">
        <w:rPr>
          <w:b/>
          <w:szCs w:val="22"/>
        </w:rPr>
        <w:t>6.</w:t>
      </w:r>
      <w:r w:rsidRPr="006128F6">
        <w:rPr>
          <w:b/>
          <w:szCs w:val="22"/>
        </w:rPr>
        <w:tab/>
        <w:t>PHARMACEUTICAL PARTICULARS</w:t>
      </w:r>
    </w:p>
    <w:p w14:paraId="15121178" w14:textId="77777777" w:rsidR="00925686" w:rsidRPr="006128F6" w:rsidRDefault="00925686" w:rsidP="006128F6">
      <w:pPr>
        <w:keepNext/>
        <w:spacing w:line="240" w:lineRule="auto"/>
        <w:rPr>
          <w:szCs w:val="22"/>
        </w:rPr>
      </w:pPr>
    </w:p>
    <w:p w14:paraId="7134EDFA" w14:textId="77777777" w:rsidR="00925686" w:rsidRPr="006128F6" w:rsidRDefault="00925686" w:rsidP="006128F6">
      <w:pPr>
        <w:spacing w:line="240" w:lineRule="auto"/>
        <w:ind w:left="567" w:hanging="567"/>
        <w:outlineLvl w:val="0"/>
        <w:rPr>
          <w:szCs w:val="22"/>
        </w:rPr>
      </w:pPr>
      <w:r w:rsidRPr="006128F6">
        <w:rPr>
          <w:b/>
          <w:szCs w:val="22"/>
        </w:rPr>
        <w:t>6.1</w:t>
      </w:r>
      <w:r w:rsidRPr="006128F6">
        <w:rPr>
          <w:b/>
          <w:szCs w:val="22"/>
        </w:rPr>
        <w:tab/>
        <w:t>List of excipients</w:t>
      </w:r>
    </w:p>
    <w:p w14:paraId="169A714E" w14:textId="77777777" w:rsidR="00925686" w:rsidRPr="006128F6" w:rsidRDefault="00925686" w:rsidP="006128F6">
      <w:pPr>
        <w:spacing w:line="240" w:lineRule="auto"/>
        <w:rPr>
          <w:i/>
          <w:szCs w:val="22"/>
        </w:rPr>
      </w:pPr>
    </w:p>
    <w:p w14:paraId="4A26E14F" w14:textId="77777777" w:rsidR="00A4219B" w:rsidRPr="00CE427E" w:rsidRDefault="00A4219B" w:rsidP="00A4219B">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Histidine</w:t>
      </w:r>
    </w:p>
    <w:p w14:paraId="509E6E36" w14:textId="77777777" w:rsidR="00A4219B" w:rsidRPr="00CE427E" w:rsidRDefault="00A4219B" w:rsidP="00A4219B">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Histidine monohydrochloride</w:t>
      </w:r>
    </w:p>
    <w:p w14:paraId="2AB6B27A" w14:textId="24AC9EF3" w:rsidR="00C917C9" w:rsidRPr="00CE427E" w:rsidRDefault="00A4219B"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Trehalose dihydrate</w:t>
      </w:r>
    </w:p>
    <w:p w14:paraId="3DE9B083" w14:textId="0D5A966A" w:rsidR="00C917C9" w:rsidRPr="00CE427E" w:rsidRDefault="00EE0352"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P</w:t>
      </w:r>
      <w:r w:rsidR="00C917C9" w:rsidRPr="00CE427E">
        <w:rPr>
          <w:rFonts w:eastAsia="Calibri"/>
          <w:color w:val="000000"/>
          <w:szCs w:val="22"/>
        </w:rPr>
        <w:t>olysorbate 20</w:t>
      </w:r>
    </w:p>
    <w:p w14:paraId="4925624A" w14:textId="77777777" w:rsidR="00925686" w:rsidRPr="006128F6" w:rsidRDefault="00925686" w:rsidP="006128F6">
      <w:pPr>
        <w:spacing w:line="240" w:lineRule="auto"/>
        <w:rPr>
          <w:szCs w:val="22"/>
        </w:rPr>
      </w:pPr>
    </w:p>
    <w:p w14:paraId="3A387C69" w14:textId="77777777" w:rsidR="00925686" w:rsidRPr="006128F6" w:rsidRDefault="00925686" w:rsidP="006128F6">
      <w:pPr>
        <w:keepNext/>
        <w:spacing w:line="240" w:lineRule="auto"/>
        <w:ind w:left="567" w:hanging="567"/>
        <w:outlineLvl w:val="0"/>
        <w:rPr>
          <w:b/>
          <w:szCs w:val="22"/>
        </w:rPr>
      </w:pPr>
      <w:r w:rsidRPr="006128F6">
        <w:rPr>
          <w:b/>
          <w:szCs w:val="22"/>
        </w:rPr>
        <w:t>6.2</w:t>
      </w:r>
      <w:r w:rsidRPr="006128F6">
        <w:rPr>
          <w:b/>
          <w:szCs w:val="22"/>
        </w:rPr>
        <w:tab/>
        <w:t>Incompatibilities</w:t>
      </w:r>
    </w:p>
    <w:p w14:paraId="2409A595" w14:textId="77777777" w:rsidR="00925686" w:rsidRPr="006128F6" w:rsidRDefault="00925686" w:rsidP="006128F6">
      <w:pPr>
        <w:keepNext/>
        <w:spacing w:line="240" w:lineRule="auto"/>
        <w:ind w:left="567" w:hanging="567"/>
        <w:outlineLvl w:val="0"/>
        <w:rPr>
          <w:b/>
          <w:szCs w:val="22"/>
        </w:rPr>
      </w:pPr>
    </w:p>
    <w:p w14:paraId="21220C03" w14:textId="77777777" w:rsidR="00C917C9" w:rsidRPr="00CE427E" w:rsidRDefault="00C917C9"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This medicinal product must not be mixed or diluted with other medicinal products except those mentioned under section 6.6.</w:t>
      </w:r>
    </w:p>
    <w:p w14:paraId="3233A27C" w14:textId="77777777" w:rsidR="00C917C9" w:rsidRPr="00CE427E" w:rsidRDefault="00C917C9" w:rsidP="006128F6">
      <w:pPr>
        <w:tabs>
          <w:tab w:val="clear" w:pos="567"/>
        </w:tabs>
        <w:autoSpaceDE w:val="0"/>
        <w:autoSpaceDN w:val="0"/>
        <w:adjustRightInd w:val="0"/>
        <w:spacing w:line="240" w:lineRule="auto"/>
        <w:rPr>
          <w:rFonts w:eastAsia="Calibri"/>
          <w:color w:val="000000"/>
          <w:szCs w:val="22"/>
        </w:rPr>
      </w:pPr>
    </w:p>
    <w:p w14:paraId="37B968A4" w14:textId="67491495" w:rsidR="004E2671" w:rsidRPr="00CE427E" w:rsidRDefault="0092075E" w:rsidP="004E2671">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KANJINTI should </w:t>
      </w:r>
      <w:r w:rsidR="004E2671" w:rsidRPr="00CE427E">
        <w:rPr>
          <w:rFonts w:eastAsia="Calibri"/>
          <w:color w:val="000000"/>
          <w:szCs w:val="22"/>
        </w:rPr>
        <w:t xml:space="preserve">not </w:t>
      </w:r>
      <w:r w:rsidRPr="00CE427E">
        <w:rPr>
          <w:rFonts w:eastAsia="Calibri"/>
          <w:color w:val="000000"/>
          <w:szCs w:val="22"/>
        </w:rPr>
        <w:t xml:space="preserve">be </w:t>
      </w:r>
      <w:r w:rsidR="004E2671" w:rsidRPr="00CE427E">
        <w:rPr>
          <w:rFonts w:eastAsia="Calibri"/>
          <w:color w:val="000000"/>
          <w:szCs w:val="22"/>
        </w:rPr>
        <w:t>dilute</w:t>
      </w:r>
      <w:r w:rsidRPr="00CE427E">
        <w:rPr>
          <w:rFonts w:eastAsia="Calibri"/>
          <w:color w:val="000000"/>
          <w:szCs w:val="22"/>
        </w:rPr>
        <w:t>d</w:t>
      </w:r>
      <w:r w:rsidR="004E2671" w:rsidRPr="00CE427E">
        <w:rPr>
          <w:rFonts w:eastAsia="Calibri"/>
          <w:color w:val="000000"/>
          <w:szCs w:val="22"/>
        </w:rPr>
        <w:t xml:space="preserve"> with glucose solutions since these cause aggregation of the protein.</w:t>
      </w:r>
    </w:p>
    <w:p w14:paraId="08065326" w14:textId="77777777" w:rsidR="00C917C9" w:rsidRPr="006128F6" w:rsidRDefault="00C917C9" w:rsidP="006128F6">
      <w:pPr>
        <w:spacing w:line="240" w:lineRule="auto"/>
        <w:ind w:left="567" w:hanging="567"/>
        <w:outlineLvl w:val="0"/>
        <w:rPr>
          <w:b/>
          <w:szCs w:val="22"/>
        </w:rPr>
      </w:pPr>
    </w:p>
    <w:p w14:paraId="75B086CF" w14:textId="77777777" w:rsidR="00925686" w:rsidRPr="006128F6" w:rsidRDefault="00925686" w:rsidP="006128F6">
      <w:pPr>
        <w:keepNext/>
        <w:spacing w:line="240" w:lineRule="auto"/>
        <w:ind w:left="567" w:hanging="567"/>
        <w:outlineLvl w:val="0"/>
        <w:rPr>
          <w:szCs w:val="22"/>
        </w:rPr>
      </w:pPr>
      <w:r w:rsidRPr="006128F6">
        <w:rPr>
          <w:b/>
          <w:szCs w:val="22"/>
        </w:rPr>
        <w:t>6.3</w:t>
      </w:r>
      <w:r w:rsidRPr="006128F6">
        <w:rPr>
          <w:b/>
          <w:szCs w:val="22"/>
        </w:rPr>
        <w:tab/>
        <w:t>Shelf life</w:t>
      </w:r>
    </w:p>
    <w:p w14:paraId="6B70CF29" w14:textId="77777777" w:rsidR="0097704B" w:rsidRDefault="0097704B" w:rsidP="0097704B">
      <w:pPr>
        <w:keepNext/>
        <w:spacing w:line="240" w:lineRule="auto"/>
        <w:rPr>
          <w:b/>
          <w:bCs/>
          <w:iCs/>
          <w:szCs w:val="22"/>
        </w:rPr>
      </w:pPr>
    </w:p>
    <w:p w14:paraId="61C83E3F" w14:textId="2243005F" w:rsidR="0097704B" w:rsidRDefault="0097704B" w:rsidP="0097704B">
      <w:pPr>
        <w:keepNext/>
        <w:spacing w:line="240" w:lineRule="auto"/>
        <w:rPr>
          <w:bCs/>
          <w:iCs/>
          <w:szCs w:val="22"/>
          <w:u w:val="single"/>
        </w:rPr>
      </w:pPr>
      <w:r w:rsidRPr="00026BA2">
        <w:rPr>
          <w:bCs/>
          <w:iCs/>
          <w:szCs w:val="22"/>
          <w:u w:val="single"/>
        </w:rPr>
        <w:t>Unopened vial</w:t>
      </w:r>
    </w:p>
    <w:p w14:paraId="7F720364" w14:textId="77777777" w:rsidR="00863366" w:rsidRPr="00026BA2" w:rsidRDefault="00863366" w:rsidP="0097704B">
      <w:pPr>
        <w:keepNext/>
        <w:spacing w:line="240" w:lineRule="auto"/>
        <w:rPr>
          <w:bCs/>
          <w:iCs/>
          <w:szCs w:val="22"/>
          <w:u w:val="single"/>
        </w:rPr>
      </w:pPr>
    </w:p>
    <w:p w14:paraId="5A08D585" w14:textId="77777777" w:rsidR="0097704B" w:rsidRPr="000C0476" w:rsidRDefault="0097704B" w:rsidP="0097704B">
      <w:pPr>
        <w:tabs>
          <w:tab w:val="clear" w:pos="567"/>
        </w:tabs>
        <w:autoSpaceDE w:val="0"/>
        <w:autoSpaceDN w:val="0"/>
        <w:adjustRightInd w:val="0"/>
        <w:spacing w:line="240" w:lineRule="auto"/>
        <w:rPr>
          <w:rFonts w:eastAsia="Calibri"/>
          <w:color w:val="000000"/>
          <w:szCs w:val="22"/>
        </w:rPr>
      </w:pPr>
      <w:r w:rsidRPr="000C0476">
        <w:rPr>
          <w:rFonts w:eastAsia="Calibri"/>
          <w:color w:val="000000"/>
          <w:szCs w:val="22"/>
        </w:rPr>
        <w:t>3 years.</w:t>
      </w:r>
    </w:p>
    <w:p w14:paraId="1FF438F8" w14:textId="77777777" w:rsidR="0097704B" w:rsidRDefault="0097704B" w:rsidP="0097704B">
      <w:pPr>
        <w:tabs>
          <w:tab w:val="clear" w:pos="567"/>
        </w:tabs>
        <w:autoSpaceDE w:val="0"/>
        <w:autoSpaceDN w:val="0"/>
        <w:adjustRightInd w:val="0"/>
        <w:spacing w:line="240" w:lineRule="auto"/>
        <w:rPr>
          <w:rFonts w:eastAsia="Calibri"/>
          <w:color w:val="000000"/>
          <w:szCs w:val="22"/>
        </w:rPr>
      </w:pPr>
    </w:p>
    <w:p w14:paraId="773A39EA" w14:textId="78C21C5B" w:rsidR="0097704B" w:rsidRDefault="0097704B" w:rsidP="0097704B">
      <w:pPr>
        <w:tabs>
          <w:tab w:val="clear" w:pos="567"/>
        </w:tabs>
        <w:autoSpaceDE w:val="0"/>
        <w:autoSpaceDN w:val="0"/>
        <w:adjustRightInd w:val="0"/>
        <w:spacing w:line="240" w:lineRule="auto"/>
        <w:rPr>
          <w:rFonts w:eastAsia="Calibri"/>
          <w:color w:val="000000"/>
          <w:szCs w:val="22"/>
          <w:u w:val="single"/>
        </w:rPr>
      </w:pPr>
      <w:r w:rsidRPr="00026BA2">
        <w:rPr>
          <w:rFonts w:eastAsia="Calibri"/>
          <w:color w:val="000000"/>
          <w:szCs w:val="22"/>
          <w:u w:val="single"/>
        </w:rPr>
        <w:t>Aseptic reconstitution and dilution</w:t>
      </w:r>
    </w:p>
    <w:p w14:paraId="1477E547" w14:textId="77777777" w:rsidR="00863366" w:rsidRPr="00026BA2" w:rsidRDefault="00863366" w:rsidP="0097704B">
      <w:pPr>
        <w:tabs>
          <w:tab w:val="clear" w:pos="567"/>
        </w:tabs>
        <w:autoSpaceDE w:val="0"/>
        <w:autoSpaceDN w:val="0"/>
        <w:adjustRightInd w:val="0"/>
        <w:spacing w:line="240" w:lineRule="auto"/>
        <w:rPr>
          <w:rFonts w:eastAsia="Calibri"/>
          <w:color w:val="000000"/>
          <w:szCs w:val="22"/>
          <w:u w:val="single"/>
        </w:rPr>
      </w:pPr>
    </w:p>
    <w:p w14:paraId="0FCCAC37" w14:textId="32CE1084" w:rsidR="0097704B" w:rsidRPr="000C0476" w:rsidRDefault="0097704B" w:rsidP="0097704B">
      <w:pPr>
        <w:tabs>
          <w:tab w:val="clear" w:pos="567"/>
        </w:tabs>
        <w:autoSpaceDE w:val="0"/>
        <w:autoSpaceDN w:val="0"/>
        <w:adjustRightInd w:val="0"/>
        <w:spacing w:line="240" w:lineRule="auto"/>
        <w:rPr>
          <w:rFonts w:eastAsia="Calibri"/>
          <w:color w:val="000000"/>
          <w:szCs w:val="22"/>
        </w:rPr>
      </w:pPr>
      <w:r w:rsidRPr="000C0476">
        <w:rPr>
          <w:rFonts w:eastAsia="Calibri"/>
          <w:color w:val="000000"/>
          <w:szCs w:val="22"/>
        </w:rPr>
        <w:t xml:space="preserve">After </w:t>
      </w:r>
      <w:r w:rsidRPr="00867A7B">
        <w:rPr>
          <w:rFonts w:eastAsia="Calibri"/>
          <w:color w:val="000000"/>
          <w:szCs w:val="22"/>
        </w:rPr>
        <w:t>aseptic</w:t>
      </w:r>
      <w:r>
        <w:rPr>
          <w:rFonts w:eastAsia="Calibri"/>
          <w:color w:val="000000"/>
          <w:szCs w:val="22"/>
        </w:rPr>
        <w:t xml:space="preserve"> </w:t>
      </w:r>
      <w:r w:rsidRPr="000C0476">
        <w:rPr>
          <w:rFonts w:eastAsia="Calibri"/>
          <w:color w:val="000000"/>
          <w:szCs w:val="22"/>
        </w:rPr>
        <w:t xml:space="preserve">reconstitution with sterile water for injections, </w:t>
      </w:r>
      <w:r w:rsidRPr="00867A7B">
        <w:rPr>
          <w:rFonts w:eastAsia="Calibri"/>
          <w:color w:val="000000"/>
          <w:szCs w:val="22"/>
        </w:rPr>
        <w:t>chemical and physical stability</w:t>
      </w:r>
      <w:r>
        <w:rPr>
          <w:rFonts w:eastAsia="Calibri"/>
          <w:color w:val="000000"/>
          <w:szCs w:val="22"/>
        </w:rPr>
        <w:t xml:space="preserve"> </w:t>
      </w:r>
      <w:r w:rsidRPr="00867A7B">
        <w:rPr>
          <w:rFonts w:eastAsia="Calibri"/>
          <w:color w:val="000000"/>
          <w:szCs w:val="22"/>
        </w:rPr>
        <w:t>of the reconstituted solution has been demonstrated</w:t>
      </w:r>
      <w:r w:rsidRPr="000C0476">
        <w:rPr>
          <w:rFonts w:eastAsia="Calibri"/>
          <w:color w:val="000000"/>
          <w:szCs w:val="22"/>
        </w:rPr>
        <w:t xml:space="preserve"> for 48 hours at 2°C </w:t>
      </w:r>
      <w:r w:rsidRPr="000C0476">
        <w:rPr>
          <w:rFonts w:eastAsia="Calibri"/>
          <w:color w:val="000000"/>
          <w:szCs w:val="22"/>
        </w:rPr>
        <w:noBreakHyphen/>
        <w:t xml:space="preserve"> 8°C. </w:t>
      </w:r>
    </w:p>
    <w:p w14:paraId="39F7642A" w14:textId="77777777" w:rsidR="0097704B" w:rsidRPr="000C0476" w:rsidRDefault="0097704B" w:rsidP="0097704B">
      <w:pPr>
        <w:tabs>
          <w:tab w:val="clear" w:pos="567"/>
        </w:tabs>
        <w:autoSpaceDE w:val="0"/>
        <w:autoSpaceDN w:val="0"/>
        <w:adjustRightInd w:val="0"/>
        <w:spacing w:line="240" w:lineRule="auto"/>
        <w:rPr>
          <w:rFonts w:eastAsia="Calibri"/>
          <w:color w:val="000000"/>
          <w:szCs w:val="22"/>
        </w:rPr>
      </w:pPr>
    </w:p>
    <w:p w14:paraId="62CA8336" w14:textId="60CDD29D" w:rsidR="0097704B" w:rsidRPr="006128F6" w:rsidRDefault="0097704B" w:rsidP="0097704B">
      <w:pPr>
        <w:autoSpaceDE w:val="0"/>
        <w:autoSpaceDN w:val="0"/>
        <w:adjustRightInd w:val="0"/>
        <w:spacing w:line="240" w:lineRule="auto"/>
        <w:rPr>
          <w:color w:val="000000"/>
        </w:rPr>
      </w:pPr>
      <w:r w:rsidRPr="00867A7B">
        <w:rPr>
          <w:rFonts w:eastAsia="Calibri"/>
          <w:color w:val="000000"/>
          <w:szCs w:val="22"/>
        </w:rPr>
        <w:t>After aseptic dilution</w:t>
      </w:r>
      <w:r>
        <w:rPr>
          <w:rFonts w:eastAsia="Calibri"/>
          <w:color w:val="000000"/>
          <w:szCs w:val="22"/>
        </w:rPr>
        <w:t xml:space="preserve"> </w:t>
      </w:r>
      <w:r w:rsidRPr="000C0476">
        <w:rPr>
          <w:rFonts w:eastAsia="Calibri"/>
          <w:color w:val="000000"/>
          <w:szCs w:val="22"/>
        </w:rPr>
        <w:t>in polyvinylchloride, polyethylene or polypropylene bags containing sodium chloride 9 mg/mL (0.9%) solution for injection</w:t>
      </w:r>
      <w:r>
        <w:rPr>
          <w:rFonts w:eastAsia="Calibri"/>
          <w:color w:val="000000"/>
          <w:szCs w:val="22"/>
        </w:rPr>
        <w:t xml:space="preserve">, </w:t>
      </w:r>
      <w:r w:rsidRPr="00867A7B">
        <w:rPr>
          <w:rFonts w:eastAsia="Calibri"/>
          <w:color w:val="000000"/>
          <w:szCs w:val="22"/>
        </w:rPr>
        <w:t>chemical and physical stability of</w:t>
      </w:r>
      <w:r>
        <w:rPr>
          <w:rFonts w:eastAsia="Calibri"/>
          <w:color w:val="000000"/>
          <w:szCs w:val="22"/>
        </w:rPr>
        <w:t xml:space="preserve"> </w:t>
      </w:r>
      <w:r w:rsidRPr="000C0476">
        <w:rPr>
          <w:rFonts w:eastAsia="Calibri"/>
          <w:color w:val="000000"/>
          <w:szCs w:val="22"/>
        </w:rPr>
        <w:t>KANJINTI</w:t>
      </w:r>
      <w:r w:rsidRPr="00867A7B">
        <w:rPr>
          <w:rFonts w:eastAsia="Calibri"/>
          <w:color w:val="000000"/>
          <w:szCs w:val="22"/>
        </w:rPr>
        <w:t xml:space="preserve"> has been demonstrated</w:t>
      </w:r>
      <w:r w:rsidRPr="000C0476">
        <w:rPr>
          <w:rFonts w:eastAsia="Calibri"/>
          <w:color w:val="000000"/>
          <w:szCs w:val="22"/>
        </w:rPr>
        <w:t xml:space="preserve"> for </w:t>
      </w:r>
      <w:r>
        <w:rPr>
          <w:rFonts w:eastAsia="Calibri"/>
          <w:color w:val="000000"/>
          <w:szCs w:val="22"/>
        </w:rPr>
        <w:t>up to 3</w:t>
      </w:r>
      <w:r w:rsidR="00690E12">
        <w:rPr>
          <w:rFonts w:eastAsia="Calibri"/>
          <w:color w:val="000000"/>
          <w:szCs w:val="22"/>
        </w:rPr>
        <w:t>0</w:t>
      </w:r>
      <w:r>
        <w:rPr>
          <w:rFonts w:eastAsia="Calibri"/>
          <w:color w:val="000000"/>
          <w:szCs w:val="22"/>
        </w:rPr>
        <w:t xml:space="preserve"> days at </w:t>
      </w:r>
      <w:r w:rsidRPr="000C0476">
        <w:rPr>
          <w:rFonts w:eastAsia="Calibri"/>
          <w:color w:val="000000"/>
          <w:szCs w:val="22"/>
        </w:rPr>
        <w:t>2°C </w:t>
      </w:r>
      <w:r w:rsidRPr="000C0476">
        <w:rPr>
          <w:rFonts w:eastAsia="Calibri"/>
          <w:color w:val="000000"/>
          <w:szCs w:val="22"/>
        </w:rPr>
        <w:noBreakHyphen/>
        <w:t> 8°C</w:t>
      </w:r>
      <w:r>
        <w:rPr>
          <w:rFonts w:eastAsia="Calibri"/>
          <w:color w:val="000000"/>
          <w:szCs w:val="22"/>
        </w:rPr>
        <w:t xml:space="preserve">, </w:t>
      </w:r>
      <w:r w:rsidR="006C726C">
        <w:rPr>
          <w:rFonts w:eastAsia="Calibri"/>
          <w:color w:val="000000"/>
          <w:szCs w:val="22"/>
        </w:rPr>
        <w:t xml:space="preserve">and subsequently for </w:t>
      </w:r>
      <w:r w:rsidRPr="000C0476">
        <w:rPr>
          <w:rFonts w:eastAsia="Calibri"/>
          <w:color w:val="000000"/>
          <w:szCs w:val="22"/>
        </w:rPr>
        <w:t>24 hours at temperatures not exceeding 30°</w:t>
      </w:r>
      <w:r w:rsidRPr="006128F6">
        <w:rPr>
          <w:color w:val="000000"/>
        </w:rPr>
        <w:t xml:space="preserve">C. </w:t>
      </w:r>
    </w:p>
    <w:p w14:paraId="0E18944C" w14:textId="77777777" w:rsidR="0097704B" w:rsidRPr="000C0476" w:rsidRDefault="0097704B" w:rsidP="0097704B">
      <w:pPr>
        <w:tabs>
          <w:tab w:val="clear" w:pos="567"/>
        </w:tabs>
        <w:autoSpaceDE w:val="0"/>
        <w:autoSpaceDN w:val="0"/>
        <w:adjustRightInd w:val="0"/>
        <w:spacing w:line="240" w:lineRule="auto"/>
        <w:rPr>
          <w:rFonts w:eastAsia="Calibri"/>
          <w:color w:val="000000"/>
          <w:szCs w:val="22"/>
        </w:rPr>
      </w:pPr>
    </w:p>
    <w:p w14:paraId="5FFDEDBE" w14:textId="1CCDA0A2" w:rsidR="0097704B" w:rsidRPr="000C0476" w:rsidRDefault="0097704B" w:rsidP="0097704B">
      <w:pPr>
        <w:tabs>
          <w:tab w:val="clear" w:pos="567"/>
        </w:tabs>
        <w:autoSpaceDE w:val="0"/>
        <w:autoSpaceDN w:val="0"/>
        <w:adjustRightInd w:val="0"/>
        <w:spacing w:line="240" w:lineRule="auto"/>
        <w:rPr>
          <w:rFonts w:eastAsia="Calibri"/>
          <w:color w:val="000000"/>
          <w:szCs w:val="22"/>
        </w:rPr>
      </w:pPr>
      <w:r w:rsidRPr="000C0476">
        <w:rPr>
          <w:rFonts w:eastAsia="Calibri"/>
          <w:color w:val="000000"/>
          <w:szCs w:val="22"/>
        </w:rPr>
        <w:t>From a microbiological point of view, the reconstituted solution and KANJINTI infusion solution should be used immediately. If not used immediately, in</w:t>
      </w:r>
      <w:r w:rsidRPr="000C0476">
        <w:rPr>
          <w:rFonts w:eastAsia="Calibri"/>
          <w:color w:val="000000"/>
          <w:szCs w:val="22"/>
        </w:rPr>
        <w:noBreakHyphen/>
        <w:t xml:space="preserve">use storage times and conditions </w:t>
      </w:r>
      <w:r>
        <w:rPr>
          <w:rFonts w:eastAsia="Calibri"/>
          <w:color w:val="000000"/>
          <w:szCs w:val="22"/>
        </w:rPr>
        <w:t xml:space="preserve">prior to use </w:t>
      </w:r>
      <w:r w:rsidRPr="000C0476">
        <w:rPr>
          <w:rFonts w:eastAsia="Calibri"/>
          <w:color w:val="000000"/>
          <w:szCs w:val="22"/>
        </w:rPr>
        <w:lastRenderedPageBreak/>
        <w:t>are the responsibility of the user</w:t>
      </w:r>
      <w:r>
        <w:rPr>
          <w:rFonts w:eastAsia="Calibri"/>
          <w:color w:val="000000"/>
          <w:szCs w:val="22"/>
        </w:rPr>
        <w:t xml:space="preserve">, </w:t>
      </w:r>
      <w:r w:rsidRPr="00867A7B">
        <w:rPr>
          <w:rFonts w:eastAsia="Calibri"/>
          <w:color w:val="000000"/>
          <w:szCs w:val="22"/>
        </w:rPr>
        <w:t xml:space="preserve">and would </w:t>
      </w:r>
      <w:r>
        <w:rPr>
          <w:rFonts w:eastAsia="Calibri"/>
          <w:color w:val="000000"/>
          <w:szCs w:val="22"/>
        </w:rPr>
        <w:t xml:space="preserve">not </w:t>
      </w:r>
      <w:r w:rsidRPr="00867A7B">
        <w:rPr>
          <w:rFonts w:eastAsia="Calibri"/>
          <w:color w:val="000000"/>
          <w:szCs w:val="22"/>
        </w:rPr>
        <w:t>normally</w:t>
      </w:r>
      <w:r>
        <w:rPr>
          <w:rFonts w:eastAsia="Calibri"/>
          <w:color w:val="000000"/>
          <w:szCs w:val="22"/>
        </w:rPr>
        <w:t xml:space="preserve"> </w:t>
      </w:r>
      <w:r w:rsidRPr="00867A7B">
        <w:rPr>
          <w:rFonts w:eastAsia="Calibri"/>
          <w:color w:val="000000"/>
          <w:szCs w:val="22"/>
        </w:rPr>
        <w:t>be longer than 24</w:t>
      </w:r>
      <w:r w:rsidR="008E7F93" w:rsidRPr="006128F6">
        <w:rPr>
          <w:color w:val="000000"/>
        </w:rPr>
        <w:t> </w:t>
      </w:r>
      <w:r w:rsidRPr="00867A7B">
        <w:rPr>
          <w:rFonts w:eastAsia="Calibri"/>
          <w:color w:val="000000"/>
          <w:szCs w:val="22"/>
        </w:rPr>
        <w:t xml:space="preserve">hours at </w:t>
      </w:r>
      <w:r w:rsidRPr="000C0476">
        <w:rPr>
          <w:rFonts w:eastAsia="Calibri"/>
          <w:color w:val="000000"/>
          <w:szCs w:val="22"/>
        </w:rPr>
        <w:t>2°C </w:t>
      </w:r>
      <w:r w:rsidRPr="000C0476">
        <w:rPr>
          <w:rFonts w:eastAsia="Calibri"/>
          <w:color w:val="000000"/>
          <w:szCs w:val="22"/>
        </w:rPr>
        <w:noBreakHyphen/>
        <w:t> 8°C</w:t>
      </w:r>
      <w:r w:rsidRPr="00867A7B">
        <w:rPr>
          <w:rFonts w:eastAsia="Calibri"/>
          <w:color w:val="000000"/>
          <w:szCs w:val="22"/>
        </w:rPr>
        <w:t>, unless reconstitution and dilution have taken place under controlled and validated</w:t>
      </w:r>
      <w:r>
        <w:rPr>
          <w:rFonts w:eastAsia="Calibri"/>
          <w:color w:val="000000"/>
          <w:szCs w:val="22"/>
        </w:rPr>
        <w:t xml:space="preserve"> </w:t>
      </w:r>
      <w:r w:rsidRPr="00867A7B">
        <w:rPr>
          <w:rFonts w:eastAsia="Calibri"/>
          <w:color w:val="000000"/>
          <w:szCs w:val="22"/>
        </w:rPr>
        <w:t>aseptic conditions</w:t>
      </w:r>
      <w:r w:rsidRPr="000C0476">
        <w:rPr>
          <w:rFonts w:eastAsia="Calibri"/>
          <w:color w:val="000000"/>
          <w:szCs w:val="22"/>
        </w:rPr>
        <w:t>.</w:t>
      </w:r>
    </w:p>
    <w:p w14:paraId="425DB556" w14:textId="77777777" w:rsidR="00925686" w:rsidRPr="006128F6" w:rsidRDefault="00925686" w:rsidP="006128F6">
      <w:pPr>
        <w:spacing w:line="240" w:lineRule="auto"/>
        <w:rPr>
          <w:szCs w:val="22"/>
        </w:rPr>
      </w:pPr>
    </w:p>
    <w:p w14:paraId="20027CBC" w14:textId="77777777" w:rsidR="00925686" w:rsidRPr="006128F6" w:rsidRDefault="00925686" w:rsidP="006128F6">
      <w:pPr>
        <w:keepNext/>
        <w:spacing w:line="240" w:lineRule="auto"/>
        <w:ind w:left="567" w:hanging="567"/>
        <w:outlineLvl w:val="0"/>
        <w:rPr>
          <w:b/>
          <w:szCs w:val="22"/>
        </w:rPr>
      </w:pPr>
      <w:r w:rsidRPr="006128F6">
        <w:rPr>
          <w:b/>
          <w:szCs w:val="22"/>
        </w:rPr>
        <w:t>6.4</w:t>
      </w:r>
      <w:r w:rsidRPr="006128F6">
        <w:rPr>
          <w:b/>
          <w:szCs w:val="22"/>
        </w:rPr>
        <w:tab/>
        <w:t>Special precautions for storage</w:t>
      </w:r>
    </w:p>
    <w:p w14:paraId="1A77FFA2" w14:textId="77777777" w:rsidR="00925686" w:rsidRPr="006128F6" w:rsidRDefault="00925686" w:rsidP="006128F6">
      <w:pPr>
        <w:keepNext/>
        <w:spacing w:line="240" w:lineRule="auto"/>
        <w:ind w:left="567" w:hanging="567"/>
        <w:outlineLvl w:val="0"/>
        <w:rPr>
          <w:szCs w:val="22"/>
        </w:rPr>
      </w:pPr>
    </w:p>
    <w:p w14:paraId="08969A55" w14:textId="77777777" w:rsidR="00C917C9" w:rsidRPr="006128F6" w:rsidRDefault="00C917C9" w:rsidP="006128F6">
      <w:pPr>
        <w:autoSpaceDE w:val="0"/>
        <w:autoSpaceDN w:val="0"/>
        <w:adjustRightInd w:val="0"/>
        <w:spacing w:line="240" w:lineRule="auto"/>
        <w:rPr>
          <w:color w:val="000000"/>
        </w:rPr>
      </w:pPr>
      <w:r w:rsidRPr="006128F6">
        <w:rPr>
          <w:color w:val="000000"/>
        </w:rPr>
        <w:t>Store in a refrigerator (2</w:t>
      </w:r>
      <w:r w:rsidRPr="00CE427E">
        <w:rPr>
          <w:rFonts w:eastAsia="Calibri"/>
          <w:color w:val="000000"/>
          <w:szCs w:val="22"/>
        </w:rPr>
        <w:t>°</w:t>
      </w:r>
      <w:r w:rsidRPr="006128F6">
        <w:rPr>
          <w:color w:val="000000"/>
        </w:rPr>
        <w:t>C </w:t>
      </w:r>
      <w:r w:rsidRPr="006128F6">
        <w:rPr>
          <w:color w:val="000000"/>
        </w:rPr>
        <w:noBreakHyphen/>
        <w:t> 8</w:t>
      </w:r>
      <w:r w:rsidRPr="00CE427E">
        <w:rPr>
          <w:rFonts w:eastAsia="Calibri"/>
          <w:color w:val="000000"/>
          <w:szCs w:val="22"/>
        </w:rPr>
        <w:t>°</w:t>
      </w:r>
      <w:r w:rsidRPr="006128F6">
        <w:rPr>
          <w:color w:val="000000"/>
        </w:rPr>
        <w:t>C).</w:t>
      </w:r>
    </w:p>
    <w:p w14:paraId="11EB808B" w14:textId="77777777" w:rsidR="0097704B" w:rsidRDefault="0097704B" w:rsidP="0097704B">
      <w:pPr>
        <w:autoSpaceDE w:val="0"/>
        <w:autoSpaceDN w:val="0"/>
        <w:adjustRightInd w:val="0"/>
        <w:spacing w:line="240" w:lineRule="auto"/>
        <w:rPr>
          <w:color w:val="000000"/>
        </w:rPr>
      </w:pPr>
      <w:r>
        <w:rPr>
          <w:color w:val="000000"/>
        </w:rPr>
        <w:t xml:space="preserve">Do not freeze </w:t>
      </w:r>
      <w:r w:rsidRPr="00867A7B">
        <w:rPr>
          <w:color w:val="000000"/>
        </w:rPr>
        <w:t>the reconstituted solution</w:t>
      </w:r>
      <w:r>
        <w:rPr>
          <w:color w:val="000000"/>
        </w:rPr>
        <w:t>.</w:t>
      </w:r>
    </w:p>
    <w:p w14:paraId="14AB765D" w14:textId="7A5A3013" w:rsidR="00C917C9" w:rsidRDefault="006C726C" w:rsidP="00D248DE">
      <w:pPr>
        <w:autoSpaceDE w:val="0"/>
        <w:autoSpaceDN w:val="0"/>
        <w:adjustRightInd w:val="0"/>
        <w:spacing w:line="240" w:lineRule="auto"/>
        <w:rPr>
          <w:color w:val="000000"/>
        </w:rPr>
      </w:pPr>
      <w:r>
        <w:rPr>
          <w:color w:val="000000"/>
        </w:rPr>
        <w:t xml:space="preserve">Store in </w:t>
      </w:r>
      <w:r w:rsidR="00D248DE">
        <w:rPr>
          <w:color w:val="000000"/>
        </w:rPr>
        <w:t>the original package in order to protect from light.</w:t>
      </w:r>
    </w:p>
    <w:p w14:paraId="44A1C329" w14:textId="77777777" w:rsidR="00D248DE" w:rsidRPr="006128F6" w:rsidRDefault="00D248DE" w:rsidP="00D248DE">
      <w:pPr>
        <w:autoSpaceDE w:val="0"/>
        <w:autoSpaceDN w:val="0"/>
        <w:adjustRightInd w:val="0"/>
        <w:spacing w:line="240" w:lineRule="auto"/>
        <w:rPr>
          <w:color w:val="000000"/>
        </w:rPr>
      </w:pPr>
    </w:p>
    <w:p w14:paraId="10E88C34" w14:textId="31519DDD" w:rsidR="00C917C9" w:rsidRPr="006128F6" w:rsidRDefault="00C917C9" w:rsidP="006128F6">
      <w:pPr>
        <w:autoSpaceDE w:val="0"/>
        <w:autoSpaceDN w:val="0"/>
        <w:adjustRightInd w:val="0"/>
        <w:spacing w:line="240" w:lineRule="auto"/>
        <w:rPr>
          <w:color w:val="000000"/>
        </w:rPr>
      </w:pPr>
      <w:r w:rsidRPr="006128F6">
        <w:rPr>
          <w:color w:val="000000"/>
        </w:rPr>
        <w:t xml:space="preserve">For storage conditions of the </w:t>
      </w:r>
      <w:r w:rsidR="00AE0CEF">
        <w:rPr>
          <w:color w:val="000000"/>
        </w:rPr>
        <w:t>reconstituted</w:t>
      </w:r>
      <w:r w:rsidR="00AE0CEF" w:rsidRPr="006128F6">
        <w:rPr>
          <w:color w:val="000000"/>
        </w:rPr>
        <w:t xml:space="preserve"> </w:t>
      </w:r>
      <w:r w:rsidRPr="006128F6">
        <w:rPr>
          <w:color w:val="000000"/>
        </w:rPr>
        <w:t>medicinal product, see section</w:t>
      </w:r>
      <w:r w:rsidR="00D57697">
        <w:rPr>
          <w:color w:val="000000"/>
        </w:rPr>
        <w:t>s</w:t>
      </w:r>
      <w:r w:rsidRPr="006128F6">
        <w:rPr>
          <w:color w:val="000000"/>
        </w:rPr>
        <w:t> 6.3 and 6.6.</w:t>
      </w:r>
    </w:p>
    <w:p w14:paraId="44576621" w14:textId="77777777" w:rsidR="00925686" w:rsidRPr="006128F6" w:rsidRDefault="00925686" w:rsidP="006128F6">
      <w:pPr>
        <w:spacing w:line="240" w:lineRule="auto"/>
        <w:rPr>
          <w:szCs w:val="22"/>
        </w:rPr>
      </w:pPr>
    </w:p>
    <w:p w14:paraId="67F5E584" w14:textId="77777777" w:rsidR="00925686" w:rsidRPr="006128F6" w:rsidRDefault="00925686" w:rsidP="005477BB">
      <w:pPr>
        <w:keepNext/>
        <w:spacing w:line="240" w:lineRule="auto"/>
        <w:ind w:left="567" w:hanging="567"/>
        <w:outlineLvl w:val="0"/>
        <w:rPr>
          <w:b/>
          <w:szCs w:val="22"/>
        </w:rPr>
      </w:pPr>
      <w:r w:rsidRPr="006128F6">
        <w:rPr>
          <w:b/>
          <w:szCs w:val="22"/>
        </w:rPr>
        <w:t>6.5</w:t>
      </w:r>
      <w:r w:rsidRPr="006128F6">
        <w:rPr>
          <w:b/>
          <w:szCs w:val="22"/>
        </w:rPr>
        <w:tab/>
        <w:t xml:space="preserve">Nature and contents of container </w:t>
      </w:r>
    </w:p>
    <w:p w14:paraId="5F72D783" w14:textId="77777777" w:rsidR="00925686" w:rsidRPr="006128F6" w:rsidRDefault="00925686" w:rsidP="006128F6">
      <w:pPr>
        <w:keepNext/>
        <w:spacing w:line="240" w:lineRule="auto"/>
        <w:outlineLvl w:val="0"/>
        <w:rPr>
          <w:b/>
          <w:szCs w:val="22"/>
        </w:rPr>
      </w:pPr>
    </w:p>
    <w:p w14:paraId="53C29F45" w14:textId="50648D15" w:rsidR="00700533" w:rsidRPr="006128F6" w:rsidRDefault="008E0EE9" w:rsidP="006128F6">
      <w:pPr>
        <w:autoSpaceDE w:val="0"/>
        <w:autoSpaceDN w:val="0"/>
        <w:adjustRightInd w:val="0"/>
        <w:spacing w:line="240" w:lineRule="auto"/>
        <w:rPr>
          <w:color w:val="000000"/>
          <w:u w:val="single"/>
        </w:rPr>
      </w:pPr>
      <w:r w:rsidRPr="006128F6">
        <w:rPr>
          <w:color w:val="000000"/>
          <w:u w:val="single"/>
        </w:rPr>
        <w:t>KANJINTI</w:t>
      </w:r>
      <w:r w:rsidR="00700533" w:rsidRPr="006128F6">
        <w:rPr>
          <w:color w:val="000000"/>
          <w:u w:val="single"/>
        </w:rPr>
        <w:t xml:space="preserve"> 150 mg powder for concentrate for solution for infusion</w:t>
      </w:r>
    </w:p>
    <w:p w14:paraId="234C45CD" w14:textId="77777777" w:rsidR="00C067EC" w:rsidRDefault="00C067EC" w:rsidP="006128F6">
      <w:pPr>
        <w:autoSpaceDE w:val="0"/>
        <w:autoSpaceDN w:val="0"/>
        <w:adjustRightInd w:val="0"/>
        <w:spacing w:line="240" w:lineRule="auto"/>
        <w:rPr>
          <w:color w:val="000000"/>
        </w:rPr>
      </w:pPr>
    </w:p>
    <w:p w14:paraId="6C64FC5F" w14:textId="292D98DC" w:rsidR="0088602A" w:rsidRPr="006128F6" w:rsidRDefault="004E46B9" w:rsidP="006128F6">
      <w:pPr>
        <w:autoSpaceDE w:val="0"/>
        <w:autoSpaceDN w:val="0"/>
        <w:adjustRightInd w:val="0"/>
        <w:spacing w:line="240" w:lineRule="auto"/>
        <w:rPr>
          <w:color w:val="000000"/>
        </w:rPr>
      </w:pPr>
      <w:r w:rsidRPr="006128F6">
        <w:rPr>
          <w:color w:val="000000"/>
        </w:rPr>
        <w:t>20 </w:t>
      </w:r>
      <w:r w:rsidR="0088602A" w:rsidRPr="006128F6">
        <w:rPr>
          <w:color w:val="000000"/>
        </w:rPr>
        <w:t>mL clear glass type I vial with butyl rubber stopper laminated with a fluoro</w:t>
      </w:r>
      <w:r w:rsidR="0088602A" w:rsidRPr="006128F6">
        <w:rPr>
          <w:color w:val="000000"/>
        </w:rPr>
        <w:noBreakHyphen/>
        <w:t xml:space="preserve">resin film </w:t>
      </w:r>
      <w:r w:rsidR="00D248DE">
        <w:rPr>
          <w:color w:val="000000"/>
        </w:rPr>
        <w:t xml:space="preserve">and aluminium seal flip-off dust cover </w:t>
      </w:r>
      <w:r w:rsidR="0088602A" w:rsidRPr="006128F6">
        <w:rPr>
          <w:color w:val="000000"/>
        </w:rPr>
        <w:t>containing 150 mg of trastuzumab.</w:t>
      </w:r>
    </w:p>
    <w:p w14:paraId="7932AE56" w14:textId="77777777" w:rsidR="0014376C" w:rsidRPr="006128F6" w:rsidRDefault="0014376C" w:rsidP="006128F6">
      <w:pPr>
        <w:autoSpaceDE w:val="0"/>
        <w:autoSpaceDN w:val="0"/>
        <w:adjustRightInd w:val="0"/>
        <w:spacing w:line="240" w:lineRule="auto"/>
        <w:rPr>
          <w:color w:val="000000"/>
        </w:rPr>
      </w:pPr>
    </w:p>
    <w:p w14:paraId="285713C0" w14:textId="60C1C6F2" w:rsidR="0014376C" w:rsidRPr="006128F6" w:rsidRDefault="0014376C" w:rsidP="006128F6">
      <w:pPr>
        <w:autoSpaceDE w:val="0"/>
        <w:autoSpaceDN w:val="0"/>
        <w:adjustRightInd w:val="0"/>
        <w:spacing w:line="240" w:lineRule="auto"/>
        <w:rPr>
          <w:color w:val="000000"/>
        </w:rPr>
      </w:pPr>
      <w:r w:rsidRPr="006128F6">
        <w:rPr>
          <w:color w:val="000000"/>
        </w:rPr>
        <w:t xml:space="preserve">Each carton contains </w:t>
      </w:r>
      <w:r w:rsidR="0036059B" w:rsidRPr="006128F6">
        <w:rPr>
          <w:color w:val="000000"/>
        </w:rPr>
        <w:t xml:space="preserve">one </w:t>
      </w:r>
      <w:r w:rsidRPr="006128F6">
        <w:rPr>
          <w:color w:val="000000"/>
        </w:rPr>
        <w:t>vial.</w:t>
      </w:r>
    </w:p>
    <w:p w14:paraId="2F9D85FE" w14:textId="77777777" w:rsidR="00700533" w:rsidRPr="00C067EC" w:rsidRDefault="00700533" w:rsidP="006128F6">
      <w:pPr>
        <w:autoSpaceDE w:val="0"/>
        <w:autoSpaceDN w:val="0"/>
        <w:adjustRightInd w:val="0"/>
        <w:spacing w:line="240" w:lineRule="auto"/>
        <w:rPr>
          <w:iCs/>
          <w:color w:val="000000"/>
        </w:rPr>
      </w:pPr>
    </w:p>
    <w:p w14:paraId="492A2190" w14:textId="554E0138" w:rsidR="00700533" w:rsidRPr="006128F6" w:rsidRDefault="008E0EE9" w:rsidP="00C067EC">
      <w:pPr>
        <w:keepNext/>
        <w:autoSpaceDE w:val="0"/>
        <w:autoSpaceDN w:val="0"/>
        <w:adjustRightInd w:val="0"/>
        <w:spacing w:line="240" w:lineRule="auto"/>
        <w:rPr>
          <w:color w:val="000000"/>
          <w:u w:val="single"/>
        </w:rPr>
      </w:pPr>
      <w:r w:rsidRPr="006128F6">
        <w:rPr>
          <w:color w:val="000000"/>
          <w:u w:val="single"/>
        </w:rPr>
        <w:t>KANJINTI</w:t>
      </w:r>
      <w:r w:rsidR="00700533" w:rsidRPr="006128F6">
        <w:rPr>
          <w:color w:val="000000"/>
          <w:u w:val="single"/>
        </w:rPr>
        <w:t xml:space="preserve"> 4</w:t>
      </w:r>
      <w:r w:rsidR="00B02181">
        <w:rPr>
          <w:color w:val="000000"/>
          <w:u w:val="single"/>
        </w:rPr>
        <w:t>2</w:t>
      </w:r>
      <w:r w:rsidR="00700533" w:rsidRPr="006128F6">
        <w:rPr>
          <w:color w:val="000000"/>
          <w:u w:val="single"/>
        </w:rPr>
        <w:t>0 mg powder for concentrate for solution for infusion</w:t>
      </w:r>
    </w:p>
    <w:p w14:paraId="401E862A" w14:textId="77777777" w:rsidR="00C067EC" w:rsidRDefault="00C067EC" w:rsidP="00C067EC">
      <w:pPr>
        <w:keepNext/>
        <w:autoSpaceDE w:val="0"/>
        <w:autoSpaceDN w:val="0"/>
        <w:adjustRightInd w:val="0"/>
        <w:spacing w:line="240" w:lineRule="auto"/>
        <w:rPr>
          <w:color w:val="000000"/>
        </w:rPr>
      </w:pPr>
    </w:p>
    <w:p w14:paraId="7056654E" w14:textId="69710671" w:rsidR="0088602A" w:rsidRPr="006128F6" w:rsidRDefault="004E46B9" w:rsidP="006128F6">
      <w:pPr>
        <w:autoSpaceDE w:val="0"/>
        <w:autoSpaceDN w:val="0"/>
        <w:adjustRightInd w:val="0"/>
        <w:spacing w:line="240" w:lineRule="auto"/>
        <w:rPr>
          <w:color w:val="000000"/>
        </w:rPr>
      </w:pPr>
      <w:r w:rsidRPr="006128F6">
        <w:rPr>
          <w:color w:val="000000"/>
        </w:rPr>
        <w:t>50</w:t>
      </w:r>
      <w:r w:rsidR="00700533" w:rsidRPr="006128F6">
        <w:rPr>
          <w:color w:val="000000"/>
        </w:rPr>
        <w:t> mL clear glass type I vial with butyl rubber stopper laminated with a fluoro</w:t>
      </w:r>
      <w:r w:rsidR="00700533" w:rsidRPr="006128F6">
        <w:rPr>
          <w:color w:val="000000"/>
        </w:rPr>
        <w:noBreakHyphen/>
        <w:t xml:space="preserve">resin film </w:t>
      </w:r>
      <w:r w:rsidR="00D248DE">
        <w:rPr>
          <w:color w:val="000000"/>
        </w:rPr>
        <w:t xml:space="preserve">and aluminium seal flip-off dust cover </w:t>
      </w:r>
      <w:r w:rsidR="00700533" w:rsidRPr="006128F6">
        <w:rPr>
          <w:color w:val="000000"/>
        </w:rPr>
        <w:t xml:space="preserve">containing </w:t>
      </w:r>
      <w:r w:rsidR="00B56A3C" w:rsidRPr="006128F6">
        <w:rPr>
          <w:color w:val="000000"/>
        </w:rPr>
        <w:t>4</w:t>
      </w:r>
      <w:r w:rsidR="00B02181">
        <w:rPr>
          <w:color w:val="000000"/>
        </w:rPr>
        <w:t>2</w:t>
      </w:r>
      <w:r w:rsidR="00700533" w:rsidRPr="006128F6">
        <w:rPr>
          <w:color w:val="000000"/>
        </w:rPr>
        <w:t>0 mg of trastuzumab</w:t>
      </w:r>
      <w:r w:rsidR="0014376C" w:rsidRPr="006128F6">
        <w:rPr>
          <w:color w:val="000000"/>
        </w:rPr>
        <w:t>.</w:t>
      </w:r>
    </w:p>
    <w:p w14:paraId="3D7952ED" w14:textId="77777777" w:rsidR="0014376C" w:rsidRPr="006128F6" w:rsidRDefault="0014376C" w:rsidP="006128F6">
      <w:pPr>
        <w:autoSpaceDE w:val="0"/>
        <w:autoSpaceDN w:val="0"/>
        <w:adjustRightInd w:val="0"/>
        <w:spacing w:line="240" w:lineRule="auto"/>
        <w:rPr>
          <w:color w:val="000000"/>
        </w:rPr>
      </w:pPr>
    </w:p>
    <w:p w14:paraId="726F3605" w14:textId="04FA1978" w:rsidR="0014376C" w:rsidRPr="006128F6" w:rsidRDefault="0014376C" w:rsidP="006128F6">
      <w:pPr>
        <w:autoSpaceDE w:val="0"/>
        <w:autoSpaceDN w:val="0"/>
        <w:adjustRightInd w:val="0"/>
        <w:spacing w:line="240" w:lineRule="auto"/>
        <w:rPr>
          <w:color w:val="000000"/>
        </w:rPr>
      </w:pPr>
      <w:r w:rsidRPr="006128F6">
        <w:rPr>
          <w:color w:val="000000"/>
        </w:rPr>
        <w:t xml:space="preserve">Each carton contains </w:t>
      </w:r>
      <w:r w:rsidR="0036059B" w:rsidRPr="006128F6">
        <w:rPr>
          <w:color w:val="000000"/>
        </w:rPr>
        <w:t>one</w:t>
      </w:r>
      <w:r w:rsidRPr="006128F6">
        <w:rPr>
          <w:color w:val="000000"/>
        </w:rPr>
        <w:t xml:space="preserve"> vial.</w:t>
      </w:r>
    </w:p>
    <w:p w14:paraId="375CDBE8" w14:textId="77777777" w:rsidR="00EE10A1" w:rsidRPr="006128F6" w:rsidRDefault="00EE10A1" w:rsidP="006128F6">
      <w:pPr>
        <w:autoSpaceDE w:val="0"/>
        <w:autoSpaceDN w:val="0"/>
        <w:adjustRightInd w:val="0"/>
        <w:spacing w:line="240" w:lineRule="auto"/>
        <w:rPr>
          <w:color w:val="000000"/>
        </w:rPr>
      </w:pPr>
    </w:p>
    <w:p w14:paraId="006D2927" w14:textId="77777777" w:rsidR="00925686" w:rsidRPr="006128F6" w:rsidRDefault="00925686" w:rsidP="006128F6">
      <w:pPr>
        <w:spacing w:line="240" w:lineRule="auto"/>
        <w:ind w:left="567" w:hanging="567"/>
        <w:outlineLvl w:val="0"/>
        <w:rPr>
          <w:szCs w:val="22"/>
        </w:rPr>
      </w:pPr>
      <w:bookmarkStart w:id="1" w:name="OLE_LINK1"/>
      <w:r w:rsidRPr="006128F6">
        <w:rPr>
          <w:b/>
          <w:szCs w:val="22"/>
        </w:rPr>
        <w:t>6.6</w:t>
      </w:r>
      <w:r w:rsidRPr="006128F6">
        <w:rPr>
          <w:b/>
          <w:szCs w:val="22"/>
        </w:rPr>
        <w:tab/>
        <w:t>Special precautions for disposal and other handling</w:t>
      </w:r>
    </w:p>
    <w:bookmarkEnd w:id="1"/>
    <w:p w14:paraId="76D076C9" w14:textId="77777777" w:rsidR="00925686" w:rsidRPr="006128F6" w:rsidRDefault="00925686" w:rsidP="006128F6">
      <w:pPr>
        <w:spacing w:line="240" w:lineRule="auto"/>
      </w:pPr>
    </w:p>
    <w:p w14:paraId="351E888A" w14:textId="3A06EB07" w:rsidR="0097704B" w:rsidRDefault="00AE0CEF" w:rsidP="0097704B">
      <w:pPr>
        <w:tabs>
          <w:tab w:val="clear" w:pos="567"/>
        </w:tabs>
        <w:autoSpaceDE w:val="0"/>
        <w:autoSpaceDN w:val="0"/>
        <w:adjustRightInd w:val="0"/>
        <w:spacing w:line="240" w:lineRule="auto"/>
        <w:rPr>
          <w:rFonts w:eastAsia="Calibri"/>
          <w:color w:val="000000"/>
          <w:szCs w:val="22"/>
        </w:rPr>
      </w:pPr>
      <w:r w:rsidRPr="00056E18">
        <w:rPr>
          <w:rFonts w:eastAsia="Calibri"/>
          <w:color w:val="000000"/>
          <w:szCs w:val="22"/>
        </w:rPr>
        <w:t xml:space="preserve">Appropriate </w:t>
      </w:r>
      <w:r w:rsidR="0097704B" w:rsidRPr="00056E18">
        <w:rPr>
          <w:rFonts w:eastAsia="Calibri"/>
          <w:color w:val="000000"/>
          <w:szCs w:val="22"/>
        </w:rPr>
        <w:t>aseptic technique should be used for reconstitution and dilution procedures. Care must be taken to</w:t>
      </w:r>
      <w:r w:rsidR="0097704B">
        <w:rPr>
          <w:rFonts w:eastAsia="Calibri"/>
          <w:color w:val="000000"/>
          <w:szCs w:val="22"/>
        </w:rPr>
        <w:t xml:space="preserve"> </w:t>
      </w:r>
      <w:r w:rsidR="0097704B" w:rsidRPr="00056E18">
        <w:rPr>
          <w:rFonts w:eastAsia="Calibri"/>
          <w:color w:val="000000"/>
          <w:szCs w:val="22"/>
        </w:rPr>
        <w:t>ensure the sterility of prepared solutions. Since the medicinal product does not contain any anti-microbial preservative</w:t>
      </w:r>
      <w:r w:rsidR="0097704B">
        <w:rPr>
          <w:rFonts w:eastAsia="Calibri"/>
          <w:color w:val="000000"/>
          <w:szCs w:val="22"/>
        </w:rPr>
        <w:t xml:space="preserve"> </w:t>
      </w:r>
      <w:r w:rsidR="0097704B" w:rsidRPr="00056E18">
        <w:rPr>
          <w:rFonts w:eastAsia="Calibri"/>
          <w:color w:val="000000"/>
          <w:szCs w:val="22"/>
        </w:rPr>
        <w:t>or bacteriostatic agents, aseptic technique must be observed.</w:t>
      </w:r>
    </w:p>
    <w:p w14:paraId="6F68D6A5" w14:textId="77777777" w:rsidR="0097704B" w:rsidRPr="00056E18" w:rsidRDefault="0097704B" w:rsidP="0097704B">
      <w:pPr>
        <w:tabs>
          <w:tab w:val="clear" w:pos="567"/>
        </w:tabs>
        <w:autoSpaceDE w:val="0"/>
        <w:autoSpaceDN w:val="0"/>
        <w:adjustRightInd w:val="0"/>
        <w:spacing w:line="240" w:lineRule="auto"/>
        <w:rPr>
          <w:rFonts w:eastAsia="Calibri"/>
          <w:color w:val="000000"/>
          <w:szCs w:val="22"/>
        </w:rPr>
      </w:pPr>
    </w:p>
    <w:p w14:paraId="23FF60D8" w14:textId="49C6C153" w:rsidR="0097704B" w:rsidRPr="00B853DD" w:rsidRDefault="0097704B" w:rsidP="0097704B">
      <w:pPr>
        <w:tabs>
          <w:tab w:val="clear" w:pos="567"/>
        </w:tabs>
        <w:autoSpaceDE w:val="0"/>
        <w:autoSpaceDN w:val="0"/>
        <w:adjustRightInd w:val="0"/>
        <w:spacing w:line="240" w:lineRule="auto"/>
        <w:rPr>
          <w:rFonts w:eastAsia="Calibri"/>
          <w:color w:val="000000"/>
          <w:szCs w:val="22"/>
          <w:u w:val="single"/>
        </w:rPr>
      </w:pPr>
      <w:r w:rsidRPr="00B853DD">
        <w:rPr>
          <w:rFonts w:eastAsia="Calibri"/>
          <w:color w:val="000000"/>
          <w:szCs w:val="22"/>
          <w:u w:val="single"/>
        </w:rPr>
        <w:t>Aseptic preparation, handling and storage</w:t>
      </w:r>
    </w:p>
    <w:p w14:paraId="1732FD56" w14:textId="77777777" w:rsidR="0097704B" w:rsidRPr="00056E18" w:rsidRDefault="0097704B" w:rsidP="0097704B">
      <w:pPr>
        <w:tabs>
          <w:tab w:val="clear" w:pos="567"/>
        </w:tabs>
        <w:autoSpaceDE w:val="0"/>
        <w:autoSpaceDN w:val="0"/>
        <w:adjustRightInd w:val="0"/>
        <w:spacing w:line="240" w:lineRule="auto"/>
        <w:rPr>
          <w:rFonts w:eastAsia="Calibri"/>
          <w:color w:val="000000"/>
          <w:szCs w:val="22"/>
        </w:rPr>
      </w:pPr>
    </w:p>
    <w:p w14:paraId="1A2D8EEE" w14:textId="77777777" w:rsidR="0097704B" w:rsidRDefault="0097704B" w:rsidP="0097704B">
      <w:pPr>
        <w:tabs>
          <w:tab w:val="clear" w:pos="567"/>
        </w:tabs>
        <w:autoSpaceDE w:val="0"/>
        <w:autoSpaceDN w:val="0"/>
        <w:adjustRightInd w:val="0"/>
        <w:spacing w:line="240" w:lineRule="auto"/>
        <w:rPr>
          <w:rFonts w:eastAsia="Calibri"/>
          <w:color w:val="000000"/>
          <w:szCs w:val="22"/>
        </w:rPr>
      </w:pPr>
      <w:r w:rsidRPr="00056E18">
        <w:rPr>
          <w:rFonts w:eastAsia="Calibri"/>
          <w:color w:val="000000"/>
          <w:szCs w:val="22"/>
        </w:rPr>
        <w:t>Aseptic handling must be ensured when preparing the infusion. Preparation should be:</w:t>
      </w:r>
    </w:p>
    <w:p w14:paraId="4EF6A426" w14:textId="77777777" w:rsidR="0097704B" w:rsidRPr="00056E18" w:rsidRDefault="0097704B" w:rsidP="0097704B">
      <w:pPr>
        <w:numPr>
          <w:ilvl w:val="0"/>
          <w:numId w:val="28"/>
        </w:numPr>
        <w:tabs>
          <w:tab w:val="clear" w:pos="567"/>
        </w:tabs>
        <w:autoSpaceDE w:val="0"/>
        <w:autoSpaceDN w:val="0"/>
        <w:adjustRightInd w:val="0"/>
        <w:spacing w:line="240" w:lineRule="auto"/>
        <w:ind w:left="567" w:hanging="567"/>
        <w:rPr>
          <w:rFonts w:eastAsia="Calibri"/>
          <w:color w:val="000000"/>
          <w:szCs w:val="22"/>
        </w:rPr>
      </w:pPr>
      <w:r w:rsidRPr="00056E18">
        <w:rPr>
          <w:rFonts w:eastAsia="Calibri"/>
          <w:color w:val="000000"/>
          <w:szCs w:val="22"/>
        </w:rPr>
        <w:t>performed under aseptic conditions by trained personnel in accordance with good practice rules especially with</w:t>
      </w:r>
      <w:r>
        <w:rPr>
          <w:rFonts w:eastAsia="Calibri"/>
          <w:color w:val="000000"/>
          <w:szCs w:val="22"/>
        </w:rPr>
        <w:t xml:space="preserve"> </w:t>
      </w:r>
      <w:r w:rsidRPr="00056E18">
        <w:rPr>
          <w:rFonts w:eastAsia="Calibri"/>
          <w:color w:val="000000"/>
          <w:szCs w:val="22"/>
        </w:rPr>
        <w:t>respect to the aseptic preparation of parenteral products.</w:t>
      </w:r>
    </w:p>
    <w:p w14:paraId="6704135A" w14:textId="77777777" w:rsidR="0097704B" w:rsidRPr="00056E18" w:rsidRDefault="0097704B" w:rsidP="0097704B">
      <w:pPr>
        <w:numPr>
          <w:ilvl w:val="0"/>
          <w:numId w:val="28"/>
        </w:numPr>
        <w:tabs>
          <w:tab w:val="clear" w:pos="567"/>
        </w:tabs>
        <w:autoSpaceDE w:val="0"/>
        <w:autoSpaceDN w:val="0"/>
        <w:adjustRightInd w:val="0"/>
        <w:spacing w:line="240" w:lineRule="auto"/>
        <w:ind w:left="567" w:hanging="567"/>
        <w:rPr>
          <w:rFonts w:eastAsia="Calibri"/>
          <w:color w:val="000000"/>
          <w:szCs w:val="22"/>
        </w:rPr>
      </w:pPr>
      <w:r w:rsidRPr="00056E18">
        <w:rPr>
          <w:rFonts w:eastAsia="Calibri"/>
          <w:color w:val="000000"/>
          <w:szCs w:val="22"/>
        </w:rPr>
        <w:t>prepared in a laminar flow hood or biological safety cabinet using standard precautions for the safe handling of</w:t>
      </w:r>
      <w:r>
        <w:rPr>
          <w:rFonts w:eastAsia="Calibri"/>
          <w:color w:val="000000"/>
          <w:szCs w:val="22"/>
        </w:rPr>
        <w:t xml:space="preserve"> </w:t>
      </w:r>
      <w:r w:rsidRPr="00056E18">
        <w:rPr>
          <w:rFonts w:eastAsia="Calibri"/>
          <w:color w:val="000000"/>
          <w:szCs w:val="22"/>
        </w:rPr>
        <w:t>intravenous agents.</w:t>
      </w:r>
    </w:p>
    <w:p w14:paraId="226763D3" w14:textId="12E4DB56" w:rsidR="0097704B" w:rsidRDefault="0097704B" w:rsidP="0097704B">
      <w:pPr>
        <w:numPr>
          <w:ilvl w:val="0"/>
          <w:numId w:val="28"/>
        </w:numPr>
        <w:tabs>
          <w:tab w:val="clear" w:pos="567"/>
        </w:tabs>
        <w:autoSpaceDE w:val="0"/>
        <w:autoSpaceDN w:val="0"/>
        <w:adjustRightInd w:val="0"/>
        <w:spacing w:line="240" w:lineRule="auto"/>
        <w:ind w:left="567" w:hanging="567"/>
        <w:rPr>
          <w:rFonts w:eastAsia="Calibri"/>
          <w:color w:val="000000"/>
          <w:szCs w:val="22"/>
        </w:rPr>
      </w:pPr>
      <w:r w:rsidRPr="00056E18">
        <w:rPr>
          <w:rFonts w:eastAsia="Calibri"/>
          <w:color w:val="000000"/>
          <w:szCs w:val="22"/>
        </w:rPr>
        <w:t>followed by adequate storage of the prepared solution for intravenous infusion to ensure maintenance of the aseptic</w:t>
      </w:r>
      <w:r>
        <w:rPr>
          <w:rFonts w:eastAsia="Calibri"/>
          <w:color w:val="000000"/>
          <w:szCs w:val="22"/>
        </w:rPr>
        <w:t xml:space="preserve"> c</w:t>
      </w:r>
      <w:r w:rsidRPr="00056E18">
        <w:rPr>
          <w:rFonts w:eastAsia="Calibri"/>
          <w:color w:val="000000"/>
          <w:szCs w:val="22"/>
        </w:rPr>
        <w:t>onditions</w:t>
      </w:r>
      <w:r>
        <w:rPr>
          <w:rFonts w:eastAsia="Calibri"/>
          <w:color w:val="000000"/>
          <w:szCs w:val="22"/>
        </w:rPr>
        <w:t>.</w:t>
      </w:r>
    </w:p>
    <w:p w14:paraId="46166092" w14:textId="77777777" w:rsidR="0097704B" w:rsidRDefault="0097704B" w:rsidP="0097704B">
      <w:pPr>
        <w:tabs>
          <w:tab w:val="clear" w:pos="567"/>
        </w:tabs>
        <w:autoSpaceDE w:val="0"/>
        <w:autoSpaceDN w:val="0"/>
        <w:adjustRightInd w:val="0"/>
        <w:spacing w:line="240" w:lineRule="auto"/>
        <w:ind w:left="360"/>
        <w:rPr>
          <w:rFonts w:eastAsia="Calibri"/>
          <w:color w:val="000000"/>
          <w:szCs w:val="22"/>
        </w:rPr>
      </w:pPr>
    </w:p>
    <w:p w14:paraId="3669F103" w14:textId="12FD7984" w:rsidR="00CC4AE0" w:rsidRPr="00CE427E" w:rsidRDefault="008E0EE9"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KANJINTI</w:t>
      </w:r>
      <w:r w:rsidR="00CC4AE0" w:rsidRPr="00CE427E">
        <w:rPr>
          <w:rFonts w:eastAsia="Calibri"/>
          <w:color w:val="000000"/>
          <w:szCs w:val="22"/>
        </w:rPr>
        <w:t xml:space="preserve"> should be carefully handled during reconstitution. Causing excessive foaming during reconstitution or shaking the reconstituted solution may result in problems with the amount of </w:t>
      </w:r>
      <w:r w:rsidRPr="00CE427E">
        <w:rPr>
          <w:rFonts w:eastAsia="Calibri"/>
          <w:color w:val="000000"/>
          <w:szCs w:val="22"/>
        </w:rPr>
        <w:t>KANJINTI</w:t>
      </w:r>
      <w:r w:rsidR="00CC4AE0" w:rsidRPr="00CE427E">
        <w:rPr>
          <w:rFonts w:eastAsia="Calibri"/>
          <w:color w:val="000000"/>
          <w:szCs w:val="22"/>
        </w:rPr>
        <w:t xml:space="preserve"> that can be withdrawn from the vial.</w:t>
      </w:r>
    </w:p>
    <w:p w14:paraId="194FC600" w14:textId="77777777" w:rsidR="00CC4AE0" w:rsidRPr="00CE427E" w:rsidRDefault="00CC4AE0" w:rsidP="006128F6">
      <w:pPr>
        <w:tabs>
          <w:tab w:val="clear" w:pos="567"/>
        </w:tabs>
        <w:autoSpaceDE w:val="0"/>
        <w:autoSpaceDN w:val="0"/>
        <w:adjustRightInd w:val="0"/>
        <w:spacing w:line="240" w:lineRule="auto"/>
        <w:rPr>
          <w:rFonts w:eastAsia="Calibri"/>
          <w:color w:val="000000"/>
          <w:szCs w:val="22"/>
        </w:rPr>
      </w:pPr>
    </w:p>
    <w:p w14:paraId="246BB389" w14:textId="77777777" w:rsidR="00CC4AE0" w:rsidRPr="00CE427E" w:rsidRDefault="00CC4AE0"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The reconstituted solution should not be frozen.</w:t>
      </w:r>
    </w:p>
    <w:p w14:paraId="52D357D3" w14:textId="77777777" w:rsidR="00CC4AE0" w:rsidRPr="006128F6" w:rsidRDefault="00CC4AE0" w:rsidP="006128F6">
      <w:pPr>
        <w:autoSpaceDE w:val="0"/>
        <w:autoSpaceDN w:val="0"/>
        <w:adjustRightInd w:val="0"/>
        <w:spacing w:line="240" w:lineRule="auto"/>
        <w:rPr>
          <w:color w:val="000000"/>
          <w:u w:val="single"/>
        </w:rPr>
      </w:pPr>
    </w:p>
    <w:p w14:paraId="10DD1751" w14:textId="1BD26EA2" w:rsidR="00CC4AE0" w:rsidRPr="00AA2C64" w:rsidRDefault="008E0EE9" w:rsidP="006128F6">
      <w:pPr>
        <w:autoSpaceDE w:val="0"/>
        <w:autoSpaceDN w:val="0"/>
        <w:adjustRightInd w:val="0"/>
        <w:spacing w:line="240" w:lineRule="auto"/>
        <w:rPr>
          <w:i/>
          <w:iCs/>
          <w:color w:val="000000"/>
          <w:u w:val="single"/>
        </w:rPr>
      </w:pPr>
      <w:r w:rsidRPr="00AA2C64">
        <w:rPr>
          <w:i/>
          <w:iCs/>
          <w:color w:val="000000"/>
          <w:u w:val="single"/>
        </w:rPr>
        <w:t>KANJINTI</w:t>
      </w:r>
      <w:r w:rsidR="00CC4AE0" w:rsidRPr="00AA2C64">
        <w:rPr>
          <w:i/>
          <w:iCs/>
          <w:color w:val="000000"/>
          <w:u w:val="single"/>
        </w:rPr>
        <w:t xml:space="preserve"> 150 mg powder for concentrate for solution for infusion</w:t>
      </w:r>
    </w:p>
    <w:p w14:paraId="285E1608" w14:textId="77777777" w:rsidR="0097704B" w:rsidRPr="000C0476" w:rsidRDefault="0097704B" w:rsidP="0097704B">
      <w:pPr>
        <w:tabs>
          <w:tab w:val="clear" w:pos="567"/>
        </w:tabs>
        <w:autoSpaceDE w:val="0"/>
        <w:autoSpaceDN w:val="0"/>
        <w:adjustRightInd w:val="0"/>
        <w:spacing w:line="240" w:lineRule="auto"/>
        <w:rPr>
          <w:rFonts w:eastAsia="Calibri"/>
          <w:color w:val="000000"/>
          <w:szCs w:val="22"/>
        </w:rPr>
      </w:pPr>
    </w:p>
    <w:p w14:paraId="3C7FE98D" w14:textId="17981CA7" w:rsidR="0097704B" w:rsidRPr="000C0476" w:rsidRDefault="0097704B" w:rsidP="0097704B">
      <w:pPr>
        <w:tabs>
          <w:tab w:val="clear" w:pos="567"/>
        </w:tabs>
        <w:autoSpaceDE w:val="0"/>
        <w:autoSpaceDN w:val="0"/>
        <w:adjustRightInd w:val="0"/>
        <w:spacing w:line="240" w:lineRule="auto"/>
        <w:rPr>
          <w:rFonts w:eastAsia="Calibri"/>
          <w:color w:val="000000"/>
          <w:szCs w:val="22"/>
        </w:rPr>
      </w:pPr>
      <w:r w:rsidRPr="000C0476">
        <w:rPr>
          <w:rFonts w:eastAsia="Calibri"/>
          <w:color w:val="000000"/>
          <w:szCs w:val="22"/>
        </w:rPr>
        <w:t>Each 150 mg vial of KANJINTI is reconstituted with 7.2 mL of sterile water for injections (not supplied). Use of other reconstitution solvents should be avoided.</w:t>
      </w:r>
    </w:p>
    <w:p w14:paraId="43D5F93A" w14:textId="77777777" w:rsidR="00EE10A1" w:rsidRPr="00CE427E" w:rsidRDefault="00EE10A1" w:rsidP="006128F6">
      <w:pPr>
        <w:tabs>
          <w:tab w:val="clear" w:pos="567"/>
        </w:tabs>
        <w:autoSpaceDE w:val="0"/>
        <w:autoSpaceDN w:val="0"/>
        <w:adjustRightInd w:val="0"/>
        <w:spacing w:line="240" w:lineRule="auto"/>
        <w:rPr>
          <w:rFonts w:eastAsia="Calibri"/>
          <w:color w:val="000000"/>
          <w:szCs w:val="22"/>
        </w:rPr>
      </w:pPr>
    </w:p>
    <w:p w14:paraId="02C70768" w14:textId="0D22FE2C" w:rsidR="0088602A" w:rsidRPr="00CE427E" w:rsidRDefault="0088602A"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This yields a 7.4 mL solution for single</w:t>
      </w:r>
      <w:r w:rsidRPr="00CE427E">
        <w:rPr>
          <w:rFonts w:eastAsia="Calibri"/>
          <w:color w:val="000000"/>
          <w:szCs w:val="22"/>
        </w:rPr>
        <w:noBreakHyphen/>
        <w:t>dose use, containing approximately 21 mg/mL trastuzumab, at a pH of approximately 6.</w:t>
      </w:r>
      <w:r w:rsidR="0036059B" w:rsidRPr="00CE427E">
        <w:rPr>
          <w:rFonts w:eastAsia="Calibri"/>
          <w:color w:val="000000"/>
          <w:szCs w:val="22"/>
        </w:rPr>
        <w:t>1</w:t>
      </w:r>
      <w:r w:rsidRPr="00CE427E">
        <w:rPr>
          <w:rFonts w:eastAsia="Calibri"/>
          <w:color w:val="000000"/>
          <w:szCs w:val="22"/>
        </w:rPr>
        <w:t>. A volume overage of 4</w:t>
      </w:r>
      <w:r w:rsidR="000840CF" w:rsidRPr="00CE427E">
        <w:rPr>
          <w:rFonts w:eastAsia="Calibri"/>
          <w:color w:val="000000"/>
          <w:szCs w:val="22"/>
        </w:rPr>
        <w:t>%</w:t>
      </w:r>
      <w:r w:rsidRPr="00CE427E">
        <w:rPr>
          <w:rFonts w:eastAsia="Calibri"/>
          <w:color w:val="000000"/>
          <w:szCs w:val="22"/>
        </w:rPr>
        <w:t xml:space="preserve"> ensures that the labelled dose of 150 mg can be withdrawn from each vial.</w:t>
      </w:r>
    </w:p>
    <w:p w14:paraId="2873D263" w14:textId="77777777" w:rsidR="00AA2A55" w:rsidRPr="00CE427E" w:rsidRDefault="00AA2A55" w:rsidP="006128F6">
      <w:pPr>
        <w:tabs>
          <w:tab w:val="clear" w:pos="567"/>
          <w:tab w:val="left" w:pos="2295"/>
        </w:tabs>
        <w:autoSpaceDE w:val="0"/>
        <w:autoSpaceDN w:val="0"/>
        <w:adjustRightInd w:val="0"/>
        <w:spacing w:line="240" w:lineRule="auto"/>
        <w:rPr>
          <w:rFonts w:eastAsia="Calibri"/>
          <w:color w:val="000000"/>
          <w:szCs w:val="22"/>
        </w:rPr>
      </w:pPr>
    </w:p>
    <w:p w14:paraId="7E5ADCE1" w14:textId="30110D4B" w:rsidR="00CC4AE0" w:rsidRPr="00AA2C64" w:rsidRDefault="008E0EE9" w:rsidP="006128F6">
      <w:pPr>
        <w:keepNext/>
        <w:tabs>
          <w:tab w:val="clear" w:pos="567"/>
          <w:tab w:val="left" w:pos="2295"/>
        </w:tabs>
        <w:autoSpaceDE w:val="0"/>
        <w:autoSpaceDN w:val="0"/>
        <w:adjustRightInd w:val="0"/>
        <w:spacing w:line="240" w:lineRule="auto"/>
        <w:rPr>
          <w:rFonts w:eastAsia="Calibri"/>
          <w:i/>
          <w:iCs/>
          <w:color w:val="000000"/>
          <w:szCs w:val="22"/>
        </w:rPr>
      </w:pPr>
      <w:r w:rsidRPr="00AA2C64">
        <w:rPr>
          <w:i/>
          <w:iCs/>
          <w:color w:val="000000"/>
          <w:u w:val="single"/>
        </w:rPr>
        <w:t>KANJINTI</w:t>
      </w:r>
      <w:r w:rsidR="00CC4AE0" w:rsidRPr="00AA2C64">
        <w:rPr>
          <w:i/>
          <w:iCs/>
          <w:color w:val="000000"/>
          <w:u w:val="single"/>
        </w:rPr>
        <w:t xml:space="preserve"> 4</w:t>
      </w:r>
      <w:r w:rsidR="00B02181" w:rsidRPr="00AA2C64">
        <w:rPr>
          <w:i/>
          <w:iCs/>
          <w:color w:val="000000"/>
          <w:u w:val="single"/>
        </w:rPr>
        <w:t>2</w:t>
      </w:r>
      <w:r w:rsidR="00CC4AE0" w:rsidRPr="00AA2C64">
        <w:rPr>
          <w:i/>
          <w:iCs/>
          <w:color w:val="000000"/>
          <w:u w:val="single"/>
        </w:rPr>
        <w:t>0 mg powder for concentrate for solution for infusion</w:t>
      </w:r>
    </w:p>
    <w:p w14:paraId="2770DF82" w14:textId="77777777" w:rsidR="0097704B" w:rsidRPr="000C0476" w:rsidRDefault="0097704B" w:rsidP="0097704B">
      <w:pPr>
        <w:tabs>
          <w:tab w:val="clear" w:pos="567"/>
        </w:tabs>
        <w:autoSpaceDE w:val="0"/>
        <w:autoSpaceDN w:val="0"/>
        <w:adjustRightInd w:val="0"/>
        <w:spacing w:line="240" w:lineRule="auto"/>
        <w:rPr>
          <w:rFonts w:eastAsia="Calibri"/>
          <w:color w:val="000000"/>
          <w:szCs w:val="22"/>
        </w:rPr>
      </w:pPr>
    </w:p>
    <w:p w14:paraId="303B3D2B" w14:textId="418FF62E" w:rsidR="0097704B" w:rsidRPr="000C0476" w:rsidRDefault="0097704B" w:rsidP="0097704B">
      <w:pPr>
        <w:tabs>
          <w:tab w:val="clear" w:pos="567"/>
        </w:tabs>
        <w:autoSpaceDE w:val="0"/>
        <w:autoSpaceDN w:val="0"/>
        <w:adjustRightInd w:val="0"/>
        <w:spacing w:line="240" w:lineRule="auto"/>
        <w:rPr>
          <w:rFonts w:eastAsia="Calibri"/>
          <w:color w:val="000000"/>
          <w:szCs w:val="22"/>
        </w:rPr>
      </w:pPr>
      <w:r w:rsidRPr="000C0476">
        <w:rPr>
          <w:rFonts w:eastAsia="Calibri"/>
          <w:color w:val="000000"/>
          <w:szCs w:val="22"/>
        </w:rPr>
        <w:t>Each 420mg vial of KANJINTI is reconstituted with 20 mL of sterile water for injections (not supplied). Use of other reconstitution solvents should be avoided.</w:t>
      </w:r>
    </w:p>
    <w:p w14:paraId="59A89431" w14:textId="77777777" w:rsidR="00EE10A1" w:rsidRPr="00CE427E" w:rsidRDefault="00EE10A1" w:rsidP="006128F6">
      <w:pPr>
        <w:tabs>
          <w:tab w:val="clear" w:pos="567"/>
        </w:tabs>
        <w:autoSpaceDE w:val="0"/>
        <w:autoSpaceDN w:val="0"/>
        <w:adjustRightInd w:val="0"/>
        <w:spacing w:line="240" w:lineRule="auto"/>
        <w:rPr>
          <w:rFonts w:eastAsia="Calibri"/>
          <w:color w:val="000000"/>
          <w:szCs w:val="22"/>
        </w:rPr>
      </w:pPr>
    </w:p>
    <w:p w14:paraId="3824DD75" w14:textId="30B803DA" w:rsidR="0088602A" w:rsidRPr="00CE427E" w:rsidRDefault="00AA2A55"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This yields a </w:t>
      </w:r>
      <w:r w:rsidR="00DC4928" w:rsidRPr="00CE427E">
        <w:rPr>
          <w:rFonts w:eastAsia="Calibri"/>
          <w:color w:val="000000"/>
          <w:szCs w:val="22"/>
        </w:rPr>
        <w:t>21</w:t>
      </w:r>
      <w:r w:rsidRPr="00CE427E">
        <w:rPr>
          <w:rFonts w:eastAsia="Calibri"/>
          <w:color w:val="000000"/>
          <w:szCs w:val="22"/>
        </w:rPr>
        <w:t> mL solution for single</w:t>
      </w:r>
      <w:r w:rsidRPr="00CE427E">
        <w:rPr>
          <w:rFonts w:eastAsia="Calibri"/>
          <w:color w:val="000000"/>
          <w:szCs w:val="22"/>
        </w:rPr>
        <w:noBreakHyphen/>
        <w:t>dose use, containing approximately 21 mg/mL trastuzumab, at a pH of approximately 6.</w:t>
      </w:r>
      <w:r w:rsidR="00A3405B" w:rsidRPr="00CE427E">
        <w:rPr>
          <w:rFonts w:eastAsia="Calibri"/>
          <w:color w:val="000000"/>
          <w:szCs w:val="22"/>
        </w:rPr>
        <w:t>1</w:t>
      </w:r>
      <w:r w:rsidRPr="00CE427E">
        <w:rPr>
          <w:rFonts w:eastAsia="Calibri"/>
          <w:color w:val="000000"/>
          <w:szCs w:val="22"/>
        </w:rPr>
        <w:t xml:space="preserve">. </w:t>
      </w:r>
      <w:r w:rsidR="00B02181" w:rsidRPr="00CE427E">
        <w:rPr>
          <w:rFonts w:eastAsia="Calibri"/>
          <w:color w:val="000000"/>
          <w:szCs w:val="22"/>
        </w:rPr>
        <w:t>A volume overage of 5% ensures that the labelled dose of 420 mg can be withdrawn from each vial.</w:t>
      </w:r>
    </w:p>
    <w:p w14:paraId="7B2DE5D9" w14:textId="77777777" w:rsidR="00D55CB3" w:rsidRPr="00CE427E" w:rsidRDefault="00D55CB3" w:rsidP="00D55CB3">
      <w:pPr>
        <w:tabs>
          <w:tab w:val="clear" w:pos="567"/>
        </w:tabs>
        <w:autoSpaceDE w:val="0"/>
        <w:autoSpaceDN w:val="0"/>
        <w:adjustRightInd w:val="0"/>
        <w:spacing w:line="240" w:lineRule="auto"/>
        <w:rPr>
          <w:rFonts w:eastAsia="Calibri"/>
          <w:color w:val="000000"/>
          <w:szCs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451"/>
        <w:gridCol w:w="2694"/>
        <w:gridCol w:w="425"/>
        <w:gridCol w:w="3678"/>
      </w:tblGrid>
      <w:tr w:rsidR="008F6721" w14:paraId="20D605BA" w14:textId="77777777" w:rsidTr="00CE427E">
        <w:tc>
          <w:tcPr>
            <w:tcW w:w="1812" w:type="dxa"/>
            <w:shd w:val="clear" w:color="auto" w:fill="auto"/>
          </w:tcPr>
          <w:p w14:paraId="2AD7BD3B" w14:textId="77777777" w:rsidR="00D55CB3" w:rsidRPr="00CE427E" w:rsidRDefault="00D55CB3" w:rsidP="00CE427E">
            <w:pPr>
              <w:tabs>
                <w:tab w:val="clear" w:pos="567"/>
              </w:tabs>
              <w:autoSpaceDE w:val="0"/>
              <w:autoSpaceDN w:val="0"/>
              <w:adjustRightInd w:val="0"/>
              <w:spacing w:line="240" w:lineRule="auto"/>
              <w:rPr>
                <w:rFonts w:eastAsia="Calibri"/>
                <w:color w:val="000000"/>
                <w:sz w:val="20"/>
                <w:szCs w:val="22"/>
                <w:lang w:val="en-US"/>
              </w:rPr>
            </w:pPr>
            <w:r w:rsidRPr="00CE427E">
              <w:rPr>
                <w:rFonts w:eastAsia="Calibri"/>
                <w:color w:val="000000"/>
                <w:sz w:val="20"/>
                <w:szCs w:val="22"/>
                <w:lang w:val="en-US"/>
              </w:rPr>
              <w:t>KANJINTI vial</w:t>
            </w:r>
          </w:p>
        </w:tc>
        <w:tc>
          <w:tcPr>
            <w:tcW w:w="451" w:type="dxa"/>
            <w:shd w:val="clear" w:color="auto" w:fill="auto"/>
          </w:tcPr>
          <w:p w14:paraId="31833C9A" w14:textId="77777777" w:rsidR="00D55CB3" w:rsidRPr="00CE427E" w:rsidRDefault="00D55CB3" w:rsidP="00CE427E">
            <w:pPr>
              <w:tabs>
                <w:tab w:val="clear" w:pos="567"/>
              </w:tabs>
              <w:autoSpaceDE w:val="0"/>
              <w:autoSpaceDN w:val="0"/>
              <w:adjustRightInd w:val="0"/>
              <w:spacing w:line="240" w:lineRule="auto"/>
              <w:rPr>
                <w:rFonts w:eastAsia="Calibri"/>
                <w:color w:val="000000"/>
                <w:sz w:val="20"/>
                <w:szCs w:val="22"/>
                <w:lang w:val="en-US"/>
              </w:rPr>
            </w:pPr>
          </w:p>
        </w:tc>
        <w:tc>
          <w:tcPr>
            <w:tcW w:w="2694" w:type="dxa"/>
            <w:shd w:val="clear" w:color="auto" w:fill="auto"/>
          </w:tcPr>
          <w:p w14:paraId="12B8B451" w14:textId="77777777" w:rsidR="00D55CB3" w:rsidRPr="00CE427E" w:rsidRDefault="00D55CB3" w:rsidP="00CE427E">
            <w:pPr>
              <w:tabs>
                <w:tab w:val="clear" w:pos="567"/>
              </w:tabs>
              <w:autoSpaceDE w:val="0"/>
              <w:autoSpaceDN w:val="0"/>
              <w:adjustRightInd w:val="0"/>
              <w:spacing w:line="240" w:lineRule="auto"/>
              <w:rPr>
                <w:rFonts w:eastAsia="Calibri"/>
                <w:color w:val="000000"/>
                <w:sz w:val="20"/>
                <w:szCs w:val="22"/>
                <w:lang w:val="en-US"/>
              </w:rPr>
            </w:pPr>
            <w:r w:rsidRPr="00CE427E">
              <w:rPr>
                <w:rFonts w:eastAsia="Calibri"/>
                <w:color w:val="000000"/>
                <w:sz w:val="20"/>
                <w:szCs w:val="22"/>
                <w:lang w:val="en-US"/>
              </w:rPr>
              <w:t>Volume of sterile water for injections</w:t>
            </w:r>
          </w:p>
        </w:tc>
        <w:tc>
          <w:tcPr>
            <w:tcW w:w="425" w:type="dxa"/>
            <w:shd w:val="clear" w:color="auto" w:fill="auto"/>
          </w:tcPr>
          <w:p w14:paraId="52EA4F22" w14:textId="77777777" w:rsidR="00D55CB3" w:rsidRPr="00CE427E" w:rsidRDefault="00D55CB3" w:rsidP="00CE427E">
            <w:pPr>
              <w:tabs>
                <w:tab w:val="clear" w:pos="567"/>
              </w:tabs>
              <w:autoSpaceDE w:val="0"/>
              <w:autoSpaceDN w:val="0"/>
              <w:adjustRightInd w:val="0"/>
              <w:spacing w:line="240" w:lineRule="auto"/>
              <w:rPr>
                <w:rFonts w:eastAsia="Calibri"/>
                <w:color w:val="000000"/>
                <w:sz w:val="20"/>
                <w:szCs w:val="22"/>
                <w:lang w:val="en-US"/>
              </w:rPr>
            </w:pPr>
          </w:p>
        </w:tc>
        <w:tc>
          <w:tcPr>
            <w:tcW w:w="3678" w:type="dxa"/>
            <w:shd w:val="clear" w:color="auto" w:fill="auto"/>
          </w:tcPr>
          <w:p w14:paraId="01EA9EAD" w14:textId="77777777" w:rsidR="00D55CB3" w:rsidRPr="00CE427E" w:rsidRDefault="00D55CB3" w:rsidP="00CE427E">
            <w:pPr>
              <w:tabs>
                <w:tab w:val="clear" w:pos="567"/>
              </w:tabs>
              <w:autoSpaceDE w:val="0"/>
              <w:autoSpaceDN w:val="0"/>
              <w:adjustRightInd w:val="0"/>
              <w:spacing w:line="240" w:lineRule="auto"/>
              <w:rPr>
                <w:rFonts w:eastAsia="Calibri"/>
                <w:color w:val="000000"/>
                <w:sz w:val="20"/>
                <w:szCs w:val="22"/>
                <w:lang w:val="en-US"/>
              </w:rPr>
            </w:pPr>
            <w:r w:rsidRPr="00CE427E">
              <w:rPr>
                <w:rFonts w:eastAsia="Calibri"/>
                <w:color w:val="000000"/>
                <w:sz w:val="20"/>
                <w:szCs w:val="22"/>
                <w:lang w:val="en-US"/>
              </w:rPr>
              <w:t>Final concentration</w:t>
            </w:r>
          </w:p>
        </w:tc>
      </w:tr>
      <w:tr w:rsidR="008F6721" w14:paraId="4D385B66" w14:textId="77777777" w:rsidTr="00CE427E">
        <w:tc>
          <w:tcPr>
            <w:tcW w:w="1812" w:type="dxa"/>
            <w:shd w:val="clear" w:color="auto" w:fill="auto"/>
          </w:tcPr>
          <w:p w14:paraId="4DA670DC" w14:textId="68F36724" w:rsidR="00D55CB3" w:rsidRPr="00CE427E" w:rsidRDefault="00D55CB3" w:rsidP="00CE427E">
            <w:pPr>
              <w:tabs>
                <w:tab w:val="clear" w:pos="567"/>
              </w:tabs>
              <w:autoSpaceDE w:val="0"/>
              <w:autoSpaceDN w:val="0"/>
              <w:adjustRightInd w:val="0"/>
              <w:spacing w:line="240" w:lineRule="auto"/>
              <w:rPr>
                <w:rFonts w:eastAsia="Calibri"/>
                <w:color w:val="000000"/>
                <w:sz w:val="20"/>
                <w:szCs w:val="22"/>
                <w:lang w:val="en-US"/>
              </w:rPr>
            </w:pPr>
            <w:r w:rsidRPr="00CE427E">
              <w:rPr>
                <w:rFonts w:eastAsia="Calibri"/>
                <w:color w:val="000000"/>
                <w:sz w:val="20"/>
                <w:szCs w:val="22"/>
                <w:lang w:val="en-US"/>
              </w:rPr>
              <w:t>150</w:t>
            </w:r>
            <w:r w:rsidR="00216F65">
              <w:rPr>
                <w:rFonts w:eastAsia="Calibri"/>
                <w:color w:val="000000"/>
                <w:sz w:val="20"/>
                <w:szCs w:val="22"/>
                <w:lang w:val="en-US"/>
              </w:rPr>
              <w:t> </w:t>
            </w:r>
            <w:r w:rsidRPr="00CE427E">
              <w:rPr>
                <w:rFonts w:eastAsia="Calibri"/>
                <w:color w:val="000000"/>
                <w:sz w:val="20"/>
                <w:szCs w:val="22"/>
                <w:lang w:val="en-US"/>
              </w:rPr>
              <w:t>mg vial</w:t>
            </w:r>
          </w:p>
        </w:tc>
        <w:tc>
          <w:tcPr>
            <w:tcW w:w="451" w:type="dxa"/>
            <w:shd w:val="clear" w:color="auto" w:fill="auto"/>
          </w:tcPr>
          <w:p w14:paraId="054492EC" w14:textId="77777777" w:rsidR="00D55CB3" w:rsidRPr="00CE427E" w:rsidRDefault="00D55CB3" w:rsidP="00CE427E">
            <w:pPr>
              <w:tabs>
                <w:tab w:val="clear" w:pos="567"/>
              </w:tabs>
              <w:autoSpaceDE w:val="0"/>
              <w:autoSpaceDN w:val="0"/>
              <w:adjustRightInd w:val="0"/>
              <w:spacing w:line="240" w:lineRule="auto"/>
              <w:rPr>
                <w:rFonts w:eastAsia="Calibri"/>
                <w:color w:val="000000"/>
                <w:sz w:val="20"/>
                <w:szCs w:val="22"/>
                <w:lang w:val="en-US"/>
              </w:rPr>
            </w:pPr>
            <w:r w:rsidRPr="00CE427E">
              <w:rPr>
                <w:rFonts w:eastAsia="Calibri"/>
                <w:color w:val="000000"/>
                <w:sz w:val="20"/>
                <w:szCs w:val="22"/>
                <w:lang w:val="en-US"/>
              </w:rPr>
              <w:t>+</w:t>
            </w:r>
          </w:p>
        </w:tc>
        <w:tc>
          <w:tcPr>
            <w:tcW w:w="2694" w:type="dxa"/>
            <w:shd w:val="clear" w:color="auto" w:fill="auto"/>
          </w:tcPr>
          <w:p w14:paraId="32C529E6" w14:textId="5CC8AFAF" w:rsidR="00D55CB3" w:rsidRPr="00CE427E" w:rsidRDefault="00D55CB3" w:rsidP="00216F65">
            <w:pPr>
              <w:tabs>
                <w:tab w:val="clear" w:pos="567"/>
              </w:tabs>
              <w:autoSpaceDE w:val="0"/>
              <w:autoSpaceDN w:val="0"/>
              <w:adjustRightInd w:val="0"/>
              <w:spacing w:line="240" w:lineRule="auto"/>
              <w:rPr>
                <w:rFonts w:eastAsia="Calibri"/>
                <w:color w:val="000000"/>
                <w:sz w:val="20"/>
                <w:szCs w:val="22"/>
                <w:lang w:val="en-US"/>
              </w:rPr>
            </w:pPr>
            <w:r w:rsidRPr="00CE427E">
              <w:rPr>
                <w:rFonts w:eastAsia="Calibri"/>
                <w:color w:val="000000"/>
                <w:sz w:val="20"/>
                <w:szCs w:val="22"/>
                <w:lang w:val="en-US"/>
              </w:rPr>
              <w:t>7.2</w:t>
            </w:r>
            <w:r w:rsidR="00216F65">
              <w:rPr>
                <w:rFonts w:eastAsia="Calibri"/>
                <w:color w:val="000000"/>
                <w:sz w:val="20"/>
                <w:szCs w:val="22"/>
                <w:lang w:val="en-US"/>
              </w:rPr>
              <w:t> </w:t>
            </w:r>
            <w:r w:rsidRPr="00CE427E">
              <w:rPr>
                <w:rFonts w:eastAsia="Calibri"/>
                <w:color w:val="000000"/>
                <w:sz w:val="20"/>
                <w:szCs w:val="22"/>
                <w:lang w:val="en-US"/>
              </w:rPr>
              <w:t>mL</w:t>
            </w:r>
          </w:p>
        </w:tc>
        <w:tc>
          <w:tcPr>
            <w:tcW w:w="425" w:type="dxa"/>
            <w:shd w:val="clear" w:color="auto" w:fill="auto"/>
          </w:tcPr>
          <w:p w14:paraId="50E51EF1" w14:textId="77777777" w:rsidR="00D55CB3" w:rsidRPr="00CE427E" w:rsidRDefault="00D55CB3" w:rsidP="00CE427E">
            <w:pPr>
              <w:tabs>
                <w:tab w:val="clear" w:pos="567"/>
              </w:tabs>
              <w:autoSpaceDE w:val="0"/>
              <w:autoSpaceDN w:val="0"/>
              <w:adjustRightInd w:val="0"/>
              <w:spacing w:line="240" w:lineRule="auto"/>
              <w:rPr>
                <w:rFonts w:eastAsia="Calibri"/>
                <w:color w:val="000000"/>
                <w:sz w:val="20"/>
                <w:szCs w:val="22"/>
                <w:lang w:val="en-US"/>
              </w:rPr>
            </w:pPr>
            <w:r w:rsidRPr="00CE427E">
              <w:rPr>
                <w:rFonts w:eastAsia="Calibri"/>
                <w:color w:val="000000"/>
                <w:sz w:val="20"/>
                <w:szCs w:val="22"/>
                <w:lang w:val="en-US"/>
              </w:rPr>
              <w:t>=</w:t>
            </w:r>
          </w:p>
        </w:tc>
        <w:tc>
          <w:tcPr>
            <w:tcW w:w="3678" w:type="dxa"/>
            <w:shd w:val="clear" w:color="auto" w:fill="auto"/>
          </w:tcPr>
          <w:p w14:paraId="00E0DAD9" w14:textId="1A08C416" w:rsidR="00D55CB3" w:rsidRPr="00CE427E" w:rsidRDefault="00D55CB3" w:rsidP="00CE427E">
            <w:pPr>
              <w:tabs>
                <w:tab w:val="clear" w:pos="567"/>
              </w:tabs>
              <w:autoSpaceDE w:val="0"/>
              <w:autoSpaceDN w:val="0"/>
              <w:adjustRightInd w:val="0"/>
              <w:spacing w:line="240" w:lineRule="auto"/>
              <w:rPr>
                <w:rFonts w:eastAsia="Calibri"/>
                <w:color w:val="000000"/>
                <w:sz w:val="20"/>
                <w:szCs w:val="22"/>
                <w:lang w:val="en-US"/>
              </w:rPr>
            </w:pPr>
            <w:r w:rsidRPr="00CE427E">
              <w:rPr>
                <w:rFonts w:eastAsia="Calibri"/>
                <w:color w:val="000000"/>
                <w:sz w:val="20"/>
                <w:szCs w:val="22"/>
                <w:lang w:val="en-US"/>
              </w:rPr>
              <w:t>21</w:t>
            </w:r>
            <w:r w:rsidR="00216F65">
              <w:rPr>
                <w:rFonts w:eastAsia="Calibri"/>
                <w:color w:val="000000"/>
                <w:sz w:val="20"/>
                <w:szCs w:val="22"/>
                <w:lang w:val="en-US"/>
              </w:rPr>
              <w:t> </w:t>
            </w:r>
            <w:r w:rsidRPr="00CE427E">
              <w:rPr>
                <w:rFonts w:eastAsia="Calibri"/>
                <w:color w:val="000000"/>
                <w:sz w:val="20"/>
                <w:szCs w:val="22"/>
                <w:lang w:val="en-US"/>
              </w:rPr>
              <w:t>mg/mL</w:t>
            </w:r>
          </w:p>
        </w:tc>
      </w:tr>
      <w:tr w:rsidR="008F6721" w14:paraId="04BFF2AF" w14:textId="77777777" w:rsidTr="00CE427E">
        <w:tc>
          <w:tcPr>
            <w:tcW w:w="1812" w:type="dxa"/>
            <w:shd w:val="clear" w:color="auto" w:fill="auto"/>
          </w:tcPr>
          <w:p w14:paraId="0617241D" w14:textId="5D574EF7" w:rsidR="00D55CB3" w:rsidRPr="00CE427E" w:rsidRDefault="00D55CB3" w:rsidP="00CE427E">
            <w:pPr>
              <w:tabs>
                <w:tab w:val="clear" w:pos="567"/>
              </w:tabs>
              <w:autoSpaceDE w:val="0"/>
              <w:autoSpaceDN w:val="0"/>
              <w:adjustRightInd w:val="0"/>
              <w:spacing w:line="240" w:lineRule="auto"/>
              <w:rPr>
                <w:rFonts w:eastAsia="Calibri"/>
                <w:color w:val="000000"/>
                <w:sz w:val="20"/>
                <w:szCs w:val="22"/>
                <w:lang w:val="en-US"/>
              </w:rPr>
            </w:pPr>
            <w:r w:rsidRPr="00CE427E">
              <w:rPr>
                <w:rFonts w:eastAsia="Calibri"/>
                <w:color w:val="000000"/>
                <w:sz w:val="20"/>
                <w:szCs w:val="22"/>
                <w:lang w:val="en-US"/>
              </w:rPr>
              <w:t>420</w:t>
            </w:r>
            <w:r w:rsidR="00216F65">
              <w:rPr>
                <w:rFonts w:eastAsia="Calibri"/>
                <w:color w:val="000000"/>
                <w:sz w:val="20"/>
                <w:szCs w:val="22"/>
                <w:lang w:val="en-US"/>
              </w:rPr>
              <w:t> </w:t>
            </w:r>
            <w:r w:rsidRPr="00CE427E">
              <w:rPr>
                <w:rFonts w:eastAsia="Calibri"/>
                <w:color w:val="000000"/>
                <w:sz w:val="20"/>
                <w:szCs w:val="22"/>
                <w:lang w:val="en-US"/>
              </w:rPr>
              <w:t>mg vial</w:t>
            </w:r>
          </w:p>
        </w:tc>
        <w:tc>
          <w:tcPr>
            <w:tcW w:w="451" w:type="dxa"/>
            <w:shd w:val="clear" w:color="auto" w:fill="auto"/>
          </w:tcPr>
          <w:p w14:paraId="40D11320" w14:textId="77777777" w:rsidR="00D55CB3" w:rsidRPr="00CE427E" w:rsidRDefault="00D55CB3" w:rsidP="00CE427E">
            <w:pPr>
              <w:tabs>
                <w:tab w:val="clear" w:pos="567"/>
              </w:tabs>
              <w:autoSpaceDE w:val="0"/>
              <w:autoSpaceDN w:val="0"/>
              <w:adjustRightInd w:val="0"/>
              <w:spacing w:line="240" w:lineRule="auto"/>
              <w:rPr>
                <w:rFonts w:eastAsia="Calibri"/>
                <w:color w:val="000000"/>
                <w:sz w:val="20"/>
                <w:szCs w:val="22"/>
                <w:lang w:val="en-US"/>
              </w:rPr>
            </w:pPr>
            <w:r w:rsidRPr="00CE427E">
              <w:rPr>
                <w:rFonts w:eastAsia="Calibri"/>
                <w:color w:val="000000"/>
                <w:sz w:val="20"/>
                <w:szCs w:val="22"/>
                <w:lang w:val="en-US"/>
              </w:rPr>
              <w:t>+</w:t>
            </w:r>
          </w:p>
        </w:tc>
        <w:tc>
          <w:tcPr>
            <w:tcW w:w="2694" w:type="dxa"/>
            <w:shd w:val="clear" w:color="auto" w:fill="auto"/>
          </w:tcPr>
          <w:p w14:paraId="2FD77B02" w14:textId="797D44CD" w:rsidR="00D55CB3" w:rsidRPr="00CE427E" w:rsidRDefault="00D55CB3" w:rsidP="00216F65">
            <w:pPr>
              <w:tabs>
                <w:tab w:val="clear" w:pos="567"/>
              </w:tabs>
              <w:autoSpaceDE w:val="0"/>
              <w:autoSpaceDN w:val="0"/>
              <w:adjustRightInd w:val="0"/>
              <w:spacing w:line="240" w:lineRule="auto"/>
              <w:rPr>
                <w:rFonts w:eastAsia="Calibri"/>
                <w:color w:val="000000"/>
                <w:sz w:val="20"/>
                <w:szCs w:val="22"/>
                <w:lang w:val="en-US"/>
              </w:rPr>
            </w:pPr>
            <w:r w:rsidRPr="00CE427E">
              <w:rPr>
                <w:rFonts w:eastAsia="Calibri"/>
                <w:color w:val="000000"/>
                <w:sz w:val="20"/>
                <w:szCs w:val="22"/>
                <w:lang w:val="en-US"/>
              </w:rPr>
              <w:t>20</w:t>
            </w:r>
            <w:r w:rsidR="00216F65">
              <w:rPr>
                <w:rFonts w:eastAsia="Calibri"/>
                <w:color w:val="000000"/>
                <w:sz w:val="20"/>
                <w:szCs w:val="22"/>
                <w:lang w:val="en-US"/>
              </w:rPr>
              <w:t> </w:t>
            </w:r>
            <w:r w:rsidRPr="00CE427E">
              <w:rPr>
                <w:rFonts w:eastAsia="Calibri"/>
                <w:color w:val="000000"/>
                <w:sz w:val="20"/>
                <w:szCs w:val="22"/>
                <w:lang w:val="en-US"/>
              </w:rPr>
              <w:t>mL</w:t>
            </w:r>
          </w:p>
        </w:tc>
        <w:tc>
          <w:tcPr>
            <w:tcW w:w="425" w:type="dxa"/>
            <w:shd w:val="clear" w:color="auto" w:fill="auto"/>
          </w:tcPr>
          <w:p w14:paraId="7896C108" w14:textId="77777777" w:rsidR="00D55CB3" w:rsidRPr="00CE427E" w:rsidRDefault="00D55CB3" w:rsidP="00CE427E">
            <w:pPr>
              <w:tabs>
                <w:tab w:val="clear" w:pos="567"/>
              </w:tabs>
              <w:autoSpaceDE w:val="0"/>
              <w:autoSpaceDN w:val="0"/>
              <w:adjustRightInd w:val="0"/>
              <w:spacing w:line="240" w:lineRule="auto"/>
              <w:rPr>
                <w:rFonts w:eastAsia="Calibri"/>
                <w:color w:val="000000"/>
                <w:sz w:val="20"/>
                <w:szCs w:val="22"/>
                <w:lang w:val="en-US"/>
              </w:rPr>
            </w:pPr>
            <w:r w:rsidRPr="00CE427E">
              <w:rPr>
                <w:rFonts w:eastAsia="Calibri"/>
                <w:color w:val="000000"/>
                <w:sz w:val="20"/>
                <w:szCs w:val="22"/>
                <w:lang w:val="en-US"/>
              </w:rPr>
              <w:t>=</w:t>
            </w:r>
          </w:p>
        </w:tc>
        <w:tc>
          <w:tcPr>
            <w:tcW w:w="3678" w:type="dxa"/>
            <w:shd w:val="clear" w:color="auto" w:fill="auto"/>
          </w:tcPr>
          <w:p w14:paraId="4A7850C8" w14:textId="55C55BF7" w:rsidR="00D55CB3" w:rsidRPr="00CE427E" w:rsidRDefault="00D55CB3" w:rsidP="00CE427E">
            <w:pPr>
              <w:tabs>
                <w:tab w:val="clear" w:pos="567"/>
              </w:tabs>
              <w:autoSpaceDE w:val="0"/>
              <w:autoSpaceDN w:val="0"/>
              <w:adjustRightInd w:val="0"/>
              <w:spacing w:line="240" w:lineRule="auto"/>
              <w:rPr>
                <w:rFonts w:eastAsia="Calibri"/>
                <w:color w:val="000000"/>
                <w:sz w:val="20"/>
                <w:szCs w:val="22"/>
                <w:lang w:val="en-US"/>
              </w:rPr>
            </w:pPr>
            <w:r w:rsidRPr="00CE427E">
              <w:rPr>
                <w:rFonts w:eastAsia="Calibri"/>
                <w:color w:val="000000"/>
                <w:sz w:val="20"/>
                <w:szCs w:val="22"/>
                <w:lang w:val="en-US"/>
              </w:rPr>
              <w:t>21</w:t>
            </w:r>
            <w:r w:rsidR="00216F65">
              <w:rPr>
                <w:rFonts w:eastAsia="Calibri"/>
                <w:color w:val="000000"/>
                <w:sz w:val="20"/>
                <w:szCs w:val="22"/>
                <w:lang w:val="en-US"/>
              </w:rPr>
              <w:t> </w:t>
            </w:r>
            <w:r w:rsidRPr="00CE427E">
              <w:rPr>
                <w:rFonts w:eastAsia="Calibri"/>
                <w:color w:val="000000"/>
                <w:sz w:val="20"/>
                <w:szCs w:val="22"/>
                <w:lang w:val="en-US"/>
              </w:rPr>
              <w:t>mg/mL</w:t>
            </w:r>
          </w:p>
        </w:tc>
      </w:tr>
    </w:tbl>
    <w:p w14:paraId="70E4235F" w14:textId="77777777" w:rsidR="00D55CB3" w:rsidRPr="00CE427E" w:rsidRDefault="00D55CB3" w:rsidP="006128F6">
      <w:pPr>
        <w:tabs>
          <w:tab w:val="clear" w:pos="567"/>
        </w:tabs>
        <w:autoSpaceDE w:val="0"/>
        <w:autoSpaceDN w:val="0"/>
        <w:adjustRightInd w:val="0"/>
        <w:spacing w:line="240" w:lineRule="auto"/>
        <w:rPr>
          <w:rFonts w:eastAsia="Calibri"/>
          <w:color w:val="000000"/>
          <w:szCs w:val="22"/>
        </w:rPr>
      </w:pPr>
    </w:p>
    <w:p w14:paraId="24F87598" w14:textId="6961C079" w:rsidR="0088602A" w:rsidRPr="00CE427E" w:rsidRDefault="00C067EC" w:rsidP="006128F6">
      <w:pPr>
        <w:tabs>
          <w:tab w:val="clear" w:pos="567"/>
        </w:tabs>
        <w:autoSpaceDE w:val="0"/>
        <w:autoSpaceDN w:val="0"/>
        <w:adjustRightInd w:val="0"/>
        <w:spacing w:line="240" w:lineRule="auto"/>
        <w:rPr>
          <w:rFonts w:eastAsia="Calibri"/>
          <w:color w:val="000000"/>
          <w:szCs w:val="22"/>
          <w:u w:val="single"/>
        </w:rPr>
      </w:pPr>
      <w:r w:rsidRPr="00CE427E">
        <w:rPr>
          <w:rFonts w:eastAsia="Calibri"/>
          <w:color w:val="000000"/>
          <w:szCs w:val="22"/>
          <w:u w:val="single"/>
        </w:rPr>
        <w:t xml:space="preserve">Instructions for </w:t>
      </w:r>
      <w:r w:rsidR="0097704B">
        <w:rPr>
          <w:rFonts w:eastAsia="Calibri"/>
          <w:color w:val="000000"/>
          <w:szCs w:val="22"/>
          <w:u w:val="single"/>
        </w:rPr>
        <w:t xml:space="preserve">aseptic </w:t>
      </w:r>
      <w:r w:rsidRPr="00CE427E">
        <w:rPr>
          <w:rFonts w:eastAsia="Calibri"/>
          <w:color w:val="000000"/>
          <w:szCs w:val="22"/>
          <w:u w:val="single"/>
        </w:rPr>
        <w:t>reconstitution</w:t>
      </w:r>
    </w:p>
    <w:p w14:paraId="5FDE4A27" w14:textId="77777777" w:rsidR="00C067EC" w:rsidRPr="00CE427E" w:rsidRDefault="00C067EC" w:rsidP="006128F6">
      <w:pPr>
        <w:tabs>
          <w:tab w:val="clear" w:pos="567"/>
        </w:tabs>
        <w:autoSpaceDE w:val="0"/>
        <w:autoSpaceDN w:val="0"/>
        <w:adjustRightInd w:val="0"/>
        <w:spacing w:line="240" w:lineRule="auto"/>
        <w:rPr>
          <w:rFonts w:eastAsia="Calibri"/>
          <w:color w:val="000000"/>
          <w:szCs w:val="22"/>
        </w:rPr>
      </w:pPr>
    </w:p>
    <w:p w14:paraId="6AC40AAE" w14:textId="63063468" w:rsidR="0088602A" w:rsidRPr="00CE427E" w:rsidRDefault="0088602A"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1) Using a sterile syringe, slowly inject </w:t>
      </w:r>
      <w:r w:rsidR="00AA064A" w:rsidRPr="00CE427E">
        <w:rPr>
          <w:rFonts w:eastAsia="Calibri"/>
          <w:color w:val="000000"/>
          <w:szCs w:val="22"/>
        </w:rPr>
        <w:t xml:space="preserve">the appropriate volume (as noted above) of </w:t>
      </w:r>
      <w:r w:rsidR="009B577F" w:rsidRPr="00CE427E">
        <w:rPr>
          <w:rFonts w:eastAsia="Calibri"/>
          <w:color w:val="000000"/>
          <w:szCs w:val="22"/>
        </w:rPr>
        <w:t xml:space="preserve">sterile </w:t>
      </w:r>
      <w:r w:rsidRPr="00CE427E">
        <w:rPr>
          <w:rFonts w:eastAsia="Calibri"/>
          <w:color w:val="000000"/>
          <w:szCs w:val="22"/>
        </w:rPr>
        <w:t>water for injection</w:t>
      </w:r>
      <w:r w:rsidR="00EE0352" w:rsidRPr="00CE427E">
        <w:rPr>
          <w:rFonts w:eastAsia="Calibri"/>
          <w:color w:val="000000"/>
          <w:szCs w:val="22"/>
        </w:rPr>
        <w:t>s</w:t>
      </w:r>
      <w:r w:rsidR="00AA064A" w:rsidRPr="00CE427E">
        <w:rPr>
          <w:rFonts w:eastAsia="Calibri"/>
          <w:color w:val="000000"/>
          <w:szCs w:val="22"/>
        </w:rPr>
        <w:t xml:space="preserve"> </w:t>
      </w:r>
      <w:r w:rsidRPr="00CE427E">
        <w:rPr>
          <w:rFonts w:eastAsia="Calibri"/>
          <w:color w:val="000000"/>
          <w:szCs w:val="22"/>
        </w:rPr>
        <w:t xml:space="preserve">in the vial containing the lyophilised </w:t>
      </w:r>
      <w:r w:rsidR="008E0EE9" w:rsidRPr="00CE427E">
        <w:rPr>
          <w:rFonts w:eastAsia="Calibri"/>
          <w:color w:val="000000"/>
          <w:szCs w:val="22"/>
        </w:rPr>
        <w:t>KANJINTI</w:t>
      </w:r>
      <w:r w:rsidRPr="00CE427E">
        <w:rPr>
          <w:rFonts w:eastAsia="Calibri"/>
          <w:color w:val="000000"/>
          <w:szCs w:val="22"/>
        </w:rPr>
        <w:t>, directing the stream into the lyophilised cake.</w:t>
      </w:r>
    </w:p>
    <w:p w14:paraId="5E531FC4" w14:textId="77777777" w:rsidR="00EE0352" w:rsidRPr="00CE427E" w:rsidRDefault="00EE0352" w:rsidP="006128F6">
      <w:pPr>
        <w:tabs>
          <w:tab w:val="clear" w:pos="567"/>
        </w:tabs>
        <w:autoSpaceDE w:val="0"/>
        <w:autoSpaceDN w:val="0"/>
        <w:adjustRightInd w:val="0"/>
        <w:spacing w:line="240" w:lineRule="auto"/>
        <w:rPr>
          <w:rFonts w:eastAsia="Calibri"/>
          <w:color w:val="000000"/>
          <w:szCs w:val="22"/>
        </w:rPr>
      </w:pPr>
    </w:p>
    <w:p w14:paraId="7DDA9378" w14:textId="0F71DAAF" w:rsidR="0088602A" w:rsidRPr="00CE427E" w:rsidRDefault="0088602A"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2) Swirl the vial gently to aid reconstitution. DO NOT SHAKE</w:t>
      </w:r>
      <w:r w:rsidR="00EE0352" w:rsidRPr="00CE427E">
        <w:rPr>
          <w:rFonts w:eastAsia="Calibri"/>
          <w:color w:val="000000"/>
          <w:szCs w:val="22"/>
        </w:rPr>
        <w:t>.</w:t>
      </w:r>
    </w:p>
    <w:p w14:paraId="45584FC4" w14:textId="77777777" w:rsidR="0088602A" w:rsidRPr="00CE427E" w:rsidRDefault="0088602A" w:rsidP="006128F6">
      <w:pPr>
        <w:tabs>
          <w:tab w:val="clear" w:pos="567"/>
        </w:tabs>
        <w:autoSpaceDE w:val="0"/>
        <w:autoSpaceDN w:val="0"/>
        <w:adjustRightInd w:val="0"/>
        <w:spacing w:line="240" w:lineRule="auto"/>
        <w:rPr>
          <w:rFonts w:eastAsia="Calibri"/>
          <w:color w:val="000000"/>
          <w:szCs w:val="22"/>
        </w:rPr>
      </w:pPr>
    </w:p>
    <w:p w14:paraId="67F8DEB4" w14:textId="61F5360D" w:rsidR="0088602A" w:rsidRPr="00CE427E" w:rsidRDefault="0088602A"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Slight foaming of the product upon reconstitution is not unusual. Allow the vial to stand undisturbed for approximately 5 minutes. The reconstituted </w:t>
      </w:r>
      <w:r w:rsidR="008E0EE9" w:rsidRPr="00CE427E">
        <w:rPr>
          <w:rFonts w:eastAsia="Calibri"/>
          <w:color w:val="000000"/>
          <w:szCs w:val="22"/>
        </w:rPr>
        <w:t>KANJINTI</w:t>
      </w:r>
      <w:r w:rsidRPr="00CE427E">
        <w:rPr>
          <w:rFonts w:eastAsia="Calibri"/>
          <w:color w:val="000000"/>
          <w:szCs w:val="22"/>
        </w:rPr>
        <w:t xml:space="preserve"> results in a colourless to pale yellow transparent solution and should be essentially free of visible particulates.</w:t>
      </w:r>
    </w:p>
    <w:p w14:paraId="51848AB0" w14:textId="77777777" w:rsidR="0088602A" w:rsidRPr="00CE427E" w:rsidRDefault="0088602A" w:rsidP="006128F6">
      <w:pPr>
        <w:tabs>
          <w:tab w:val="clear" w:pos="567"/>
        </w:tabs>
        <w:autoSpaceDE w:val="0"/>
        <w:autoSpaceDN w:val="0"/>
        <w:adjustRightInd w:val="0"/>
        <w:spacing w:line="240" w:lineRule="auto"/>
        <w:rPr>
          <w:rFonts w:eastAsia="Calibri"/>
          <w:color w:val="000000"/>
          <w:szCs w:val="22"/>
        </w:rPr>
      </w:pPr>
    </w:p>
    <w:p w14:paraId="07C81574" w14:textId="21EBC382" w:rsidR="0097704B" w:rsidRPr="00CE427E" w:rsidRDefault="0097704B" w:rsidP="0097704B">
      <w:pPr>
        <w:tabs>
          <w:tab w:val="clear" w:pos="567"/>
        </w:tabs>
        <w:autoSpaceDE w:val="0"/>
        <w:autoSpaceDN w:val="0"/>
        <w:adjustRightInd w:val="0"/>
        <w:spacing w:line="240" w:lineRule="auto"/>
        <w:rPr>
          <w:rFonts w:eastAsia="Calibri"/>
          <w:color w:val="000000"/>
          <w:szCs w:val="22"/>
        </w:rPr>
      </w:pPr>
      <w:r w:rsidRPr="00D6287B">
        <w:rPr>
          <w:rFonts w:eastAsia="Calibri"/>
          <w:color w:val="000000"/>
          <w:szCs w:val="22"/>
          <w:u w:val="single"/>
        </w:rPr>
        <w:t>Instructions for aseptic dilution of the reconstituted solution</w:t>
      </w:r>
      <w:r w:rsidRPr="00CE427E">
        <w:rPr>
          <w:rFonts w:eastAsia="Calibri"/>
          <w:color w:val="000000"/>
          <w:szCs w:val="22"/>
        </w:rPr>
        <w:t xml:space="preserve"> </w:t>
      </w:r>
    </w:p>
    <w:p w14:paraId="6CB806D3" w14:textId="77777777" w:rsidR="0097704B" w:rsidRPr="00CE427E" w:rsidRDefault="0097704B" w:rsidP="0097704B">
      <w:pPr>
        <w:tabs>
          <w:tab w:val="clear" w:pos="567"/>
        </w:tabs>
        <w:autoSpaceDE w:val="0"/>
        <w:autoSpaceDN w:val="0"/>
        <w:adjustRightInd w:val="0"/>
        <w:spacing w:line="240" w:lineRule="auto"/>
        <w:rPr>
          <w:rFonts w:eastAsia="Calibri"/>
          <w:color w:val="000000"/>
          <w:szCs w:val="22"/>
        </w:rPr>
      </w:pPr>
    </w:p>
    <w:p w14:paraId="64C95FF8" w14:textId="42CB2E9D" w:rsidR="0088602A" w:rsidRPr="00CE427E" w:rsidRDefault="0088602A" w:rsidP="0097704B">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Determine the volume of the solution required:</w:t>
      </w:r>
    </w:p>
    <w:p w14:paraId="1C73ABBA" w14:textId="77777777" w:rsidR="0088602A" w:rsidRPr="00CE427E" w:rsidRDefault="0088602A" w:rsidP="005477BB">
      <w:pPr>
        <w:numPr>
          <w:ilvl w:val="0"/>
          <w:numId w:val="10"/>
        </w:numPr>
        <w:tabs>
          <w:tab w:val="clear" w:pos="567"/>
        </w:tabs>
        <w:autoSpaceDE w:val="0"/>
        <w:autoSpaceDN w:val="0"/>
        <w:adjustRightInd w:val="0"/>
        <w:spacing w:line="240" w:lineRule="auto"/>
        <w:ind w:left="567" w:hanging="567"/>
        <w:contextualSpacing/>
        <w:rPr>
          <w:rFonts w:eastAsia="Calibri"/>
          <w:color w:val="000000"/>
          <w:szCs w:val="22"/>
        </w:rPr>
      </w:pPr>
      <w:r w:rsidRPr="00CE427E">
        <w:rPr>
          <w:rFonts w:eastAsia="Calibri"/>
          <w:color w:val="000000"/>
          <w:szCs w:val="22"/>
        </w:rPr>
        <w:t>based on a loading dose of 4 mg trastuzumab/kg body weight, or a subsequent weekly dose of 2 mg trastuzumab/kg body weight:</w:t>
      </w:r>
    </w:p>
    <w:p w14:paraId="1C8FB100" w14:textId="77777777" w:rsidR="0088602A" w:rsidRPr="00CE427E" w:rsidRDefault="0088602A" w:rsidP="006128F6">
      <w:pPr>
        <w:tabs>
          <w:tab w:val="clear" w:pos="567"/>
        </w:tabs>
        <w:autoSpaceDE w:val="0"/>
        <w:autoSpaceDN w:val="0"/>
        <w:adjustRightInd w:val="0"/>
        <w:spacing w:line="240" w:lineRule="auto"/>
        <w:rPr>
          <w:rFonts w:eastAsia="Calibri"/>
          <w:b/>
          <w:bCs/>
          <w:color w:val="000000"/>
          <w:szCs w:val="22"/>
        </w:rPr>
      </w:pPr>
    </w:p>
    <w:p w14:paraId="4F8609D7" w14:textId="0F65F75D" w:rsidR="0088602A" w:rsidRPr="00CE427E" w:rsidRDefault="0088602A" w:rsidP="006128F6">
      <w:pPr>
        <w:tabs>
          <w:tab w:val="clear" w:pos="567"/>
        </w:tabs>
        <w:autoSpaceDE w:val="0"/>
        <w:autoSpaceDN w:val="0"/>
        <w:adjustRightInd w:val="0"/>
        <w:spacing w:line="240" w:lineRule="auto"/>
        <w:rPr>
          <w:rFonts w:eastAsia="Calibri"/>
          <w:color w:val="000000"/>
          <w:szCs w:val="22"/>
          <w:u w:val="single"/>
        </w:rPr>
      </w:pPr>
      <w:r w:rsidRPr="00CE427E">
        <w:rPr>
          <w:rFonts w:eastAsia="Calibri"/>
          <w:b/>
          <w:bCs/>
          <w:color w:val="000000"/>
          <w:szCs w:val="22"/>
        </w:rPr>
        <w:t xml:space="preserve">Volume </w:t>
      </w:r>
      <w:r w:rsidRPr="00CE427E">
        <w:rPr>
          <w:rFonts w:eastAsia="Calibri"/>
          <w:color w:val="000000"/>
          <w:szCs w:val="22"/>
        </w:rPr>
        <w:t>(mL) = </w:t>
      </w:r>
      <w:r w:rsidRPr="00CE427E">
        <w:rPr>
          <w:rFonts w:eastAsia="Calibri"/>
          <w:b/>
          <w:bCs/>
          <w:color w:val="000000"/>
          <w:szCs w:val="22"/>
          <w:u w:val="single"/>
        </w:rPr>
        <w:t xml:space="preserve">Body weight </w:t>
      </w:r>
      <w:r w:rsidRPr="00CE427E">
        <w:rPr>
          <w:rFonts w:eastAsia="Calibri"/>
          <w:color w:val="000000"/>
          <w:szCs w:val="22"/>
          <w:u w:val="single"/>
        </w:rPr>
        <w:t xml:space="preserve">(kg) </w:t>
      </w:r>
      <w:r w:rsidR="003F5C29">
        <w:rPr>
          <w:rFonts w:eastAsia="Calibri"/>
          <w:color w:val="000000"/>
          <w:szCs w:val="22"/>
          <w:u w:val="single"/>
        </w:rPr>
        <w:t>×</w:t>
      </w:r>
      <w:r w:rsidRPr="00CE427E">
        <w:rPr>
          <w:rFonts w:eastAsia="Calibri"/>
          <w:color w:val="000000"/>
          <w:szCs w:val="22"/>
          <w:u w:val="single"/>
        </w:rPr>
        <w:t xml:space="preserve"> </w:t>
      </w:r>
      <w:r w:rsidRPr="00CE427E">
        <w:rPr>
          <w:rFonts w:eastAsia="Calibri"/>
          <w:b/>
          <w:bCs/>
          <w:color w:val="000000"/>
          <w:szCs w:val="22"/>
          <w:u w:val="single"/>
        </w:rPr>
        <w:t xml:space="preserve">dose </w:t>
      </w:r>
      <w:r w:rsidRPr="00CE427E">
        <w:rPr>
          <w:rFonts w:eastAsia="Calibri"/>
          <w:color w:val="000000"/>
          <w:szCs w:val="22"/>
          <w:u w:val="single"/>
        </w:rPr>
        <w:t>(</w:t>
      </w:r>
      <w:r w:rsidRPr="00CE427E">
        <w:rPr>
          <w:rFonts w:eastAsia="Calibri"/>
          <w:b/>
          <w:bCs/>
          <w:color w:val="000000"/>
          <w:szCs w:val="22"/>
          <w:u w:val="single"/>
        </w:rPr>
        <w:t>4 </w:t>
      </w:r>
      <w:r w:rsidRPr="00CE427E">
        <w:rPr>
          <w:rFonts w:eastAsia="Calibri"/>
          <w:color w:val="000000"/>
          <w:szCs w:val="22"/>
          <w:u w:val="single"/>
        </w:rPr>
        <w:t xml:space="preserve">mg/kg for loading or </w:t>
      </w:r>
      <w:r w:rsidRPr="00CE427E">
        <w:rPr>
          <w:rFonts w:eastAsia="Calibri"/>
          <w:b/>
          <w:bCs/>
          <w:color w:val="000000"/>
          <w:szCs w:val="22"/>
          <w:u w:val="single"/>
        </w:rPr>
        <w:t>2 </w:t>
      </w:r>
      <w:r w:rsidRPr="00CE427E">
        <w:rPr>
          <w:rFonts w:eastAsia="Calibri"/>
          <w:color w:val="000000"/>
          <w:szCs w:val="22"/>
          <w:u w:val="single"/>
        </w:rPr>
        <w:t>mg/kg for maintenance)</w:t>
      </w:r>
    </w:p>
    <w:p w14:paraId="643469D3" w14:textId="77777777" w:rsidR="0088602A" w:rsidRPr="00CE427E" w:rsidRDefault="0088602A" w:rsidP="006128F6">
      <w:pPr>
        <w:tabs>
          <w:tab w:val="clear" w:pos="567"/>
        </w:tabs>
        <w:autoSpaceDE w:val="0"/>
        <w:autoSpaceDN w:val="0"/>
        <w:adjustRightInd w:val="0"/>
        <w:spacing w:line="240" w:lineRule="auto"/>
        <w:ind w:left="2269"/>
        <w:rPr>
          <w:rFonts w:eastAsia="Calibri"/>
          <w:color w:val="000000"/>
          <w:szCs w:val="22"/>
        </w:rPr>
      </w:pPr>
      <w:r w:rsidRPr="00CE427E">
        <w:rPr>
          <w:rFonts w:eastAsia="Calibri"/>
          <w:b/>
          <w:color w:val="000000"/>
          <w:szCs w:val="22"/>
        </w:rPr>
        <w:t>21 </w:t>
      </w:r>
      <w:r w:rsidRPr="00CE427E">
        <w:rPr>
          <w:rFonts w:eastAsia="Calibri"/>
          <w:color w:val="000000"/>
          <w:szCs w:val="22"/>
        </w:rPr>
        <w:t>(mg/mL, concentration of reconstituted solution)</w:t>
      </w:r>
    </w:p>
    <w:p w14:paraId="49CCB2FF" w14:textId="77777777" w:rsidR="0088602A" w:rsidRPr="00CE427E" w:rsidRDefault="0088602A" w:rsidP="006128F6">
      <w:pPr>
        <w:tabs>
          <w:tab w:val="clear" w:pos="567"/>
        </w:tabs>
        <w:autoSpaceDE w:val="0"/>
        <w:autoSpaceDN w:val="0"/>
        <w:adjustRightInd w:val="0"/>
        <w:spacing w:line="240" w:lineRule="auto"/>
        <w:rPr>
          <w:rFonts w:eastAsia="Calibri"/>
          <w:color w:val="000000"/>
          <w:szCs w:val="22"/>
          <w:u w:val="single"/>
        </w:rPr>
      </w:pPr>
    </w:p>
    <w:p w14:paraId="4CFBB754" w14:textId="77777777" w:rsidR="0088602A" w:rsidRPr="00CE427E" w:rsidRDefault="0088602A" w:rsidP="005477BB">
      <w:pPr>
        <w:numPr>
          <w:ilvl w:val="0"/>
          <w:numId w:val="10"/>
        </w:numPr>
        <w:tabs>
          <w:tab w:val="clear" w:pos="567"/>
        </w:tabs>
        <w:autoSpaceDE w:val="0"/>
        <w:autoSpaceDN w:val="0"/>
        <w:adjustRightInd w:val="0"/>
        <w:spacing w:line="240" w:lineRule="auto"/>
        <w:ind w:left="567" w:hanging="567"/>
        <w:contextualSpacing/>
        <w:rPr>
          <w:rFonts w:eastAsia="Calibri"/>
          <w:color w:val="000000"/>
          <w:szCs w:val="22"/>
        </w:rPr>
      </w:pPr>
      <w:r w:rsidRPr="00CE427E">
        <w:rPr>
          <w:rFonts w:eastAsia="Calibri"/>
          <w:color w:val="000000"/>
          <w:szCs w:val="22"/>
        </w:rPr>
        <w:t>based on a loading dose of 8 mg trastuzumab/kg body weight, or a subsequent 3</w:t>
      </w:r>
      <w:r w:rsidRPr="00CE427E">
        <w:rPr>
          <w:rFonts w:eastAsia="Calibri"/>
          <w:color w:val="000000"/>
          <w:szCs w:val="22"/>
        </w:rPr>
        <w:noBreakHyphen/>
        <w:t>weekly dose of 6 mg trastuzumab/kg body weight:</w:t>
      </w:r>
    </w:p>
    <w:p w14:paraId="6FB4F16C" w14:textId="77777777" w:rsidR="0088602A" w:rsidRPr="00CE427E" w:rsidRDefault="0088602A" w:rsidP="006128F6">
      <w:pPr>
        <w:tabs>
          <w:tab w:val="clear" w:pos="567"/>
        </w:tabs>
        <w:autoSpaceDE w:val="0"/>
        <w:autoSpaceDN w:val="0"/>
        <w:adjustRightInd w:val="0"/>
        <w:spacing w:line="240" w:lineRule="auto"/>
        <w:contextualSpacing/>
        <w:rPr>
          <w:rFonts w:eastAsia="Calibri"/>
          <w:color w:val="000000"/>
          <w:szCs w:val="22"/>
        </w:rPr>
      </w:pPr>
    </w:p>
    <w:p w14:paraId="0B9EA942" w14:textId="55CF5C16" w:rsidR="0088602A" w:rsidRPr="00CE427E" w:rsidRDefault="0088602A" w:rsidP="0097704B">
      <w:pPr>
        <w:keepNext/>
        <w:keepLines/>
        <w:tabs>
          <w:tab w:val="clear" w:pos="567"/>
        </w:tabs>
        <w:autoSpaceDE w:val="0"/>
        <w:autoSpaceDN w:val="0"/>
        <w:adjustRightInd w:val="0"/>
        <w:spacing w:line="240" w:lineRule="auto"/>
        <w:rPr>
          <w:rFonts w:eastAsia="Calibri"/>
          <w:color w:val="000000"/>
          <w:szCs w:val="22"/>
        </w:rPr>
      </w:pPr>
      <w:r w:rsidRPr="00CE427E">
        <w:rPr>
          <w:rFonts w:eastAsia="Calibri"/>
          <w:b/>
          <w:bCs/>
          <w:color w:val="000000"/>
          <w:szCs w:val="22"/>
        </w:rPr>
        <w:t xml:space="preserve">Volume </w:t>
      </w:r>
      <w:r w:rsidRPr="00CE427E">
        <w:rPr>
          <w:rFonts w:eastAsia="Calibri"/>
          <w:color w:val="000000"/>
          <w:szCs w:val="22"/>
        </w:rPr>
        <w:t>(mL) = </w:t>
      </w:r>
      <w:r w:rsidRPr="00CE427E">
        <w:rPr>
          <w:rFonts w:eastAsia="Calibri"/>
          <w:b/>
          <w:bCs/>
          <w:color w:val="000000"/>
          <w:szCs w:val="22"/>
          <w:u w:val="single"/>
        </w:rPr>
        <w:t xml:space="preserve">Body weight </w:t>
      </w:r>
      <w:r w:rsidRPr="00CE427E">
        <w:rPr>
          <w:rFonts w:eastAsia="Calibri"/>
          <w:color w:val="000000"/>
          <w:szCs w:val="22"/>
          <w:u w:val="single"/>
        </w:rPr>
        <w:t xml:space="preserve">(kg) </w:t>
      </w:r>
      <w:r w:rsidR="003F5C29">
        <w:rPr>
          <w:rFonts w:eastAsia="Calibri"/>
          <w:color w:val="000000"/>
          <w:szCs w:val="22"/>
          <w:u w:val="single"/>
        </w:rPr>
        <w:t>×</w:t>
      </w:r>
      <w:r w:rsidRPr="00CE427E">
        <w:rPr>
          <w:rFonts w:eastAsia="Calibri"/>
          <w:color w:val="000000"/>
          <w:szCs w:val="22"/>
          <w:u w:val="single"/>
        </w:rPr>
        <w:t xml:space="preserve"> </w:t>
      </w:r>
      <w:r w:rsidRPr="00CE427E">
        <w:rPr>
          <w:rFonts w:eastAsia="Calibri"/>
          <w:b/>
          <w:bCs/>
          <w:color w:val="000000"/>
          <w:szCs w:val="22"/>
          <w:u w:val="single"/>
        </w:rPr>
        <w:t xml:space="preserve">dose </w:t>
      </w:r>
      <w:r w:rsidRPr="00CE427E">
        <w:rPr>
          <w:rFonts w:eastAsia="Calibri"/>
          <w:color w:val="000000"/>
          <w:szCs w:val="22"/>
          <w:u w:val="single"/>
        </w:rPr>
        <w:t>(</w:t>
      </w:r>
      <w:r w:rsidRPr="00CE427E">
        <w:rPr>
          <w:rFonts w:eastAsia="Calibri"/>
          <w:b/>
          <w:bCs/>
          <w:color w:val="000000"/>
          <w:szCs w:val="22"/>
          <w:u w:val="single"/>
        </w:rPr>
        <w:t>8 </w:t>
      </w:r>
      <w:r w:rsidRPr="00CE427E">
        <w:rPr>
          <w:rFonts w:eastAsia="Calibri"/>
          <w:color w:val="000000"/>
          <w:szCs w:val="22"/>
          <w:u w:val="single"/>
        </w:rPr>
        <w:t xml:space="preserve">mg/kg for loading or </w:t>
      </w:r>
      <w:r w:rsidRPr="00CE427E">
        <w:rPr>
          <w:rFonts w:eastAsia="Calibri"/>
          <w:b/>
          <w:bCs/>
          <w:color w:val="000000"/>
          <w:szCs w:val="22"/>
          <w:u w:val="single"/>
        </w:rPr>
        <w:t>6 </w:t>
      </w:r>
      <w:r w:rsidRPr="00CE427E">
        <w:rPr>
          <w:rFonts w:eastAsia="Calibri"/>
          <w:color w:val="000000"/>
          <w:szCs w:val="22"/>
          <w:u w:val="single"/>
        </w:rPr>
        <w:t>mg/kg for maintenance</w:t>
      </w:r>
      <w:r w:rsidRPr="00CE427E">
        <w:rPr>
          <w:rFonts w:eastAsia="Calibri"/>
          <w:color w:val="000000"/>
          <w:szCs w:val="22"/>
        </w:rPr>
        <w:t>)</w:t>
      </w:r>
    </w:p>
    <w:p w14:paraId="60D0078A" w14:textId="77777777" w:rsidR="0088602A" w:rsidRPr="00CE427E" w:rsidRDefault="0088602A" w:rsidP="0097704B">
      <w:pPr>
        <w:keepNext/>
        <w:keepLines/>
        <w:tabs>
          <w:tab w:val="clear" w:pos="567"/>
        </w:tabs>
        <w:autoSpaceDE w:val="0"/>
        <w:autoSpaceDN w:val="0"/>
        <w:adjustRightInd w:val="0"/>
        <w:spacing w:line="240" w:lineRule="auto"/>
        <w:ind w:left="1440" w:firstLine="720"/>
        <w:rPr>
          <w:rFonts w:eastAsia="Calibri"/>
          <w:color w:val="000000"/>
          <w:szCs w:val="22"/>
        </w:rPr>
      </w:pPr>
      <w:r w:rsidRPr="00CE427E">
        <w:rPr>
          <w:rFonts w:eastAsia="Calibri"/>
          <w:b/>
          <w:bCs/>
          <w:color w:val="000000"/>
          <w:szCs w:val="22"/>
        </w:rPr>
        <w:t>21 </w:t>
      </w:r>
      <w:r w:rsidRPr="00CE427E">
        <w:rPr>
          <w:rFonts w:eastAsia="Calibri"/>
          <w:color w:val="000000"/>
          <w:szCs w:val="22"/>
        </w:rPr>
        <w:t>(mg/mL, concentration of reconstituted solution)</w:t>
      </w:r>
    </w:p>
    <w:p w14:paraId="27BE2CAD" w14:textId="77777777" w:rsidR="0088602A" w:rsidRPr="00CE427E" w:rsidRDefault="0088602A" w:rsidP="006128F6">
      <w:pPr>
        <w:tabs>
          <w:tab w:val="clear" w:pos="567"/>
        </w:tabs>
        <w:autoSpaceDE w:val="0"/>
        <w:autoSpaceDN w:val="0"/>
        <w:adjustRightInd w:val="0"/>
        <w:spacing w:line="240" w:lineRule="auto"/>
        <w:rPr>
          <w:rFonts w:eastAsia="Calibri"/>
          <w:color w:val="000000"/>
          <w:szCs w:val="22"/>
        </w:rPr>
      </w:pPr>
    </w:p>
    <w:p w14:paraId="71BD6D71" w14:textId="4DA07E68" w:rsidR="0097704B" w:rsidRPr="000C0476" w:rsidRDefault="0097704B" w:rsidP="0097704B">
      <w:pPr>
        <w:tabs>
          <w:tab w:val="clear" w:pos="567"/>
        </w:tabs>
        <w:autoSpaceDE w:val="0"/>
        <w:autoSpaceDN w:val="0"/>
        <w:adjustRightInd w:val="0"/>
        <w:spacing w:line="240" w:lineRule="auto"/>
        <w:rPr>
          <w:rFonts w:eastAsia="Calibri"/>
          <w:color w:val="000000"/>
          <w:szCs w:val="22"/>
        </w:rPr>
      </w:pPr>
      <w:r w:rsidRPr="000C0476">
        <w:rPr>
          <w:rFonts w:eastAsia="Calibri"/>
          <w:color w:val="000000"/>
          <w:szCs w:val="22"/>
        </w:rPr>
        <w:t xml:space="preserve">The appropriate amount of solution should be withdrawn from the vial </w:t>
      </w:r>
      <w:r w:rsidR="00FE541E" w:rsidRPr="00CE427E">
        <w:rPr>
          <w:bCs/>
          <w:color w:val="000000"/>
          <w:shd w:val="clear" w:color="auto" w:fill="FFFFFF"/>
        </w:rPr>
        <w:t xml:space="preserve">using a sterile needle and syringe </w:t>
      </w:r>
      <w:r w:rsidRPr="000C0476">
        <w:rPr>
          <w:rFonts w:eastAsia="Calibri"/>
          <w:color w:val="000000"/>
          <w:szCs w:val="22"/>
        </w:rPr>
        <w:t xml:space="preserve">and added to an infusion bag containing 250 mL of </w:t>
      </w:r>
      <w:bookmarkStart w:id="2" w:name="_Hlk83641089"/>
      <w:r w:rsidR="00AE0CEF">
        <w:t xml:space="preserve">sodium </w:t>
      </w:r>
      <w:bookmarkEnd w:id="2"/>
      <w:r w:rsidR="00AE0CEF">
        <w:t>chloride 9 mg/mL (0.9%) solution for injection</w:t>
      </w:r>
      <w:r w:rsidRPr="000C0476">
        <w:rPr>
          <w:rFonts w:eastAsia="Calibri"/>
          <w:color w:val="000000"/>
          <w:szCs w:val="22"/>
        </w:rPr>
        <w:t>. Do not use with glucose</w:t>
      </w:r>
      <w:r w:rsidRPr="000C0476">
        <w:rPr>
          <w:rFonts w:eastAsia="Calibri"/>
          <w:color w:val="000000"/>
          <w:szCs w:val="22"/>
        </w:rPr>
        <w:noBreakHyphen/>
        <w:t xml:space="preserve">containing solutions (see section 6.2). The bag should be gently inverted to mix the solution in order to avoid foaming. </w:t>
      </w:r>
    </w:p>
    <w:p w14:paraId="56309803" w14:textId="77777777" w:rsidR="0088602A" w:rsidRPr="00CE427E" w:rsidRDefault="0088602A" w:rsidP="006128F6">
      <w:pPr>
        <w:tabs>
          <w:tab w:val="clear" w:pos="567"/>
        </w:tabs>
        <w:autoSpaceDE w:val="0"/>
        <w:autoSpaceDN w:val="0"/>
        <w:adjustRightInd w:val="0"/>
        <w:spacing w:line="240" w:lineRule="auto"/>
        <w:rPr>
          <w:rFonts w:eastAsia="Calibri"/>
          <w:color w:val="000000"/>
          <w:szCs w:val="22"/>
        </w:rPr>
      </w:pPr>
    </w:p>
    <w:p w14:paraId="5D84066F" w14:textId="28D3C21E" w:rsidR="0088602A" w:rsidRPr="00CE427E" w:rsidRDefault="0088602A"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Parenteral medicinal products should be inspected visually for particulate matter and discolo</w:t>
      </w:r>
      <w:r w:rsidR="00216F14" w:rsidRPr="00CE427E">
        <w:rPr>
          <w:rFonts w:eastAsia="Calibri"/>
          <w:color w:val="000000"/>
          <w:szCs w:val="22"/>
        </w:rPr>
        <w:t>u</w:t>
      </w:r>
      <w:r w:rsidRPr="00CE427E">
        <w:rPr>
          <w:rFonts w:eastAsia="Calibri"/>
          <w:color w:val="000000"/>
          <w:szCs w:val="22"/>
        </w:rPr>
        <w:t>ration prior to administration.</w:t>
      </w:r>
    </w:p>
    <w:p w14:paraId="33E34375" w14:textId="77777777" w:rsidR="0088602A" w:rsidRPr="00CE427E" w:rsidRDefault="0088602A" w:rsidP="006128F6">
      <w:pPr>
        <w:tabs>
          <w:tab w:val="clear" w:pos="567"/>
        </w:tabs>
        <w:autoSpaceDE w:val="0"/>
        <w:autoSpaceDN w:val="0"/>
        <w:adjustRightInd w:val="0"/>
        <w:spacing w:line="240" w:lineRule="auto"/>
        <w:rPr>
          <w:rFonts w:eastAsia="Calibri"/>
          <w:color w:val="000000"/>
          <w:szCs w:val="22"/>
        </w:rPr>
      </w:pPr>
    </w:p>
    <w:p w14:paraId="309FAFAE" w14:textId="231EF759" w:rsidR="0088602A" w:rsidRPr="00CE427E" w:rsidRDefault="0088602A" w:rsidP="006128F6">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No incompatibilities between </w:t>
      </w:r>
      <w:r w:rsidR="008E0EE9" w:rsidRPr="00CE427E">
        <w:rPr>
          <w:rFonts w:eastAsia="Calibri"/>
          <w:color w:val="000000"/>
          <w:szCs w:val="22"/>
        </w:rPr>
        <w:t>KANJINTI</w:t>
      </w:r>
      <w:r w:rsidRPr="00CE427E">
        <w:rPr>
          <w:rFonts w:eastAsia="Calibri"/>
          <w:color w:val="000000"/>
          <w:szCs w:val="22"/>
        </w:rPr>
        <w:t xml:space="preserve"> and polyvinylchloride, polyethylene or polypropylene bags have been observed.</w:t>
      </w:r>
    </w:p>
    <w:p w14:paraId="79236752" w14:textId="77777777" w:rsidR="00925686" w:rsidRPr="006128F6" w:rsidRDefault="00925686" w:rsidP="006128F6">
      <w:pPr>
        <w:spacing w:line="240" w:lineRule="auto"/>
        <w:rPr>
          <w:szCs w:val="22"/>
        </w:rPr>
      </w:pPr>
    </w:p>
    <w:p w14:paraId="16BBBC1C" w14:textId="77777777" w:rsidR="00AF7903" w:rsidRPr="00CE427E" w:rsidRDefault="00AF7903" w:rsidP="00AF7903">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KANJINTI is for single</w:t>
      </w:r>
      <w:r w:rsidRPr="00CE427E">
        <w:rPr>
          <w:rFonts w:eastAsia="Calibri"/>
          <w:color w:val="000000"/>
          <w:szCs w:val="22"/>
        </w:rPr>
        <w:noBreakHyphen/>
        <w:t>use only, as the product contains no preservatives. Any unused medicinal product or waste material should be disposed of in accordance with local requirements.</w:t>
      </w:r>
    </w:p>
    <w:p w14:paraId="5E3FAF12" w14:textId="77777777" w:rsidR="008D15B3" w:rsidRDefault="008D15B3" w:rsidP="006128F6">
      <w:pPr>
        <w:spacing w:line="240" w:lineRule="auto"/>
        <w:rPr>
          <w:szCs w:val="22"/>
        </w:rPr>
      </w:pPr>
    </w:p>
    <w:p w14:paraId="3B2C4820" w14:textId="77777777" w:rsidR="00AF7903" w:rsidRPr="006128F6" w:rsidRDefault="00AF7903" w:rsidP="006128F6">
      <w:pPr>
        <w:spacing w:line="240" w:lineRule="auto"/>
        <w:rPr>
          <w:szCs w:val="22"/>
        </w:rPr>
      </w:pPr>
    </w:p>
    <w:p w14:paraId="4C2C3029" w14:textId="77777777" w:rsidR="00925686" w:rsidRPr="006128F6" w:rsidRDefault="00925686" w:rsidP="006128F6">
      <w:pPr>
        <w:keepNext/>
        <w:spacing w:line="240" w:lineRule="auto"/>
        <w:ind w:left="567" w:hanging="567"/>
        <w:rPr>
          <w:szCs w:val="22"/>
        </w:rPr>
      </w:pPr>
      <w:r w:rsidRPr="006128F6">
        <w:rPr>
          <w:b/>
          <w:szCs w:val="22"/>
        </w:rPr>
        <w:lastRenderedPageBreak/>
        <w:t>7.</w:t>
      </w:r>
      <w:r w:rsidRPr="006128F6">
        <w:rPr>
          <w:b/>
          <w:szCs w:val="22"/>
        </w:rPr>
        <w:tab/>
        <w:t>MARKETING AUTHORISATION HOLDER</w:t>
      </w:r>
    </w:p>
    <w:p w14:paraId="564080F1" w14:textId="77777777" w:rsidR="00925686" w:rsidRPr="006128F6" w:rsidRDefault="00925686" w:rsidP="006128F6">
      <w:pPr>
        <w:keepNext/>
        <w:spacing w:line="240" w:lineRule="auto"/>
        <w:rPr>
          <w:szCs w:val="22"/>
        </w:rPr>
      </w:pPr>
    </w:p>
    <w:p w14:paraId="039F748C" w14:textId="77777777" w:rsidR="002559ED" w:rsidRPr="006128F6" w:rsidRDefault="002559ED" w:rsidP="006128F6">
      <w:pPr>
        <w:spacing w:line="240" w:lineRule="auto"/>
      </w:pPr>
      <w:r w:rsidRPr="006128F6">
        <w:t>Amgen Europe B.V.</w:t>
      </w:r>
    </w:p>
    <w:p w14:paraId="1746CDEB" w14:textId="77777777" w:rsidR="002559ED" w:rsidRPr="006128F6" w:rsidRDefault="002559ED" w:rsidP="006128F6">
      <w:pPr>
        <w:spacing w:line="240" w:lineRule="auto"/>
      </w:pPr>
      <w:r w:rsidRPr="006128F6">
        <w:t>Minervum 7061</w:t>
      </w:r>
    </w:p>
    <w:p w14:paraId="1256668C" w14:textId="77777777" w:rsidR="002559ED" w:rsidRPr="006128F6" w:rsidRDefault="002559ED" w:rsidP="006128F6">
      <w:pPr>
        <w:spacing w:line="240" w:lineRule="auto"/>
      </w:pPr>
      <w:r w:rsidRPr="006128F6">
        <w:t>NL</w:t>
      </w:r>
      <w:r w:rsidRPr="006128F6">
        <w:noBreakHyphen/>
        <w:t>4817 ZK Breda</w:t>
      </w:r>
    </w:p>
    <w:p w14:paraId="17A8C8DA" w14:textId="77777777" w:rsidR="002559ED" w:rsidRPr="006128F6" w:rsidRDefault="002559ED" w:rsidP="006128F6">
      <w:pPr>
        <w:spacing w:line="240" w:lineRule="auto"/>
      </w:pPr>
      <w:r w:rsidRPr="006128F6">
        <w:t>The Netherlands</w:t>
      </w:r>
    </w:p>
    <w:p w14:paraId="412E0B51" w14:textId="7996964C" w:rsidR="00925686" w:rsidRPr="006128F6" w:rsidRDefault="00925686" w:rsidP="006128F6">
      <w:pPr>
        <w:spacing w:line="240" w:lineRule="auto"/>
        <w:rPr>
          <w:szCs w:val="22"/>
        </w:rPr>
      </w:pPr>
    </w:p>
    <w:p w14:paraId="2110E689" w14:textId="77777777" w:rsidR="00482624" w:rsidRPr="006128F6" w:rsidRDefault="00482624" w:rsidP="006128F6">
      <w:pPr>
        <w:spacing w:line="240" w:lineRule="auto"/>
        <w:rPr>
          <w:szCs w:val="22"/>
        </w:rPr>
      </w:pPr>
    </w:p>
    <w:p w14:paraId="1E74FE24" w14:textId="77777777" w:rsidR="00925686" w:rsidRPr="006128F6" w:rsidRDefault="00925686" w:rsidP="006128F6">
      <w:pPr>
        <w:keepNext/>
        <w:spacing w:line="240" w:lineRule="auto"/>
        <w:ind w:left="567" w:hanging="567"/>
        <w:rPr>
          <w:b/>
          <w:szCs w:val="22"/>
        </w:rPr>
      </w:pPr>
      <w:r w:rsidRPr="006128F6">
        <w:rPr>
          <w:b/>
          <w:szCs w:val="22"/>
        </w:rPr>
        <w:t>8.</w:t>
      </w:r>
      <w:r w:rsidRPr="006128F6">
        <w:rPr>
          <w:b/>
          <w:szCs w:val="22"/>
        </w:rPr>
        <w:tab/>
        <w:t xml:space="preserve">MARKETING AUTHORISATION NUMBER(S) </w:t>
      </w:r>
    </w:p>
    <w:p w14:paraId="09466B25" w14:textId="77777777" w:rsidR="00925686" w:rsidRPr="006128F6" w:rsidRDefault="00925686" w:rsidP="006128F6">
      <w:pPr>
        <w:spacing w:line="240" w:lineRule="auto"/>
        <w:rPr>
          <w:szCs w:val="22"/>
        </w:rPr>
      </w:pPr>
    </w:p>
    <w:p w14:paraId="6D892987" w14:textId="407F590A" w:rsidR="00925686" w:rsidRDefault="00403334" w:rsidP="006128F6">
      <w:pPr>
        <w:spacing w:line="240" w:lineRule="auto"/>
        <w:rPr>
          <w:rFonts w:cs="Verdana"/>
          <w:color w:val="000000"/>
        </w:rPr>
      </w:pPr>
      <w:r w:rsidRPr="008A47B3">
        <w:rPr>
          <w:rFonts w:cs="Verdana"/>
          <w:color w:val="000000"/>
        </w:rPr>
        <w:t>EU/1/18/1281/001</w:t>
      </w:r>
    </w:p>
    <w:p w14:paraId="08C6EE11" w14:textId="52A7C89C" w:rsidR="00403334" w:rsidRDefault="00403334" w:rsidP="006128F6">
      <w:pPr>
        <w:spacing w:line="240" w:lineRule="auto"/>
        <w:rPr>
          <w:rFonts w:cs="Verdana"/>
          <w:color w:val="000000"/>
        </w:rPr>
      </w:pPr>
      <w:r w:rsidRPr="008A47B3">
        <w:rPr>
          <w:rFonts w:cs="Verdana"/>
          <w:color w:val="000000"/>
        </w:rPr>
        <w:t>EU/1/18/1281/002</w:t>
      </w:r>
    </w:p>
    <w:p w14:paraId="09C7D8A0" w14:textId="77777777" w:rsidR="00403334" w:rsidRDefault="00403334" w:rsidP="006128F6">
      <w:pPr>
        <w:spacing w:line="240" w:lineRule="auto"/>
        <w:rPr>
          <w:rFonts w:cs="Verdana"/>
          <w:color w:val="000000"/>
        </w:rPr>
      </w:pPr>
    </w:p>
    <w:p w14:paraId="52CE1E55" w14:textId="77777777" w:rsidR="00403334" w:rsidRPr="006128F6" w:rsidRDefault="00403334" w:rsidP="006128F6">
      <w:pPr>
        <w:spacing w:line="240" w:lineRule="auto"/>
        <w:rPr>
          <w:szCs w:val="22"/>
        </w:rPr>
      </w:pPr>
    </w:p>
    <w:p w14:paraId="420B1DFF" w14:textId="77777777" w:rsidR="00925686" w:rsidRPr="006128F6" w:rsidRDefault="00925686" w:rsidP="006128F6">
      <w:pPr>
        <w:spacing w:line="240" w:lineRule="auto"/>
        <w:ind w:left="567" w:hanging="567"/>
        <w:rPr>
          <w:szCs w:val="22"/>
        </w:rPr>
      </w:pPr>
      <w:r w:rsidRPr="006128F6">
        <w:rPr>
          <w:b/>
          <w:szCs w:val="22"/>
        </w:rPr>
        <w:t>9.</w:t>
      </w:r>
      <w:r w:rsidRPr="006128F6">
        <w:rPr>
          <w:b/>
          <w:szCs w:val="22"/>
        </w:rPr>
        <w:tab/>
        <w:t>DATE OF FIRST AUTHORISATION/RENEWAL OF THE AUTHORISATION</w:t>
      </w:r>
    </w:p>
    <w:p w14:paraId="3F8AA683" w14:textId="15257496" w:rsidR="00925686" w:rsidRDefault="00925686" w:rsidP="006128F6">
      <w:pPr>
        <w:spacing w:line="240" w:lineRule="auto"/>
        <w:rPr>
          <w:szCs w:val="22"/>
        </w:rPr>
      </w:pPr>
    </w:p>
    <w:p w14:paraId="58C9C408" w14:textId="2C8CA47E" w:rsidR="00F51A81" w:rsidRPr="005C5B30" w:rsidRDefault="00F51A81" w:rsidP="00F51A81">
      <w:pPr>
        <w:keepNext/>
        <w:tabs>
          <w:tab w:val="clear" w:pos="567"/>
        </w:tabs>
        <w:autoSpaceDE w:val="0"/>
        <w:autoSpaceDN w:val="0"/>
        <w:adjustRightInd w:val="0"/>
        <w:spacing w:line="240" w:lineRule="auto"/>
        <w:rPr>
          <w:color w:val="000000"/>
          <w:szCs w:val="22"/>
          <w:lang w:eastAsia="en-GB"/>
        </w:rPr>
      </w:pPr>
      <w:r w:rsidRPr="005C5B30">
        <w:rPr>
          <w:color w:val="000000"/>
          <w:szCs w:val="22"/>
          <w:lang w:eastAsia="en-GB"/>
        </w:rPr>
        <w:t xml:space="preserve">Date of first authorisation: </w:t>
      </w:r>
      <w:r>
        <w:rPr>
          <w:color w:val="000000"/>
          <w:szCs w:val="22"/>
          <w:lang w:eastAsia="en-GB"/>
        </w:rPr>
        <w:t>16 May 2018</w:t>
      </w:r>
    </w:p>
    <w:p w14:paraId="58F65603" w14:textId="6EDB8ADF" w:rsidR="00F51A81" w:rsidRPr="006128F6" w:rsidRDefault="005B189C" w:rsidP="006128F6">
      <w:pPr>
        <w:spacing w:line="240" w:lineRule="auto"/>
        <w:rPr>
          <w:szCs w:val="22"/>
        </w:rPr>
      </w:pPr>
      <w:r>
        <w:rPr>
          <w:szCs w:val="22"/>
        </w:rPr>
        <w:t>Date of latest renewal:</w:t>
      </w:r>
    </w:p>
    <w:p w14:paraId="4522D87D" w14:textId="77777777" w:rsidR="00925686" w:rsidRDefault="00925686" w:rsidP="006128F6">
      <w:pPr>
        <w:spacing w:line="240" w:lineRule="auto"/>
        <w:rPr>
          <w:szCs w:val="22"/>
        </w:rPr>
      </w:pPr>
    </w:p>
    <w:p w14:paraId="4CEFA495" w14:textId="77777777" w:rsidR="00F53DDF" w:rsidRPr="006128F6" w:rsidRDefault="00F53DDF" w:rsidP="006128F6">
      <w:pPr>
        <w:spacing w:line="240" w:lineRule="auto"/>
        <w:rPr>
          <w:szCs w:val="22"/>
        </w:rPr>
      </w:pPr>
    </w:p>
    <w:p w14:paraId="64D818A3" w14:textId="77777777" w:rsidR="00925686" w:rsidRPr="006128F6" w:rsidRDefault="00925686" w:rsidP="006128F6">
      <w:pPr>
        <w:keepNext/>
        <w:spacing w:line="240" w:lineRule="auto"/>
        <w:ind w:left="567" w:hanging="567"/>
        <w:rPr>
          <w:b/>
          <w:szCs w:val="22"/>
        </w:rPr>
      </w:pPr>
      <w:r w:rsidRPr="006128F6">
        <w:rPr>
          <w:b/>
          <w:szCs w:val="22"/>
        </w:rPr>
        <w:t>10.</w:t>
      </w:r>
      <w:r w:rsidRPr="006128F6">
        <w:rPr>
          <w:b/>
          <w:szCs w:val="22"/>
        </w:rPr>
        <w:tab/>
        <w:t>DATE OF REVISION OF THE TEXT</w:t>
      </w:r>
    </w:p>
    <w:p w14:paraId="51360E43" w14:textId="77777777" w:rsidR="00925686" w:rsidRPr="006128F6" w:rsidRDefault="00925686" w:rsidP="006128F6">
      <w:pPr>
        <w:numPr>
          <w:ilvl w:val="12"/>
          <w:numId w:val="0"/>
        </w:numPr>
        <w:spacing w:line="240" w:lineRule="auto"/>
        <w:ind w:right="-2"/>
        <w:rPr>
          <w:iCs/>
          <w:szCs w:val="22"/>
        </w:rPr>
      </w:pPr>
    </w:p>
    <w:p w14:paraId="21CE1382" w14:textId="77777777" w:rsidR="00925686" w:rsidRPr="006128F6" w:rsidRDefault="00925686" w:rsidP="006128F6">
      <w:pPr>
        <w:numPr>
          <w:ilvl w:val="12"/>
          <w:numId w:val="0"/>
        </w:numPr>
        <w:spacing w:line="240" w:lineRule="auto"/>
        <w:ind w:right="-2"/>
      </w:pPr>
    </w:p>
    <w:p w14:paraId="79CF1CAB" w14:textId="77777777" w:rsidR="00925686" w:rsidRPr="006128F6" w:rsidRDefault="00925686" w:rsidP="006128F6">
      <w:pPr>
        <w:numPr>
          <w:ilvl w:val="12"/>
          <w:numId w:val="0"/>
        </w:numPr>
        <w:spacing w:line="240" w:lineRule="auto"/>
        <w:ind w:right="-2"/>
        <w:rPr>
          <w:szCs w:val="22"/>
        </w:rPr>
      </w:pPr>
      <w:r w:rsidRPr="006128F6">
        <w:t xml:space="preserve">Detailed information on this medicinal product is available on the website of the European Medicines Agency </w:t>
      </w:r>
      <w:hyperlink r:id="rId15" w:history="1">
        <w:r w:rsidRPr="006128F6">
          <w:rPr>
            <w:rStyle w:val="Hyperlink"/>
            <w:szCs w:val="22"/>
          </w:rPr>
          <w:t>http://www.ema.europa.eu</w:t>
        </w:r>
      </w:hyperlink>
      <w:r w:rsidRPr="006128F6">
        <w:rPr>
          <w:szCs w:val="22"/>
        </w:rPr>
        <w:t>.</w:t>
      </w:r>
    </w:p>
    <w:p w14:paraId="198BC00A" w14:textId="77777777" w:rsidR="00577F9F" w:rsidRPr="006128F6" w:rsidRDefault="00577F9F" w:rsidP="006128F6">
      <w:pPr>
        <w:spacing w:line="240" w:lineRule="auto"/>
        <w:ind w:right="566"/>
        <w:rPr>
          <w:szCs w:val="22"/>
        </w:rPr>
      </w:pPr>
      <w:r w:rsidRPr="006128F6">
        <w:rPr>
          <w:b/>
          <w:szCs w:val="22"/>
        </w:rPr>
        <w:br w:type="page"/>
      </w:r>
    </w:p>
    <w:p w14:paraId="2FF92A59" w14:textId="77777777" w:rsidR="0020648C" w:rsidRPr="008A47B3" w:rsidRDefault="0020648C" w:rsidP="0020648C">
      <w:pPr>
        <w:widowControl w:val="0"/>
        <w:autoSpaceDE w:val="0"/>
        <w:autoSpaceDN w:val="0"/>
        <w:adjustRightInd w:val="0"/>
        <w:spacing w:line="240" w:lineRule="auto"/>
        <w:ind w:left="127" w:right="120"/>
        <w:rPr>
          <w:rFonts w:cs="Verdana"/>
          <w:color w:val="000000"/>
        </w:rPr>
      </w:pPr>
    </w:p>
    <w:p w14:paraId="04DA69DC" w14:textId="77777777" w:rsidR="0020648C" w:rsidRPr="008A47B3" w:rsidRDefault="0020648C" w:rsidP="0020648C">
      <w:pPr>
        <w:widowControl w:val="0"/>
        <w:autoSpaceDE w:val="0"/>
        <w:autoSpaceDN w:val="0"/>
        <w:adjustRightInd w:val="0"/>
        <w:spacing w:line="240" w:lineRule="auto"/>
        <w:ind w:left="127" w:right="120"/>
        <w:rPr>
          <w:rFonts w:cs="Verdana"/>
          <w:color w:val="000000"/>
        </w:rPr>
      </w:pPr>
    </w:p>
    <w:p w14:paraId="4A1BC203" w14:textId="77777777" w:rsidR="0020648C" w:rsidRPr="008A47B3" w:rsidRDefault="0020648C" w:rsidP="0020648C">
      <w:pPr>
        <w:widowControl w:val="0"/>
        <w:autoSpaceDE w:val="0"/>
        <w:autoSpaceDN w:val="0"/>
        <w:adjustRightInd w:val="0"/>
        <w:spacing w:line="240" w:lineRule="auto"/>
        <w:ind w:left="127" w:right="120"/>
        <w:rPr>
          <w:rFonts w:cs="Verdana"/>
          <w:color w:val="000000"/>
        </w:rPr>
      </w:pPr>
    </w:p>
    <w:p w14:paraId="25EEC38F" w14:textId="77777777" w:rsidR="0020648C" w:rsidRPr="008A47B3" w:rsidRDefault="0020648C" w:rsidP="0020648C">
      <w:pPr>
        <w:widowControl w:val="0"/>
        <w:autoSpaceDE w:val="0"/>
        <w:autoSpaceDN w:val="0"/>
        <w:adjustRightInd w:val="0"/>
        <w:spacing w:line="240" w:lineRule="auto"/>
        <w:ind w:left="127" w:right="120"/>
        <w:rPr>
          <w:rFonts w:cs="Verdana"/>
          <w:color w:val="000000"/>
        </w:rPr>
      </w:pPr>
    </w:p>
    <w:p w14:paraId="53D10FF4" w14:textId="77777777" w:rsidR="0020648C" w:rsidRPr="008A47B3" w:rsidRDefault="0020648C" w:rsidP="0020648C">
      <w:pPr>
        <w:widowControl w:val="0"/>
        <w:autoSpaceDE w:val="0"/>
        <w:autoSpaceDN w:val="0"/>
        <w:adjustRightInd w:val="0"/>
        <w:spacing w:line="240" w:lineRule="auto"/>
        <w:ind w:left="127" w:right="120"/>
        <w:rPr>
          <w:rFonts w:cs="Verdana"/>
          <w:color w:val="000000"/>
        </w:rPr>
      </w:pPr>
    </w:p>
    <w:p w14:paraId="165DD6AA" w14:textId="77777777" w:rsidR="0020648C" w:rsidRPr="008A47B3" w:rsidRDefault="0020648C" w:rsidP="0020648C">
      <w:pPr>
        <w:widowControl w:val="0"/>
        <w:autoSpaceDE w:val="0"/>
        <w:autoSpaceDN w:val="0"/>
        <w:adjustRightInd w:val="0"/>
        <w:spacing w:line="240" w:lineRule="auto"/>
        <w:ind w:left="127" w:right="120"/>
        <w:rPr>
          <w:rFonts w:cs="Verdana"/>
          <w:color w:val="000000"/>
        </w:rPr>
      </w:pPr>
    </w:p>
    <w:p w14:paraId="2900F520" w14:textId="77777777" w:rsidR="0020648C" w:rsidRPr="008A47B3" w:rsidRDefault="0020648C" w:rsidP="0020648C">
      <w:pPr>
        <w:widowControl w:val="0"/>
        <w:autoSpaceDE w:val="0"/>
        <w:autoSpaceDN w:val="0"/>
        <w:adjustRightInd w:val="0"/>
        <w:spacing w:line="240" w:lineRule="auto"/>
        <w:ind w:left="127" w:right="120"/>
        <w:rPr>
          <w:rFonts w:cs="Verdana"/>
          <w:color w:val="000000"/>
        </w:rPr>
      </w:pPr>
    </w:p>
    <w:p w14:paraId="24C89D66" w14:textId="77777777" w:rsidR="0020648C" w:rsidRPr="008A47B3" w:rsidRDefault="0020648C" w:rsidP="0020648C">
      <w:pPr>
        <w:widowControl w:val="0"/>
        <w:autoSpaceDE w:val="0"/>
        <w:autoSpaceDN w:val="0"/>
        <w:adjustRightInd w:val="0"/>
        <w:spacing w:line="240" w:lineRule="auto"/>
        <w:ind w:left="127" w:right="120"/>
        <w:rPr>
          <w:rFonts w:cs="Verdana"/>
          <w:color w:val="000000"/>
        </w:rPr>
      </w:pPr>
    </w:p>
    <w:p w14:paraId="3F4B248D" w14:textId="77777777" w:rsidR="0020648C" w:rsidRPr="008A47B3" w:rsidRDefault="0020648C" w:rsidP="0020648C">
      <w:pPr>
        <w:widowControl w:val="0"/>
        <w:autoSpaceDE w:val="0"/>
        <w:autoSpaceDN w:val="0"/>
        <w:adjustRightInd w:val="0"/>
        <w:spacing w:line="240" w:lineRule="auto"/>
        <w:ind w:left="127" w:right="120"/>
        <w:rPr>
          <w:rFonts w:cs="Verdana"/>
          <w:color w:val="000000"/>
        </w:rPr>
      </w:pPr>
    </w:p>
    <w:p w14:paraId="40C60E8A" w14:textId="77777777" w:rsidR="0020648C" w:rsidRPr="008A47B3" w:rsidRDefault="0020648C" w:rsidP="0020648C">
      <w:pPr>
        <w:widowControl w:val="0"/>
        <w:autoSpaceDE w:val="0"/>
        <w:autoSpaceDN w:val="0"/>
        <w:adjustRightInd w:val="0"/>
        <w:spacing w:line="240" w:lineRule="auto"/>
        <w:ind w:left="127" w:right="120"/>
        <w:rPr>
          <w:rFonts w:cs="Verdana"/>
          <w:color w:val="000000"/>
        </w:rPr>
      </w:pPr>
    </w:p>
    <w:p w14:paraId="09288B65" w14:textId="77777777" w:rsidR="0020648C" w:rsidRPr="008A47B3" w:rsidRDefault="0020648C" w:rsidP="0020648C">
      <w:pPr>
        <w:widowControl w:val="0"/>
        <w:autoSpaceDE w:val="0"/>
        <w:autoSpaceDN w:val="0"/>
        <w:adjustRightInd w:val="0"/>
        <w:spacing w:line="240" w:lineRule="auto"/>
        <w:ind w:left="127" w:right="120"/>
        <w:rPr>
          <w:rFonts w:cs="Verdana"/>
          <w:color w:val="000000"/>
        </w:rPr>
      </w:pPr>
    </w:p>
    <w:p w14:paraId="73784B33" w14:textId="77777777" w:rsidR="0020648C" w:rsidRPr="008A47B3" w:rsidRDefault="0020648C" w:rsidP="0020648C">
      <w:pPr>
        <w:widowControl w:val="0"/>
        <w:autoSpaceDE w:val="0"/>
        <w:autoSpaceDN w:val="0"/>
        <w:adjustRightInd w:val="0"/>
        <w:spacing w:line="240" w:lineRule="auto"/>
        <w:ind w:left="127" w:right="120"/>
        <w:rPr>
          <w:rFonts w:cs="Verdana"/>
          <w:color w:val="000000"/>
        </w:rPr>
      </w:pPr>
    </w:p>
    <w:p w14:paraId="68E9D57E" w14:textId="77777777" w:rsidR="0020648C" w:rsidRPr="008A47B3" w:rsidRDefault="0020648C" w:rsidP="0020648C">
      <w:pPr>
        <w:widowControl w:val="0"/>
        <w:autoSpaceDE w:val="0"/>
        <w:autoSpaceDN w:val="0"/>
        <w:adjustRightInd w:val="0"/>
        <w:spacing w:line="240" w:lineRule="auto"/>
        <w:ind w:left="127" w:right="120"/>
        <w:rPr>
          <w:rFonts w:cs="Verdana"/>
          <w:color w:val="000000"/>
        </w:rPr>
      </w:pPr>
    </w:p>
    <w:p w14:paraId="6DB02740" w14:textId="77777777" w:rsidR="0020648C" w:rsidRPr="008A47B3" w:rsidRDefault="0020648C" w:rsidP="0020648C">
      <w:pPr>
        <w:widowControl w:val="0"/>
        <w:autoSpaceDE w:val="0"/>
        <w:autoSpaceDN w:val="0"/>
        <w:adjustRightInd w:val="0"/>
        <w:spacing w:line="240" w:lineRule="auto"/>
        <w:ind w:left="127" w:right="120"/>
        <w:rPr>
          <w:rFonts w:cs="Verdana"/>
          <w:color w:val="000000"/>
        </w:rPr>
      </w:pPr>
    </w:p>
    <w:p w14:paraId="19DEB258" w14:textId="77777777" w:rsidR="0020648C" w:rsidRPr="008A47B3" w:rsidRDefault="0020648C" w:rsidP="0020648C">
      <w:pPr>
        <w:widowControl w:val="0"/>
        <w:autoSpaceDE w:val="0"/>
        <w:autoSpaceDN w:val="0"/>
        <w:adjustRightInd w:val="0"/>
        <w:spacing w:line="240" w:lineRule="auto"/>
        <w:ind w:left="127" w:right="120"/>
        <w:rPr>
          <w:rFonts w:cs="Verdana"/>
          <w:color w:val="000000"/>
        </w:rPr>
      </w:pPr>
    </w:p>
    <w:p w14:paraId="0F6CA99F" w14:textId="77777777" w:rsidR="0020648C" w:rsidRPr="008A47B3" w:rsidRDefault="0020648C" w:rsidP="0020648C">
      <w:pPr>
        <w:widowControl w:val="0"/>
        <w:autoSpaceDE w:val="0"/>
        <w:autoSpaceDN w:val="0"/>
        <w:adjustRightInd w:val="0"/>
        <w:spacing w:line="240" w:lineRule="auto"/>
        <w:ind w:left="127" w:right="120"/>
        <w:rPr>
          <w:rFonts w:cs="Verdana"/>
          <w:color w:val="000000"/>
        </w:rPr>
      </w:pPr>
    </w:p>
    <w:p w14:paraId="56B3EF75" w14:textId="77777777" w:rsidR="0020648C" w:rsidRPr="008A47B3" w:rsidRDefault="0020648C" w:rsidP="0020648C">
      <w:pPr>
        <w:widowControl w:val="0"/>
        <w:autoSpaceDE w:val="0"/>
        <w:autoSpaceDN w:val="0"/>
        <w:adjustRightInd w:val="0"/>
        <w:spacing w:line="240" w:lineRule="auto"/>
        <w:ind w:left="127" w:right="120"/>
        <w:rPr>
          <w:rFonts w:cs="Verdana"/>
          <w:color w:val="000000"/>
        </w:rPr>
      </w:pPr>
    </w:p>
    <w:p w14:paraId="4FF64C45" w14:textId="77777777" w:rsidR="0020648C" w:rsidRPr="008A47B3" w:rsidRDefault="0020648C" w:rsidP="0020648C">
      <w:pPr>
        <w:widowControl w:val="0"/>
        <w:autoSpaceDE w:val="0"/>
        <w:autoSpaceDN w:val="0"/>
        <w:adjustRightInd w:val="0"/>
        <w:spacing w:line="240" w:lineRule="auto"/>
        <w:ind w:left="127" w:right="120"/>
        <w:rPr>
          <w:rFonts w:cs="Verdana"/>
          <w:color w:val="000000"/>
        </w:rPr>
      </w:pPr>
    </w:p>
    <w:p w14:paraId="727D7FA6" w14:textId="77777777" w:rsidR="00B75168" w:rsidRDefault="00B75168" w:rsidP="0020648C">
      <w:pPr>
        <w:keepNext/>
        <w:widowControl w:val="0"/>
        <w:autoSpaceDE w:val="0"/>
        <w:autoSpaceDN w:val="0"/>
        <w:adjustRightInd w:val="0"/>
        <w:spacing w:line="240" w:lineRule="auto"/>
        <w:ind w:left="127" w:right="120"/>
        <w:jc w:val="center"/>
        <w:rPr>
          <w:rFonts w:cs="Verdana"/>
          <w:b/>
          <w:bCs/>
          <w:color w:val="000000"/>
        </w:rPr>
      </w:pPr>
    </w:p>
    <w:p w14:paraId="3382328E" w14:textId="77777777" w:rsidR="00B75168" w:rsidRDefault="00B75168" w:rsidP="0020648C">
      <w:pPr>
        <w:keepNext/>
        <w:widowControl w:val="0"/>
        <w:autoSpaceDE w:val="0"/>
        <w:autoSpaceDN w:val="0"/>
        <w:adjustRightInd w:val="0"/>
        <w:spacing w:line="240" w:lineRule="auto"/>
        <w:ind w:left="127" w:right="120"/>
        <w:jc w:val="center"/>
        <w:rPr>
          <w:rFonts w:cs="Verdana"/>
          <w:b/>
          <w:bCs/>
          <w:color w:val="000000"/>
        </w:rPr>
      </w:pPr>
    </w:p>
    <w:p w14:paraId="2F2F9933" w14:textId="77777777" w:rsidR="00B75168" w:rsidRDefault="00B75168" w:rsidP="0020648C">
      <w:pPr>
        <w:keepNext/>
        <w:widowControl w:val="0"/>
        <w:autoSpaceDE w:val="0"/>
        <w:autoSpaceDN w:val="0"/>
        <w:adjustRightInd w:val="0"/>
        <w:spacing w:line="240" w:lineRule="auto"/>
        <w:ind w:left="127" w:right="120"/>
        <w:jc w:val="center"/>
        <w:rPr>
          <w:rFonts w:cs="Verdana"/>
          <w:b/>
          <w:bCs/>
          <w:color w:val="000000"/>
        </w:rPr>
      </w:pPr>
    </w:p>
    <w:p w14:paraId="6DB91311" w14:textId="77777777" w:rsidR="00B75168" w:rsidRDefault="00B75168" w:rsidP="0020648C">
      <w:pPr>
        <w:keepNext/>
        <w:widowControl w:val="0"/>
        <w:autoSpaceDE w:val="0"/>
        <w:autoSpaceDN w:val="0"/>
        <w:adjustRightInd w:val="0"/>
        <w:spacing w:line="240" w:lineRule="auto"/>
        <w:ind w:left="127" w:right="120"/>
        <w:jc w:val="center"/>
        <w:rPr>
          <w:rFonts w:cs="Verdana"/>
          <w:b/>
          <w:bCs/>
          <w:color w:val="000000"/>
        </w:rPr>
      </w:pPr>
    </w:p>
    <w:p w14:paraId="36D8DB11" w14:textId="4719E340" w:rsidR="0020648C" w:rsidRPr="008A47B3" w:rsidRDefault="0020648C" w:rsidP="0020648C">
      <w:pPr>
        <w:keepNext/>
        <w:widowControl w:val="0"/>
        <w:autoSpaceDE w:val="0"/>
        <w:autoSpaceDN w:val="0"/>
        <w:adjustRightInd w:val="0"/>
        <w:spacing w:line="240" w:lineRule="auto"/>
        <w:ind w:left="127" w:right="120"/>
        <w:jc w:val="center"/>
        <w:rPr>
          <w:rFonts w:cs="Verdana"/>
          <w:b/>
          <w:bCs/>
          <w:color w:val="000000"/>
        </w:rPr>
      </w:pPr>
      <w:r w:rsidRPr="008A47B3">
        <w:rPr>
          <w:rFonts w:cs="Verdana"/>
          <w:b/>
          <w:bCs/>
          <w:color w:val="000000"/>
        </w:rPr>
        <w:t>ANNEX II</w:t>
      </w:r>
    </w:p>
    <w:p w14:paraId="3858F983" w14:textId="77777777" w:rsidR="0020648C" w:rsidRPr="008A47B3" w:rsidRDefault="0020648C" w:rsidP="0020648C">
      <w:pPr>
        <w:widowControl w:val="0"/>
        <w:autoSpaceDE w:val="0"/>
        <w:autoSpaceDN w:val="0"/>
        <w:adjustRightInd w:val="0"/>
        <w:spacing w:line="240" w:lineRule="auto"/>
        <w:ind w:left="127" w:right="120"/>
        <w:jc w:val="center"/>
        <w:rPr>
          <w:rFonts w:cs="Verdana"/>
          <w:color w:val="000000"/>
        </w:rPr>
      </w:pPr>
    </w:p>
    <w:p w14:paraId="4868E45D" w14:textId="1B84A06C" w:rsidR="0020648C" w:rsidRDefault="0020648C" w:rsidP="0020648C">
      <w:pPr>
        <w:keepNext/>
        <w:widowControl w:val="0"/>
        <w:tabs>
          <w:tab w:val="clear" w:pos="567"/>
          <w:tab w:val="left" w:pos="1701"/>
        </w:tabs>
        <w:autoSpaceDE w:val="0"/>
        <w:autoSpaceDN w:val="0"/>
        <w:adjustRightInd w:val="0"/>
        <w:spacing w:line="240" w:lineRule="auto"/>
        <w:ind w:left="1701" w:right="1416" w:hanging="708"/>
        <w:rPr>
          <w:rFonts w:cs="Verdana"/>
          <w:b/>
          <w:bCs/>
          <w:color w:val="000000"/>
        </w:rPr>
      </w:pPr>
      <w:r w:rsidRPr="008A47B3">
        <w:rPr>
          <w:rFonts w:cs="Verdana"/>
          <w:b/>
          <w:bCs/>
          <w:color w:val="000000"/>
        </w:rPr>
        <w:t>A.</w:t>
      </w:r>
      <w:r w:rsidRPr="008A47B3">
        <w:rPr>
          <w:rFonts w:cs="Verdana"/>
          <w:b/>
          <w:bCs/>
          <w:color w:val="000000"/>
        </w:rPr>
        <w:tab/>
        <w:t>MANUFACTURER</w:t>
      </w:r>
      <w:del w:id="3" w:author="Author">
        <w:r w:rsidRPr="008A47B3" w:rsidDel="00AA2C64">
          <w:rPr>
            <w:rFonts w:cs="Verdana"/>
            <w:b/>
            <w:bCs/>
            <w:color w:val="000000"/>
          </w:rPr>
          <w:delText>(S)</w:delText>
        </w:r>
      </w:del>
      <w:r w:rsidRPr="008A47B3">
        <w:rPr>
          <w:rFonts w:cs="Verdana"/>
          <w:b/>
          <w:bCs/>
          <w:color w:val="000000"/>
        </w:rPr>
        <w:t xml:space="preserve"> OF THE BIOLOGICAL ACTIVE SUBSTANCE</w:t>
      </w:r>
      <w:del w:id="4" w:author="Author">
        <w:r w:rsidRPr="008A47B3" w:rsidDel="00AA2C64">
          <w:rPr>
            <w:rFonts w:cs="Verdana"/>
            <w:b/>
            <w:bCs/>
            <w:color w:val="000000"/>
          </w:rPr>
          <w:delText>(S)</w:delText>
        </w:r>
      </w:del>
      <w:r w:rsidRPr="008A47B3">
        <w:rPr>
          <w:rFonts w:cs="Verdana"/>
          <w:b/>
          <w:bCs/>
          <w:color w:val="000000"/>
        </w:rPr>
        <w:t xml:space="preserve"> AND MANUFACTURER</w:t>
      </w:r>
      <w:del w:id="5" w:author="Author">
        <w:r w:rsidRPr="008A47B3" w:rsidDel="00AA2C64">
          <w:rPr>
            <w:rFonts w:cs="Verdana"/>
            <w:b/>
            <w:bCs/>
            <w:color w:val="000000"/>
          </w:rPr>
          <w:delText>(</w:delText>
        </w:r>
      </w:del>
      <w:r w:rsidRPr="008A47B3">
        <w:rPr>
          <w:rFonts w:cs="Verdana"/>
          <w:b/>
          <w:bCs/>
          <w:color w:val="000000"/>
        </w:rPr>
        <w:t>S</w:t>
      </w:r>
      <w:del w:id="6" w:author="Author">
        <w:r w:rsidRPr="008A47B3" w:rsidDel="00AA2C64">
          <w:rPr>
            <w:rFonts w:cs="Verdana"/>
            <w:b/>
            <w:bCs/>
            <w:color w:val="000000"/>
          </w:rPr>
          <w:delText>)</w:delText>
        </w:r>
      </w:del>
      <w:r w:rsidRPr="008A47B3">
        <w:rPr>
          <w:rFonts w:cs="Verdana"/>
          <w:b/>
          <w:bCs/>
          <w:color w:val="000000"/>
        </w:rPr>
        <w:t xml:space="preserve"> RESPONSIBLE FOR BATCH RELEASE</w:t>
      </w:r>
    </w:p>
    <w:p w14:paraId="5119C084" w14:textId="77777777" w:rsidR="0020648C" w:rsidRPr="008A47B3" w:rsidRDefault="0020648C" w:rsidP="0020648C">
      <w:pPr>
        <w:keepNext/>
        <w:widowControl w:val="0"/>
        <w:tabs>
          <w:tab w:val="clear" w:pos="567"/>
          <w:tab w:val="left" w:pos="1701"/>
        </w:tabs>
        <w:autoSpaceDE w:val="0"/>
        <w:autoSpaceDN w:val="0"/>
        <w:adjustRightInd w:val="0"/>
        <w:spacing w:line="240" w:lineRule="auto"/>
        <w:ind w:left="1701" w:right="1416" w:hanging="708"/>
        <w:rPr>
          <w:rFonts w:cs="Verdana"/>
          <w:b/>
          <w:bCs/>
          <w:color w:val="000000"/>
        </w:rPr>
      </w:pPr>
    </w:p>
    <w:p w14:paraId="7B0DB273" w14:textId="77777777" w:rsidR="0020648C" w:rsidRPr="008A47B3" w:rsidRDefault="0020648C" w:rsidP="0020648C">
      <w:pPr>
        <w:keepNext/>
        <w:widowControl w:val="0"/>
        <w:tabs>
          <w:tab w:val="clear" w:pos="567"/>
          <w:tab w:val="left" w:pos="1701"/>
        </w:tabs>
        <w:autoSpaceDE w:val="0"/>
        <w:autoSpaceDN w:val="0"/>
        <w:adjustRightInd w:val="0"/>
        <w:spacing w:line="240" w:lineRule="auto"/>
        <w:ind w:left="1701" w:right="1416" w:hanging="708"/>
        <w:rPr>
          <w:rFonts w:cs="Verdana"/>
          <w:b/>
          <w:bCs/>
          <w:color w:val="000000"/>
        </w:rPr>
      </w:pPr>
      <w:r w:rsidRPr="008A47B3">
        <w:rPr>
          <w:rFonts w:cs="Verdana"/>
          <w:b/>
          <w:bCs/>
          <w:color w:val="000000"/>
        </w:rPr>
        <w:t>B.</w:t>
      </w:r>
      <w:r w:rsidRPr="008A47B3">
        <w:rPr>
          <w:rFonts w:cs="Verdana"/>
          <w:b/>
          <w:bCs/>
          <w:color w:val="000000"/>
        </w:rPr>
        <w:tab/>
        <w:t>CONDITIONS OR RESTRICTIONS REGARDING SUPPLY AND USE</w:t>
      </w:r>
    </w:p>
    <w:p w14:paraId="5783F0D8" w14:textId="77777777" w:rsidR="0020648C" w:rsidRPr="008A47B3" w:rsidRDefault="0020648C" w:rsidP="0020648C">
      <w:pPr>
        <w:widowControl w:val="0"/>
        <w:tabs>
          <w:tab w:val="clear" w:pos="567"/>
          <w:tab w:val="left" w:pos="1134"/>
        </w:tabs>
        <w:autoSpaceDE w:val="0"/>
        <w:autoSpaceDN w:val="0"/>
        <w:adjustRightInd w:val="0"/>
        <w:spacing w:line="240" w:lineRule="auto"/>
        <w:ind w:left="1701" w:right="1416" w:hanging="708"/>
        <w:rPr>
          <w:rFonts w:cs="Verdana"/>
          <w:color w:val="000000"/>
        </w:rPr>
      </w:pPr>
    </w:p>
    <w:p w14:paraId="7BBB6D1A" w14:textId="77777777" w:rsidR="0020648C" w:rsidRPr="008A47B3" w:rsidRDefault="0020648C" w:rsidP="0020648C">
      <w:pPr>
        <w:keepNext/>
        <w:widowControl w:val="0"/>
        <w:tabs>
          <w:tab w:val="clear" w:pos="567"/>
          <w:tab w:val="left" w:pos="1134"/>
        </w:tabs>
        <w:autoSpaceDE w:val="0"/>
        <w:autoSpaceDN w:val="0"/>
        <w:adjustRightInd w:val="0"/>
        <w:spacing w:line="240" w:lineRule="auto"/>
        <w:ind w:left="1701" w:right="1416" w:hanging="708"/>
        <w:rPr>
          <w:rFonts w:cs="Verdana"/>
          <w:b/>
          <w:bCs/>
          <w:color w:val="000000"/>
        </w:rPr>
      </w:pPr>
      <w:r w:rsidRPr="008A47B3">
        <w:rPr>
          <w:rFonts w:cs="Verdana"/>
          <w:b/>
          <w:bCs/>
          <w:color w:val="000000"/>
        </w:rPr>
        <w:t>C.</w:t>
      </w:r>
      <w:r w:rsidRPr="008A47B3">
        <w:rPr>
          <w:rFonts w:cs="Verdana"/>
          <w:b/>
          <w:bCs/>
          <w:color w:val="000000"/>
        </w:rPr>
        <w:tab/>
        <w:t>OTHER CONDITIONS AND REQUIREMENTS OF THE MARKETING AUTHORISATION</w:t>
      </w:r>
    </w:p>
    <w:p w14:paraId="60556818" w14:textId="77777777" w:rsidR="0020648C" w:rsidRPr="008A47B3" w:rsidRDefault="0020648C" w:rsidP="0020648C">
      <w:pPr>
        <w:widowControl w:val="0"/>
        <w:tabs>
          <w:tab w:val="clear" w:pos="567"/>
          <w:tab w:val="left" w:pos="1134"/>
        </w:tabs>
        <w:autoSpaceDE w:val="0"/>
        <w:autoSpaceDN w:val="0"/>
        <w:adjustRightInd w:val="0"/>
        <w:spacing w:line="240" w:lineRule="auto"/>
        <w:ind w:left="1701" w:right="1416" w:hanging="708"/>
        <w:rPr>
          <w:rFonts w:cs="Verdana"/>
          <w:color w:val="000000"/>
        </w:rPr>
      </w:pPr>
    </w:p>
    <w:p w14:paraId="47873F0E" w14:textId="77777777" w:rsidR="0020648C" w:rsidRPr="008A47B3" w:rsidRDefault="0020648C" w:rsidP="0020648C">
      <w:pPr>
        <w:keepNext/>
        <w:widowControl w:val="0"/>
        <w:tabs>
          <w:tab w:val="clear" w:pos="567"/>
          <w:tab w:val="left" w:pos="1134"/>
        </w:tabs>
        <w:autoSpaceDE w:val="0"/>
        <w:autoSpaceDN w:val="0"/>
        <w:adjustRightInd w:val="0"/>
        <w:spacing w:line="240" w:lineRule="auto"/>
        <w:ind w:left="1701" w:right="1416" w:hanging="708"/>
        <w:rPr>
          <w:rFonts w:cs="Verdana"/>
          <w:b/>
          <w:bCs/>
          <w:color w:val="000000"/>
        </w:rPr>
      </w:pPr>
      <w:r w:rsidRPr="008A47B3">
        <w:rPr>
          <w:rFonts w:cs="Verdana"/>
          <w:b/>
          <w:bCs/>
          <w:color w:val="000000"/>
        </w:rPr>
        <w:t>D.</w:t>
      </w:r>
      <w:r w:rsidRPr="008A47B3">
        <w:rPr>
          <w:rFonts w:cs="Verdana"/>
          <w:b/>
          <w:bCs/>
          <w:color w:val="000000"/>
        </w:rPr>
        <w:tab/>
        <w:t>CONDITIONS OR RESTRICTIONS WITH REGARD TO THE SAFE AND EFFECTIVE USE OF THE MEDICINAL PRODUCT</w:t>
      </w:r>
    </w:p>
    <w:p w14:paraId="2A8AC9DD" w14:textId="77777777" w:rsidR="0020648C" w:rsidRPr="008A47B3" w:rsidRDefault="0020648C" w:rsidP="0020648C">
      <w:pPr>
        <w:widowControl w:val="0"/>
        <w:autoSpaceDE w:val="0"/>
        <w:autoSpaceDN w:val="0"/>
        <w:adjustRightInd w:val="0"/>
        <w:spacing w:line="240" w:lineRule="auto"/>
        <w:ind w:left="127" w:right="120"/>
        <w:jc w:val="center"/>
        <w:rPr>
          <w:rFonts w:cs="Verdana"/>
          <w:color w:val="000000"/>
        </w:rPr>
      </w:pPr>
    </w:p>
    <w:p w14:paraId="2152F31C" w14:textId="70C512C1" w:rsidR="0020648C" w:rsidRDefault="0020648C" w:rsidP="0020648C">
      <w:pPr>
        <w:tabs>
          <w:tab w:val="clear" w:pos="567"/>
        </w:tabs>
        <w:spacing w:line="240" w:lineRule="auto"/>
        <w:rPr>
          <w:szCs w:val="22"/>
        </w:rPr>
      </w:pPr>
      <w:r>
        <w:rPr>
          <w:szCs w:val="22"/>
        </w:rPr>
        <w:br w:type="page"/>
      </w:r>
    </w:p>
    <w:p w14:paraId="2C297232" w14:textId="0F60F165" w:rsidR="0020648C" w:rsidRPr="008A47B3" w:rsidRDefault="0020648C" w:rsidP="005477BB">
      <w:pPr>
        <w:pStyle w:val="TitleB"/>
      </w:pPr>
      <w:r>
        <w:t>A.</w:t>
      </w:r>
      <w:r>
        <w:tab/>
      </w:r>
      <w:r w:rsidRPr="008A47B3">
        <w:t>MANUFACTURER</w:t>
      </w:r>
      <w:del w:id="7" w:author="Author">
        <w:r w:rsidRPr="008A47B3" w:rsidDel="00AA2C64">
          <w:delText>(S)</w:delText>
        </w:r>
      </w:del>
      <w:r w:rsidRPr="008A47B3">
        <w:t xml:space="preserve"> OF THE BIOLOGICAL ACTIVE SUBSTANCE</w:t>
      </w:r>
      <w:del w:id="8" w:author="Author">
        <w:r w:rsidRPr="008A47B3" w:rsidDel="00AA2C64">
          <w:delText>(S)</w:delText>
        </w:r>
      </w:del>
      <w:r w:rsidRPr="008A47B3">
        <w:t xml:space="preserve"> AND MANUFACTURER</w:t>
      </w:r>
      <w:del w:id="9" w:author="Author">
        <w:r w:rsidRPr="008A47B3" w:rsidDel="00AA2C64">
          <w:delText>(</w:delText>
        </w:r>
      </w:del>
      <w:r w:rsidRPr="008A47B3">
        <w:t>S</w:t>
      </w:r>
      <w:del w:id="10" w:author="Author">
        <w:r w:rsidRPr="008A47B3" w:rsidDel="00AA2C64">
          <w:delText>)</w:delText>
        </w:r>
      </w:del>
      <w:r w:rsidRPr="008A47B3">
        <w:t xml:space="preserve"> RESPONSIBLE FOR BATCH RELEASE</w:t>
      </w:r>
    </w:p>
    <w:p w14:paraId="6A598D45" w14:textId="77777777" w:rsidR="0020648C" w:rsidRDefault="0020648C" w:rsidP="005477BB">
      <w:pPr>
        <w:widowControl w:val="0"/>
        <w:autoSpaceDE w:val="0"/>
        <w:autoSpaceDN w:val="0"/>
        <w:adjustRightInd w:val="0"/>
        <w:spacing w:line="240" w:lineRule="auto"/>
        <w:rPr>
          <w:rFonts w:cs="Verdana"/>
          <w:color w:val="000000"/>
          <w:u w:val="single"/>
        </w:rPr>
      </w:pPr>
    </w:p>
    <w:p w14:paraId="4D0EBA49" w14:textId="4595C395" w:rsidR="0020648C" w:rsidRPr="008A47B3" w:rsidRDefault="0020648C" w:rsidP="005477BB">
      <w:pPr>
        <w:widowControl w:val="0"/>
        <w:autoSpaceDE w:val="0"/>
        <w:autoSpaceDN w:val="0"/>
        <w:adjustRightInd w:val="0"/>
        <w:spacing w:line="240" w:lineRule="auto"/>
        <w:rPr>
          <w:rFonts w:cs="Verdana"/>
          <w:color w:val="000000"/>
        </w:rPr>
      </w:pPr>
      <w:r w:rsidRPr="008A47B3">
        <w:rPr>
          <w:rFonts w:cs="Verdana"/>
          <w:color w:val="000000"/>
          <w:u w:val="single"/>
        </w:rPr>
        <w:t>Name and address of the manufacturer</w:t>
      </w:r>
      <w:del w:id="11" w:author="Author">
        <w:r w:rsidRPr="008A47B3" w:rsidDel="00AA2C64">
          <w:rPr>
            <w:rFonts w:cs="Verdana"/>
            <w:color w:val="000000"/>
            <w:u w:val="single"/>
          </w:rPr>
          <w:delText>(s)</w:delText>
        </w:r>
      </w:del>
      <w:r w:rsidRPr="008A47B3">
        <w:rPr>
          <w:rFonts w:cs="Verdana"/>
          <w:color w:val="000000"/>
          <w:u w:val="single"/>
        </w:rPr>
        <w:t xml:space="preserve"> of the biological active substance</w:t>
      </w:r>
      <w:del w:id="12" w:author="Author">
        <w:r w:rsidRPr="008A47B3" w:rsidDel="00AA2C64">
          <w:rPr>
            <w:rFonts w:cs="Verdana"/>
            <w:color w:val="000000"/>
            <w:u w:val="single"/>
          </w:rPr>
          <w:delText>(s)</w:delText>
        </w:r>
      </w:del>
      <w:r w:rsidRPr="008A47B3">
        <w:rPr>
          <w:rFonts w:cs="Verdana"/>
          <w:color w:val="000000"/>
        </w:rPr>
        <w:t xml:space="preserve"> </w:t>
      </w:r>
    </w:p>
    <w:p w14:paraId="088D7479" w14:textId="77777777" w:rsidR="0020648C" w:rsidRDefault="0020648C" w:rsidP="005477BB">
      <w:pPr>
        <w:widowControl w:val="0"/>
        <w:autoSpaceDE w:val="0"/>
        <w:autoSpaceDN w:val="0"/>
        <w:adjustRightInd w:val="0"/>
        <w:spacing w:line="240" w:lineRule="auto"/>
        <w:rPr>
          <w:rFonts w:cs="Verdana"/>
          <w:color w:val="000000"/>
        </w:rPr>
      </w:pPr>
    </w:p>
    <w:p w14:paraId="4966A5C5" w14:textId="1C7FB222" w:rsidR="0020648C" w:rsidRPr="006958EC" w:rsidDel="00AA2C64" w:rsidRDefault="0020648C" w:rsidP="0020648C">
      <w:pPr>
        <w:tabs>
          <w:tab w:val="left" w:pos="2835"/>
          <w:tab w:val="left" w:pos="4680"/>
        </w:tabs>
        <w:spacing w:line="240" w:lineRule="auto"/>
        <w:rPr>
          <w:del w:id="13" w:author="Author"/>
          <w:lang w:val="nl-NL"/>
        </w:rPr>
      </w:pPr>
      <w:del w:id="14" w:author="Author">
        <w:r w:rsidRPr="006958EC" w:rsidDel="00AA2C64">
          <w:rPr>
            <w:rFonts w:cs="Verdana"/>
            <w:color w:val="000000"/>
            <w:lang w:val="nl-NL"/>
          </w:rPr>
          <w:delText>Patheon Biologics BV</w:delText>
        </w:r>
        <w:r w:rsidRPr="006958EC" w:rsidDel="00AA2C64">
          <w:rPr>
            <w:rFonts w:cs="Verdana"/>
            <w:color w:val="000000"/>
            <w:lang w:val="nl-NL"/>
          </w:rPr>
          <w:br/>
          <w:delText>Zuiderweg 72/2</w:delText>
        </w:r>
        <w:r w:rsidRPr="006958EC" w:rsidDel="00AA2C64">
          <w:rPr>
            <w:rFonts w:cs="Verdana"/>
            <w:color w:val="000000"/>
            <w:lang w:val="nl-NL"/>
          </w:rPr>
          <w:br/>
          <w:delText>9744 AP Groningen</w:delText>
        </w:r>
        <w:r w:rsidRPr="006958EC" w:rsidDel="00AA2C64">
          <w:rPr>
            <w:rFonts w:cs="Verdana"/>
            <w:color w:val="000000"/>
            <w:lang w:val="nl-NL"/>
          </w:rPr>
          <w:br/>
        </w:r>
        <w:r w:rsidRPr="006958EC" w:rsidDel="00AA2C64">
          <w:rPr>
            <w:lang w:val="nl-NL"/>
          </w:rPr>
          <w:delText>The Netherlands</w:delText>
        </w:r>
      </w:del>
    </w:p>
    <w:p w14:paraId="12CDADFF" w14:textId="69E170BB" w:rsidR="00A41744" w:rsidRPr="006958EC" w:rsidDel="00AA2C64" w:rsidRDefault="00A41744" w:rsidP="00A41744">
      <w:pPr>
        <w:widowControl w:val="0"/>
        <w:autoSpaceDE w:val="0"/>
        <w:autoSpaceDN w:val="0"/>
        <w:adjustRightInd w:val="0"/>
        <w:spacing w:line="240" w:lineRule="auto"/>
        <w:ind w:right="120"/>
        <w:rPr>
          <w:del w:id="15" w:author="Author"/>
          <w:rFonts w:cs="Verdana"/>
          <w:color w:val="000000"/>
          <w:lang w:val="nl-NL"/>
        </w:rPr>
      </w:pPr>
    </w:p>
    <w:p w14:paraId="7798C3B5" w14:textId="77777777" w:rsidR="00A41744" w:rsidRDefault="00A41744" w:rsidP="005477BB">
      <w:pPr>
        <w:spacing w:line="240" w:lineRule="auto"/>
      </w:pPr>
      <w:r>
        <w:t>Immunex Rhode Island Corporation</w:t>
      </w:r>
    </w:p>
    <w:p w14:paraId="3A99002C" w14:textId="77777777" w:rsidR="00A41744" w:rsidRDefault="00A41744" w:rsidP="005477BB">
      <w:pPr>
        <w:spacing w:line="240" w:lineRule="auto"/>
      </w:pPr>
      <w:r>
        <w:t>40 Technology Way</w:t>
      </w:r>
    </w:p>
    <w:p w14:paraId="1AA876EC" w14:textId="77777777" w:rsidR="00A41744" w:rsidRDefault="00A41744" w:rsidP="005477BB">
      <w:pPr>
        <w:spacing w:line="240" w:lineRule="auto"/>
      </w:pPr>
      <w:r>
        <w:t>West Greenwich</w:t>
      </w:r>
    </w:p>
    <w:p w14:paraId="4BE6F488" w14:textId="77777777" w:rsidR="00A41744" w:rsidRDefault="00A41744" w:rsidP="005477BB">
      <w:pPr>
        <w:spacing w:line="240" w:lineRule="auto"/>
      </w:pPr>
      <w:r>
        <w:t>Rhode Island, 02817</w:t>
      </w:r>
    </w:p>
    <w:p w14:paraId="763FD31B" w14:textId="77777777" w:rsidR="00A41744" w:rsidRDefault="00A41744" w:rsidP="00A41744">
      <w:pPr>
        <w:widowControl w:val="0"/>
        <w:autoSpaceDE w:val="0"/>
        <w:autoSpaceDN w:val="0"/>
        <w:adjustRightInd w:val="0"/>
        <w:spacing w:line="240" w:lineRule="auto"/>
        <w:ind w:right="120"/>
      </w:pPr>
      <w:r>
        <w:t>United States</w:t>
      </w:r>
    </w:p>
    <w:p w14:paraId="211001EC" w14:textId="5955BDFE" w:rsidR="0020648C" w:rsidRPr="008A47B3" w:rsidRDefault="0020648C" w:rsidP="0020648C">
      <w:pPr>
        <w:widowControl w:val="0"/>
        <w:autoSpaceDE w:val="0"/>
        <w:autoSpaceDN w:val="0"/>
        <w:adjustRightInd w:val="0"/>
        <w:spacing w:line="240" w:lineRule="auto"/>
        <w:ind w:right="120"/>
        <w:rPr>
          <w:rFonts w:cs="Verdana"/>
          <w:color w:val="000000"/>
        </w:rPr>
      </w:pPr>
    </w:p>
    <w:p w14:paraId="7E2688BB" w14:textId="0B1E001E" w:rsidR="0020648C" w:rsidRPr="008A47B3" w:rsidRDefault="0020648C" w:rsidP="0020648C">
      <w:pPr>
        <w:widowControl w:val="0"/>
        <w:autoSpaceDE w:val="0"/>
        <w:autoSpaceDN w:val="0"/>
        <w:adjustRightInd w:val="0"/>
        <w:spacing w:line="240" w:lineRule="auto"/>
        <w:ind w:right="120"/>
        <w:rPr>
          <w:rFonts w:cs="Verdana"/>
          <w:color w:val="000000"/>
          <w:u w:val="single"/>
        </w:rPr>
      </w:pPr>
      <w:r w:rsidRPr="008A47B3">
        <w:rPr>
          <w:rFonts w:cs="Verdana"/>
          <w:color w:val="000000"/>
          <w:u w:val="single"/>
        </w:rPr>
        <w:t>Name and address of the manufacturer</w:t>
      </w:r>
      <w:del w:id="16" w:author="Author">
        <w:r w:rsidRPr="008A47B3" w:rsidDel="00AA2C64">
          <w:rPr>
            <w:rFonts w:cs="Verdana"/>
            <w:color w:val="000000"/>
            <w:u w:val="single"/>
          </w:rPr>
          <w:delText>(</w:delText>
        </w:r>
      </w:del>
      <w:r w:rsidRPr="008A47B3">
        <w:rPr>
          <w:rFonts w:cs="Verdana"/>
          <w:color w:val="000000"/>
          <w:u w:val="single"/>
        </w:rPr>
        <w:t>s</w:t>
      </w:r>
      <w:del w:id="17" w:author="Author">
        <w:r w:rsidRPr="008A47B3" w:rsidDel="00AA2C64">
          <w:rPr>
            <w:rFonts w:cs="Verdana"/>
            <w:color w:val="000000"/>
            <w:u w:val="single"/>
          </w:rPr>
          <w:delText>)</w:delText>
        </w:r>
      </w:del>
      <w:r w:rsidRPr="008A47B3">
        <w:rPr>
          <w:rFonts w:cs="Verdana"/>
          <w:color w:val="000000"/>
          <w:u w:val="single"/>
        </w:rPr>
        <w:t xml:space="preserve"> responsible for batch release</w:t>
      </w:r>
    </w:p>
    <w:p w14:paraId="35BA08B8" w14:textId="77777777" w:rsidR="0020648C" w:rsidRDefault="0020648C" w:rsidP="0020648C">
      <w:pPr>
        <w:widowControl w:val="0"/>
        <w:autoSpaceDE w:val="0"/>
        <w:autoSpaceDN w:val="0"/>
        <w:adjustRightInd w:val="0"/>
        <w:spacing w:line="240" w:lineRule="auto"/>
        <w:ind w:right="120"/>
        <w:rPr>
          <w:rFonts w:cs="Verdana"/>
          <w:color w:val="000000"/>
        </w:rPr>
      </w:pPr>
    </w:p>
    <w:p w14:paraId="0D7F1DC6" w14:textId="77777777" w:rsidR="0020648C" w:rsidRPr="00C25AB7" w:rsidRDefault="0020648C" w:rsidP="0020648C">
      <w:pPr>
        <w:tabs>
          <w:tab w:val="left" w:pos="2835"/>
          <w:tab w:val="left" w:pos="4680"/>
        </w:tabs>
        <w:spacing w:line="240" w:lineRule="auto"/>
        <w:rPr>
          <w:lang w:val="de-DE"/>
        </w:rPr>
      </w:pPr>
      <w:r w:rsidRPr="00C25AB7">
        <w:rPr>
          <w:rFonts w:cs="Verdana"/>
          <w:color w:val="000000"/>
          <w:lang w:val="de-DE"/>
        </w:rPr>
        <w:t>Amgen Europe B.V.</w:t>
      </w:r>
      <w:r w:rsidRPr="00C25AB7">
        <w:rPr>
          <w:rFonts w:cs="Verdana"/>
          <w:color w:val="000000"/>
          <w:lang w:val="de-DE"/>
        </w:rPr>
        <w:br/>
        <w:t>Minervum 7061</w:t>
      </w:r>
      <w:r w:rsidRPr="00C25AB7">
        <w:rPr>
          <w:rFonts w:cs="Verdana"/>
          <w:color w:val="000000"/>
          <w:lang w:val="de-DE"/>
        </w:rPr>
        <w:br/>
        <w:t>NL-4817 ZK Breda</w:t>
      </w:r>
      <w:r w:rsidRPr="00C25AB7">
        <w:rPr>
          <w:rFonts w:cs="Verdana"/>
          <w:color w:val="000000"/>
          <w:lang w:val="de-DE"/>
        </w:rPr>
        <w:br/>
      </w:r>
      <w:r w:rsidRPr="00C25AB7">
        <w:rPr>
          <w:lang w:val="de-DE"/>
        </w:rPr>
        <w:t>The Netherlands</w:t>
      </w:r>
    </w:p>
    <w:p w14:paraId="3CED4E9D" w14:textId="5DAA8617" w:rsidR="0020648C" w:rsidRPr="00C25AB7" w:rsidRDefault="0020648C" w:rsidP="0020648C">
      <w:pPr>
        <w:widowControl w:val="0"/>
        <w:autoSpaceDE w:val="0"/>
        <w:autoSpaceDN w:val="0"/>
        <w:adjustRightInd w:val="0"/>
        <w:spacing w:line="240" w:lineRule="auto"/>
        <w:ind w:right="120"/>
        <w:rPr>
          <w:rFonts w:cs="Verdana"/>
          <w:color w:val="000000"/>
          <w:lang w:val="de-DE"/>
        </w:rPr>
      </w:pPr>
    </w:p>
    <w:p w14:paraId="114F1862" w14:textId="77777777" w:rsidR="005D3257" w:rsidRPr="00C25AB7" w:rsidRDefault="005D3257" w:rsidP="0020648C">
      <w:pPr>
        <w:widowControl w:val="0"/>
        <w:autoSpaceDE w:val="0"/>
        <w:autoSpaceDN w:val="0"/>
        <w:adjustRightInd w:val="0"/>
        <w:spacing w:line="240" w:lineRule="auto"/>
        <w:ind w:right="120"/>
        <w:rPr>
          <w:lang w:val="de-DE"/>
        </w:rPr>
      </w:pPr>
      <w:r w:rsidRPr="00C25AB7">
        <w:rPr>
          <w:lang w:val="de-DE"/>
        </w:rPr>
        <w:t xml:space="preserve">Amgen NV </w:t>
      </w:r>
    </w:p>
    <w:p w14:paraId="6B947CC2" w14:textId="77777777" w:rsidR="005D3257" w:rsidRPr="006958EC" w:rsidRDefault="005D3257" w:rsidP="0020648C">
      <w:pPr>
        <w:widowControl w:val="0"/>
        <w:autoSpaceDE w:val="0"/>
        <w:autoSpaceDN w:val="0"/>
        <w:adjustRightInd w:val="0"/>
        <w:spacing w:line="240" w:lineRule="auto"/>
        <w:ind w:right="120"/>
        <w:rPr>
          <w:lang w:val="nl-NL"/>
        </w:rPr>
      </w:pPr>
      <w:r w:rsidRPr="006958EC">
        <w:rPr>
          <w:lang w:val="nl-NL"/>
        </w:rPr>
        <w:t xml:space="preserve">Telecomlaan 5-7 </w:t>
      </w:r>
    </w:p>
    <w:p w14:paraId="51E99A38" w14:textId="77777777" w:rsidR="005D3257" w:rsidRPr="006958EC" w:rsidRDefault="005D3257" w:rsidP="0020648C">
      <w:pPr>
        <w:widowControl w:val="0"/>
        <w:autoSpaceDE w:val="0"/>
        <w:autoSpaceDN w:val="0"/>
        <w:adjustRightInd w:val="0"/>
        <w:spacing w:line="240" w:lineRule="auto"/>
        <w:ind w:right="120"/>
        <w:rPr>
          <w:lang w:val="nl-NL"/>
        </w:rPr>
      </w:pPr>
      <w:r w:rsidRPr="006958EC">
        <w:rPr>
          <w:lang w:val="nl-NL"/>
        </w:rPr>
        <w:t xml:space="preserve">1831 Diegem </w:t>
      </w:r>
    </w:p>
    <w:p w14:paraId="71E7091A" w14:textId="09CE2A44" w:rsidR="005D3257" w:rsidRDefault="005D3257" w:rsidP="0020648C">
      <w:pPr>
        <w:widowControl w:val="0"/>
        <w:autoSpaceDE w:val="0"/>
        <w:autoSpaceDN w:val="0"/>
        <w:adjustRightInd w:val="0"/>
        <w:spacing w:line="240" w:lineRule="auto"/>
        <w:ind w:right="120"/>
      </w:pPr>
      <w:r>
        <w:t>Belgium</w:t>
      </w:r>
    </w:p>
    <w:p w14:paraId="453836F6" w14:textId="77777777" w:rsidR="005D3257" w:rsidRDefault="005D3257" w:rsidP="0020648C">
      <w:pPr>
        <w:widowControl w:val="0"/>
        <w:autoSpaceDE w:val="0"/>
        <w:autoSpaceDN w:val="0"/>
        <w:adjustRightInd w:val="0"/>
        <w:spacing w:line="240" w:lineRule="auto"/>
        <w:ind w:right="120"/>
        <w:rPr>
          <w:rFonts w:cs="Verdana"/>
          <w:color w:val="000000"/>
        </w:rPr>
      </w:pPr>
    </w:p>
    <w:p w14:paraId="07076092" w14:textId="77777777" w:rsidR="0020648C" w:rsidRPr="008A47B3" w:rsidRDefault="0020648C" w:rsidP="0020648C">
      <w:pPr>
        <w:widowControl w:val="0"/>
        <w:autoSpaceDE w:val="0"/>
        <w:autoSpaceDN w:val="0"/>
        <w:adjustRightInd w:val="0"/>
        <w:spacing w:line="240" w:lineRule="auto"/>
        <w:ind w:right="120"/>
        <w:rPr>
          <w:rFonts w:cs="Verdana"/>
          <w:color w:val="000000"/>
        </w:rPr>
      </w:pPr>
      <w:r w:rsidRPr="008A47B3">
        <w:rPr>
          <w:rFonts w:cs="Verdana"/>
          <w:color w:val="000000"/>
        </w:rPr>
        <w:t>The printed package leaflet of the medicinal product must state the name and address of the manufacturer responsible for the release of the concerned batch.</w:t>
      </w:r>
    </w:p>
    <w:p w14:paraId="76EDB9B8" w14:textId="77777777" w:rsidR="0020648C" w:rsidRDefault="0020648C" w:rsidP="0020648C">
      <w:pPr>
        <w:keepNext/>
        <w:widowControl w:val="0"/>
        <w:autoSpaceDE w:val="0"/>
        <w:autoSpaceDN w:val="0"/>
        <w:adjustRightInd w:val="0"/>
        <w:spacing w:line="240" w:lineRule="auto"/>
        <w:ind w:right="120"/>
        <w:rPr>
          <w:rFonts w:cs="Verdana"/>
          <w:b/>
          <w:bCs/>
          <w:color w:val="000000"/>
        </w:rPr>
      </w:pPr>
    </w:p>
    <w:p w14:paraId="3A3DC5A9" w14:textId="77777777" w:rsidR="0020648C" w:rsidRDefault="0020648C" w:rsidP="0020648C">
      <w:pPr>
        <w:keepNext/>
        <w:widowControl w:val="0"/>
        <w:autoSpaceDE w:val="0"/>
        <w:autoSpaceDN w:val="0"/>
        <w:adjustRightInd w:val="0"/>
        <w:spacing w:line="240" w:lineRule="auto"/>
        <w:ind w:right="120"/>
        <w:rPr>
          <w:rFonts w:cs="Verdana"/>
          <w:b/>
          <w:bCs/>
          <w:color w:val="000000"/>
        </w:rPr>
      </w:pPr>
    </w:p>
    <w:p w14:paraId="41107A6F" w14:textId="77777777" w:rsidR="0020648C" w:rsidRDefault="0020648C" w:rsidP="005477BB">
      <w:pPr>
        <w:pStyle w:val="TitleB"/>
      </w:pPr>
      <w:r w:rsidRPr="008A47B3">
        <w:t>B.</w:t>
      </w:r>
      <w:r w:rsidRPr="008A47B3">
        <w:tab/>
        <w:t>CONDITIONS OR RESTRICTIONS REGARDING SUPPLY AND USE</w:t>
      </w:r>
    </w:p>
    <w:p w14:paraId="536B9318" w14:textId="77777777" w:rsidR="0020648C" w:rsidRPr="008A47B3" w:rsidRDefault="0020648C" w:rsidP="0020648C">
      <w:pPr>
        <w:keepNext/>
        <w:widowControl w:val="0"/>
        <w:autoSpaceDE w:val="0"/>
        <w:autoSpaceDN w:val="0"/>
        <w:adjustRightInd w:val="0"/>
        <w:spacing w:line="240" w:lineRule="auto"/>
        <w:ind w:right="120"/>
        <w:rPr>
          <w:rFonts w:cs="Verdana"/>
          <w:b/>
          <w:bCs/>
          <w:color w:val="000000"/>
        </w:rPr>
      </w:pPr>
    </w:p>
    <w:p w14:paraId="3035D369" w14:textId="77777777" w:rsidR="0020648C" w:rsidRPr="008A47B3" w:rsidRDefault="0020648C" w:rsidP="0020648C">
      <w:pPr>
        <w:widowControl w:val="0"/>
        <w:autoSpaceDE w:val="0"/>
        <w:autoSpaceDN w:val="0"/>
        <w:adjustRightInd w:val="0"/>
        <w:spacing w:line="240" w:lineRule="auto"/>
        <w:ind w:right="120"/>
        <w:rPr>
          <w:rFonts w:cs="Verdana"/>
          <w:color w:val="000000"/>
        </w:rPr>
      </w:pPr>
      <w:r w:rsidRPr="008A47B3">
        <w:rPr>
          <w:rFonts w:cs="Verdana"/>
          <w:color w:val="000000"/>
        </w:rPr>
        <w:t>Medicinal product subject to restricted medical prescription (see Annex I: Summary of Product Characteristics, section 4.2).</w:t>
      </w:r>
    </w:p>
    <w:p w14:paraId="1BFC29E1" w14:textId="77777777" w:rsidR="0020648C" w:rsidRDefault="0020648C" w:rsidP="0020648C">
      <w:pPr>
        <w:widowControl w:val="0"/>
        <w:autoSpaceDE w:val="0"/>
        <w:autoSpaceDN w:val="0"/>
        <w:adjustRightInd w:val="0"/>
        <w:spacing w:line="240" w:lineRule="auto"/>
        <w:ind w:right="120"/>
        <w:rPr>
          <w:rFonts w:cs="Verdana"/>
          <w:color w:val="000000"/>
        </w:rPr>
      </w:pPr>
    </w:p>
    <w:p w14:paraId="481A766B" w14:textId="77777777" w:rsidR="0020648C" w:rsidRPr="008A47B3" w:rsidRDefault="0020648C" w:rsidP="0020648C">
      <w:pPr>
        <w:widowControl w:val="0"/>
        <w:autoSpaceDE w:val="0"/>
        <w:autoSpaceDN w:val="0"/>
        <w:adjustRightInd w:val="0"/>
        <w:spacing w:line="240" w:lineRule="auto"/>
        <w:ind w:right="120"/>
        <w:rPr>
          <w:rFonts w:cs="Verdana"/>
          <w:color w:val="000000"/>
        </w:rPr>
      </w:pPr>
    </w:p>
    <w:p w14:paraId="33DF6233" w14:textId="77777777" w:rsidR="0020648C" w:rsidRPr="008A47B3" w:rsidRDefault="0020648C" w:rsidP="005477BB">
      <w:pPr>
        <w:pStyle w:val="TitleB"/>
      </w:pPr>
      <w:r w:rsidRPr="008A47B3">
        <w:t>C.</w:t>
      </w:r>
      <w:r w:rsidRPr="008A47B3">
        <w:tab/>
        <w:t xml:space="preserve">OTHER CONDITIONS AND REQUIREMENTS OF THE MARKETING AUTHORISATION </w:t>
      </w:r>
    </w:p>
    <w:p w14:paraId="1BC7009E" w14:textId="77777777" w:rsidR="0020648C" w:rsidRPr="008A47B3" w:rsidRDefault="0020648C" w:rsidP="0020648C">
      <w:pPr>
        <w:widowControl w:val="0"/>
        <w:autoSpaceDE w:val="0"/>
        <w:autoSpaceDN w:val="0"/>
        <w:adjustRightInd w:val="0"/>
        <w:spacing w:line="240" w:lineRule="auto"/>
        <w:ind w:right="120"/>
        <w:rPr>
          <w:rFonts w:cs="Verdana"/>
          <w:color w:val="000000"/>
        </w:rPr>
      </w:pPr>
    </w:p>
    <w:p w14:paraId="3C6F68D1" w14:textId="612FF3C1" w:rsidR="0020648C" w:rsidRPr="008A47B3" w:rsidRDefault="0020648C" w:rsidP="0020648C">
      <w:pPr>
        <w:widowControl w:val="0"/>
        <w:numPr>
          <w:ilvl w:val="0"/>
          <w:numId w:val="25"/>
        </w:numPr>
        <w:tabs>
          <w:tab w:val="clear" w:pos="567"/>
          <w:tab w:val="left" w:pos="468"/>
        </w:tabs>
        <w:autoSpaceDE w:val="0"/>
        <w:autoSpaceDN w:val="0"/>
        <w:adjustRightInd w:val="0"/>
        <w:spacing w:line="240" w:lineRule="auto"/>
        <w:ind w:left="0" w:firstLine="0"/>
        <w:rPr>
          <w:rFonts w:cs="Verdana"/>
          <w:color w:val="000000"/>
        </w:rPr>
      </w:pPr>
      <w:r w:rsidRPr="008A47B3">
        <w:rPr>
          <w:rFonts w:cs="Verdana"/>
          <w:b/>
          <w:bCs/>
          <w:color w:val="000000"/>
        </w:rPr>
        <w:t xml:space="preserve">Periodic safety update reports </w:t>
      </w:r>
      <w:r w:rsidR="00F902B4">
        <w:rPr>
          <w:rFonts w:cs="Verdana"/>
          <w:b/>
          <w:bCs/>
          <w:color w:val="000000"/>
        </w:rPr>
        <w:t>(PSURs)</w:t>
      </w:r>
    </w:p>
    <w:p w14:paraId="1914F557" w14:textId="77777777" w:rsidR="0020648C" w:rsidRPr="008A47B3" w:rsidRDefault="0020648C" w:rsidP="0020648C">
      <w:pPr>
        <w:widowControl w:val="0"/>
        <w:autoSpaceDE w:val="0"/>
        <w:autoSpaceDN w:val="0"/>
        <w:adjustRightInd w:val="0"/>
        <w:spacing w:line="240" w:lineRule="auto"/>
        <w:ind w:right="120"/>
        <w:rPr>
          <w:rFonts w:cs="Verdana"/>
          <w:color w:val="000000"/>
        </w:rPr>
      </w:pPr>
    </w:p>
    <w:p w14:paraId="5414D529" w14:textId="1D3EBE00" w:rsidR="0020648C" w:rsidRPr="008A47B3" w:rsidRDefault="0020648C" w:rsidP="0020648C">
      <w:pPr>
        <w:widowControl w:val="0"/>
        <w:autoSpaceDE w:val="0"/>
        <w:autoSpaceDN w:val="0"/>
        <w:adjustRightInd w:val="0"/>
        <w:spacing w:line="240" w:lineRule="auto"/>
        <w:ind w:right="120"/>
        <w:rPr>
          <w:rFonts w:cs="Verdana"/>
          <w:color w:val="000000"/>
        </w:rPr>
      </w:pPr>
      <w:r w:rsidRPr="008A47B3">
        <w:rPr>
          <w:rFonts w:cs="Verdana"/>
          <w:color w:val="000000"/>
        </w:rPr>
        <w:t xml:space="preserve">The requirements for submission of </w:t>
      </w:r>
      <w:r w:rsidR="00F902B4">
        <w:rPr>
          <w:rFonts w:cs="Verdana"/>
          <w:color w:val="000000"/>
        </w:rPr>
        <w:t>PSURs</w:t>
      </w:r>
      <w:r w:rsidRPr="008A47B3">
        <w:rPr>
          <w:rFonts w:cs="Verdana"/>
          <w:color w:val="000000"/>
        </w:rPr>
        <w:t xml:space="preserve"> for this medicinal product are set out in the list of Union reference dates (EURD list) provided for under Article 107c(7) of Directive 2001/83/EC and any subsequent updates published on the European medicines web-portal.</w:t>
      </w:r>
    </w:p>
    <w:p w14:paraId="5069D8DC" w14:textId="77777777" w:rsidR="0020648C" w:rsidRDefault="0020648C" w:rsidP="0020648C">
      <w:pPr>
        <w:keepNext/>
        <w:widowControl w:val="0"/>
        <w:autoSpaceDE w:val="0"/>
        <w:autoSpaceDN w:val="0"/>
        <w:adjustRightInd w:val="0"/>
        <w:spacing w:line="240" w:lineRule="auto"/>
        <w:ind w:right="120"/>
        <w:rPr>
          <w:rFonts w:cs="Verdana"/>
          <w:b/>
          <w:bCs/>
          <w:color w:val="000000"/>
        </w:rPr>
      </w:pPr>
    </w:p>
    <w:p w14:paraId="01F25102" w14:textId="77777777" w:rsidR="0020648C" w:rsidRDefault="0020648C" w:rsidP="0020648C">
      <w:pPr>
        <w:keepNext/>
        <w:widowControl w:val="0"/>
        <w:autoSpaceDE w:val="0"/>
        <w:autoSpaceDN w:val="0"/>
        <w:adjustRightInd w:val="0"/>
        <w:spacing w:line="240" w:lineRule="auto"/>
        <w:ind w:right="120"/>
        <w:rPr>
          <w:rFonts w:cs="Verdana"/>
          <w:b/>
          <w:bCs/>
          <w:color w:val="000000"/>
        </w:rPr>
      </w:pPr>
    </w:p>
    <w:p w14:paraId="3E425578" w14:textId="77777777" w:rsidR="0020648C" w:rsidRDefault="0020648C" w:rsidP="005477BB">
      <w:pPr>
        <w:pStyle w:val="TitleB"/>
      </w:pPr>
      <w:r w:rsidRPr="008A47B3">
        <w:t>D.</w:t>
      </w:r>
      <w:r w:rsidRPr="008A47B3">
        <w:tab/>
        <w:t>CONDITIONS OR RESTRICTIONS WITH REGARD TO THE SAFE AND EFFECTIVE USE OF THE MEDICINAL PRODUCT</w:t>
      </w:r>
    </w:p>
    <w:p w14:paraId="46EF7802" w14:textId="77777777" w:rsidR="0020648C" w:rsidRPr="008A47B3" w:rsidRDefault="0020648C" w:rsidP="0020648C">
      <w:pPr>
        <w:keepNext/>
        <w:widowControl w:val="0"/>
        <w:autoSpaceDE w:val="0"/>
        <w:autoSpaceDN w:val="0"/>
        <w:adjustRightInd w:val="0"/>
        <w:spacing w:line="240" w:lineRule="auto"/>
        <w:ind w:left="567" w:right="120" w:hanging="567"/>
        <w:rPr>
          <w:rFonts w:cs="Verdana"/>
          <w:b/>
          <w:bCs/>
          <w:color w:val="000000"/>
        </w:rPr>
      </w:pPr>
    </w:p>
    <w:p w14:paraId="11D5B2B1" w14:textId="5FE2206F" w:rsidR="0020648C" w:rsidRPr="008A47B3" w:rsidRDefault="0020648C" w:rsidP="0020648C">
      <w:pPr>
        <w:widowControl w:val="0"/>
        <w:numPr>
          <w:ilvl w:val="0"/>
          <w:numId w:val="25"/>
        </w:numPr>
        <w:tabs>
          <w:tab w:val="clear" w:pos="567"/>
          <w:tab w:val="left" w:pos="468"/>
        </w:tabs>
        <w:autoSpaceDE w:val="0"/>
        <w:autoSpaceDN w:val="0"/>
        <w:adjustRightInd w:val="0"/>
        <w:spacing w:line="240" w:lineRule="auto"/>
        <w:ind w:left="0" w:firstLine="0"/>
        <w:rPr>
          <w:rFonts w:cs="Verdana"/>
          <w:color w:val="000000"/>
        </w:rPr>
      </w:pPr>
      <w:r w:rsidRPr="008A47B3">
        <w:rPr>
          <w:rFonts w:cs="Verdana"/>
          <w:b/>
          <w:bCs/>
          <w:color w:val="000000"/>
        </w:rPr>
        <w:t xml:space="preserve">Risk </w:t>
      </w:r>
      <w:r w:rsidR="00F902B4">
        <w:rPr>
          <w:rFonts w:cs="Verdana"/>
          <w:b/>
          <w:bCs/>
          <w:color w:val="000000"/>
        </w:rPr>
        <w:t>m</w:t>
      </w:r>
      <w:r w:rsidRPr="008A47B3">
        <w:rPr>
          <w:rFonts w:cs="Verdana"/>
          <w:b/>
          <w:bCs/>
          <w:color w:val="000000"/>
        </w:rPr>
        <w:t xml:space="preserve">anagement </w:t>
      </w:r>
      <w:r w:rsidR="00F902B4">
        <w:rPr>
          <w:rFonts w:cs="Verdana"/>
          <w:b/>
          <w:bCs/>
          <w:color w:val="000000"/>
        </w:rPr>
        <w:t>p</w:t>
      </w:r>
      <w:r w:rsidRPr="008A47B3">
        <w:rPr>
          <w:rFonts w:cs="Verdana"/>
          <w:b/>
          <w:bCs/>
          <w:color w:val="000000"/>
        </w:rPr>
        <w:t>lan (RMP)</w:t>
      </w:r>
    </w:p>
    <w:p w14:paraId="4E34D876" w14:textId="77777777" w:rsidR="0020648C" w:rsidRPr="008A47B3" w:rsidRDefault="0020648C" w:rsidP="0020648C">
      <w:pPr>
        <w:widowControl w:val="0"/>
        <w:autoSpaceDE w:val="0"/>
        <w:autoSpaceDN w:val="0"/>
        <w:adjustRightInd w:val="0"/>
        <w:spacing w:line="240" w:lineRule="auto"/>
        <w:ind w:right="120"/>
        <w:rPr>
          <w:rFonts w:cs="Verdana"/>
          <w:color w:val="000000"/>
        </w:rPr>
      </w:pPr>
    </w:p>
    <w:p w14:paraId="5C610E7E" w14:textId="050FD4DB" w:rsidR="0020648C" w:rsidRDefault="0020648C" w:rsidP="0020648C">
      <w:pPr>
        <w:widowControl w:val="0"/>
        <w:autoSpaceDE w:val="0"/>
        <w:autoSpaceDN w:val="0"/>
        <w:adjustRightInd w:val="0"/>
        <w:spacing w:line="240" w:lineRule="auto"/>
        <w:ind w:right="120"/>
        <w:rPr>
          <w:rFonts w:cs="Verdana"/>
          <w:color w:val="000000"/>
        </w:rPr>
      </w:pPr>
      <w:r w:rsidRPr="008A47B3">
        <w:rPr>
          <w:rFonts w:cs="Verdana"/>
          <w:color w:val="000000"/>
        </w:rPr>
        <w:t xml:space="preserve">The </w:t>
      </w:r>
      <w:r w:rsidR="00F902B4">
        <w:rPr>
          <w:rFonts w:cs="Verdana"/>
          <w:color w:val="000000"/>
        </w:rPr>
        <w:t>marketing authorisation holder (</w:t>
      </w:r>
      <w:r>
        <w:rPr>
          <w:rFonts w:cs="Verdana"/>
          <w:color w:val="000000"/>
        </w:rPr>
        <w:t>MAH</w:t>
      </w:r>
      <w:r w:rsidR="00F902B4">
        <w:rPr>
          <w:rFonts w:cs="Verdana"/>
          <w:color w:val="000000"/>
        </w:rPr>
        <w:t>)</w:t>
      </w:r>
      <w:r>
        <w:rPr>
          <w:rFonts w:cs="Verdana"/>
          <w:color w:val="000000"/>
        </w:rPr>
        <w:t xml:space="preserve"> shall perform the required </w:t>
      </w:r>
      <w:r w:rsidRPr="008A47B3">
        <w:rPr>
          <w:rFonts w:cs="Verdana"/>
          <w:color w:val="000000"/>
        </w:rPr>
        <w:t>pharmacovigilance activities and interventions detailed in the agreed RMP presented in Module 1.8.2 of the marketin</w:t>
      </w:r>
      <w:r>
        <w:rPr>
          <w:rFonts w:cs="Verdana"/>
          <w:color w:val="000000"/>
        </w:rPr>
        <w:t xml:space="preserve">g authorisation and any agreed </w:t>
      </w:r>
      <w:r w:rsidRPr="008A47B3">
        <w:rPr>
          <w:rFonts w:cs="Verdana"/>
          <w:color w:val="000000"/>
        </w:rPr>
        <w:t>subsequent updates of the RMP.</w:t>
      </w:r>
    </w:p>
    <w:p w14:paraId="6BDBB3EC" w14:textId="77777777" w:rsidR="0020648C" w:rsidRPr="008A47B3" w:rsidRDefault="0020648C" w:rsidP="0020648C">
      <w:pPr>
        <w:widowControl w:val="0"/>
        <w:autoSpaceDE w:val="0"/>
        <w:autoSpaceDN w:val="0"/>
        <w:adjustRightInd w:val="0"/>
        <w:spacing w:line="240" w:lineRule="auto"/>
        <w:ind w:right="120"/>
        <w:rPr>
          <w:rFonts w:cs="Verdana"/>
          <w:color w:val="000000"/>
        </w:rPr>
      </w:pPr>
    </w:p>
    <w:p w14:paraId="1275D9A2" w14:textId="77777777" w:rsidR="0020648C" w:rsidRPr="008A47B3" w:rsidRDefault="0020648C" w:rsidP="000957B2">
      <w:pPr>
        <w:keepNext/>
        <w:keepLines/>
        <w:widowControl w:val="0"/>
        <w:autoSpaceDE w:val="0"/>
        <w:autoSpaceDN w:val="0"/>
        <w:adjustRightInd w:val="0"/>
        <w:spacing w:line="240" w:lineRule="auto"/>
        <w:ind w:right="120"/>
        <w:rPr>
          <w:rFonts w:cs="Verdana"/>
          <w:color w:val="000000"/>
        </w:rPr>
      </w:pPr>
      <w:r w:rsidRPr="008A47B3">
        <w:rPr>
          <w:rFonts w:cs="Verdana"/>
          <w:color w:val="000000"/>
        </w:rPr>
        <w:lastRenderedPageBreak/>
        <w:t>An updated RMP should be submitted:</w:t>
      </w:r>
    </w:p>
    <w:p w14:paraId="4E2AD7DE" w14:textId="77777777" w:rsidR="0020648C" w:rsidRPr="008A47B3" w:rsidRDefault="0020648C" w:rsidP="000957B2">
      <w:pPr>
        <w:keepNext/>
        <w:keepLines/>
        <w:widowControl w:val="0"/>
        <w:numPr>
          <w:ilvl w:val="0"/>
          <w:numId w:val="25"/>
        </w:numPr>
        <w:tabs>
          <w:tab w:val="clear" w:pos="468"/>
          <w:tab w:val="left" w:pos="828"/>
        </w:tabs>
        <w:autoSpaceDE w:val="0"/>
        <w:autoSpaceDN w:val="0"/>
        <w:adjustRightInd w:val="0"/>
        <w:spacing w:line="240" w:lineRule="auto"/>
        <w:ind w:left="0" w:firstLine="0"/>
        <w:rPr>
          <w:rFonts w:cs="Verdana"/>
          <w:color w:val="000000"/>
        </w:rPr>
      </w:pPr>
      <w:r w:rsidRPr="008A47B3">
        <w:rPr>
          <w:rFonts w:cs="Verdana"/>
          <w:color w:val="000000"/>
        </w:rPr>
        <w:t>At the request of the European Medicines Agency;</w:t>
      </w:r>
    </w:p>
    <w:p w14:paraId="5CA84C71" w14:textId="77777777" w:rsidR="0020648C" w:rsidRPr="008A47B3" w:rsidRDefault="0020648C" w:rsidP="000957B2">
      <w:pPr>
        <w:keepNext/>
        <w:keepLines/>
        <w:widowControl w:val="0"/>
        <w:numPr>
          <w:ilvl w:val="0"/>
          <w:numId w:val="25"/>
        </w:numPr>
        <w:tabs>
          <w:tab w:val="clear" w:pos="468"/>
        </w:tabs>
        <w:autoSpaceDE w:val="0"/>
        <w:autoSpaceDN w:val="0"/>
        <w:adjustRightInd w:val="0"/>
        <w:spacing w:line="240" w:lineRule="auto"/>
        <w:ind w:left="567" w:hanging="567"/>
        <w:rPr>
          <w:rFonts w:cs="Verdana"/>
          <w:color w:val="000000"/>
        </w:rPr>
      </w:pPr>
      <w:r w:rsidRPr="008A47B3">
        <w:rPr>
          <w:rFonts w:cs="Verdana"/>
          <w:color w:val="000000"/>
        </w:rPr>
        <w:t xml:space="preserve">Whenever the risk management system is modified, especially as the result of new information being received that may lead to a significant change to the benefit/risk profile or as the result of an important (pharmacovigilance or risk minimisation) milestone being reached. </w:t>
      </w:r>
    </w:p>
    <w:p w14:paraId="536D7305" w14:textId="62C8C92F" w:rsidR="0020648C" w:rsidRDefault="0020648C" w:rsidP="0020648C">
      <w:pPr>
        <w:tabs>
          <w:tab w:val="clear" w:pos="567"/>
        </w:tabs>
        <w:spacing w:after="200" w:line="276" w:lineRule="auto"/>
        <w:ind w:left="567" w:hanging="567"/>
        <w:rPr>
          <w:szCs w:val="22"/>
        </w:rPr>
      </w:pPr>
      <w:r>
        <w:rPr>
          <w:szCs w:val="22"/>
        </w:rPr>
        <w:br w:type="page"/>
      </w:r>
    </w:p>
    <w:p w14:paraId="4BDB03B1" w14:textId="77777777" w:rsidR="00577F9F" w:rsidRPr="006128F6" w:rsidRDefault="00577F9F" w:rsidP="006128F6">
      <w:pPr>
        <w:spacing w:line="240" w:lineRule="auto"/>
        <w:rPr>
          <w:szCs w:val="22"/>
        </w:rPr>
      </w:pPr>
    </w:p>
    <w:p w14:paraId="06454AD9" w14:textId="77777777" w:rsidR="00577F9F" w:rsidRPr="006128F6" w:rsidRDefault="00577F9F" w:rsidP="006128F6">
      <w:pPr>
        <w:spacing w:line="240" w:lineRule="auto"/>
        <w:rPr>
          <w:szCs w:val="22"/>
        </w:rPr>
      </w:pPr>
    </w:p>
    <w:p w14:paraId="2B5519DC" w14:textId="77777777" w:rsidR="00577F9F" w:rsidRPr="006128F6" w:rsidRDefault="00577F9F" w:rsidP="006128F6">
      <w:pPr>
        <w:spacing w:line="240" w:lineRule="auto"/>
        <w:rPr>
          <w:szCs w:val="22"/>
        </w:rPr>
      </w:pPr>
    </w:p>
    <w:p w14:paraId="7ACDDB25" w14:textId="77777777" w:rsidR="00577F9F" w:rsidRPr="006128F6" w:rsidRDefault="00577F9F" w:rsidP="006128F6">
      <w:pPr>
        <w:spacing w:line="240" w:lineRule="auto"/>
        <w:rPr>
          <w:szCs w:val="22"/>
        </w:rPr>
      </w:pPr>
    </w:p>
    <w:p w14:paraId="465D0C8F" w14:textId="77777777" w:rsidR="00577F9F" w:rsidRPr="006128F6" w:rsidRDefault="00577F9F" w:rsidP="006128F6">
      <w:pPr>
        <w:spacing w:line="240" w:lineRule="auto"/>
      </w:pPr>
    </w:p>
    <w:p w14:paraId="7AB79600" w14:textId="77777777" w:rsidR="00577F9F" w:rsidRPr="006128F6" w:rsidRDefault="00577F9F" w:rsidP="006128F6">
      <w:pPr>
        <w:spacing w:line="240" w:lineRule="auto"/>
      </w:pPr>
    </w:p>
    <w:p w14:paraId="700265D9" w14:textId="77777777" w:rsidR="00577F9F" w:rsidRPr="006128F6" w:rsidRDefault="00577F9F" w:rsidP="006128F6">
      <w:pPr>
        <w:spacing w:line="240" w:lineRule="auto"/>
      </w:pPr>
    </w:p>
    <w:p w14:paraId="270A2CBF" w14:textId="77777777" w:rsidR="00577F9F" w:rsidRPr="006128F6" w:rsidRDefault="00577F9F" w:rsidP="006128F6">
      <w:pPr>
        <w:spacing w:line="240" w:lineRule="auto"/>
      </w:pPr>
    </w:p>
    <w:p w14:paraId="4C63590D" w14:textId="77777777" w:rsidR="00577F9F" w:rsidRPr="006128F6" w:rsidRDefault="00577F9F" w:rsidP="006128F6">
      <w:pPr>
        <w:spacing w:line="240" w:lineRule="auto"/>
      </w:pPr>
    </w:p>
    <w:p w14:paraId="1A5C345F" w14:textId="77777777" w:rsidR="00577F9F" w:rsidRPr="006128F6" w:rsidRDefault="00577F9F" w:rsidP="006128F6">
      <w:pPr>
        <w:spacing w:line="240" w:lineRule="auto"/>
        <w:rPr>
          <w:szCs w:val="22"/>
        </w:rPr>
      </w:pPr>
    </w:p>
    <w:p w14:paraId="5E51E286" w14:textId="77777777" w:rsidR="00577F9F" w:rsidRPr="006128F6" w:rsidRDefault="00577F9F" w:rsidP="006128F6">
      <w:pPr>
        <w:spacing w:line="240" w:lineRule="auto"/>
        <w:rPr>
          <w:szCs w:val="22"/>
        </w:rPr>
      </w:pPr>
    </w:p>
    <w:p w14:paraId="066C097F" w14:textId="77777777" w:rsidR="00577F9F" w:rsidRPr="006128F6" w:rsidRDefault="00577F9F" w:rsidP="006128F6">
      <w:pPr>
        <w:spacing w:line="240" w:lineRule="auto"/>
        <w:rPr>
          <w:szCs w:val="22"/>
        </w:rPr>
      </w:pPr>
    </w:p>
    <w:p w14:paraId="79B5064E" w14:textId="77777777" w:rsidR="00577F9F" w:rsidRPr="006128F6" w:rsidRDefault="00577F9F" w:rsidP="006128F6">
      <w:pPr>
        <w:spacing w:line="240" w:lineRule="auto"/>
        <w:rPr>
          <w:szCs w:val="22"/>
        </w:rPr>
      </w:pPr>
    </w:p>
    <w:p w14:paraId="30BFCEE1" w14:textId="77777777" w:rsidR="00577F9F" w:rsidRPr="006128F6" w:rsidRDefault="00577F9F" w:rsidP="006128F6">
      <w:pPr>
        <w:spacing w:line="240" w:lineRule="auto"/>
        <w:rPr>
          <w:szCs w:val="22"/>
        </w:rPr>
      </w:pPr>
    </w:p>
    <w:p w14:paraId="497060FC" w14:textId="77777777" w:rsidR="00577F9F" w:rsidRPr="006128F6" w:rsidRDefault="00577F9F" w:rsidP="006128F6">
      <w:pPr>
        <w:spacing w:line="240" w:lineRule="auto"/>
        <w:rPr>
          <w:szCs w:val="22"/>
        </w:rPr>
      </w:pPr>
    </w:p>
    <w:p w14:paraId="774575D1" w14:textId="77777777" w:rsidR="00577F9F" w:rsidRPr="006128F6" w:rsidRDefault="00577F9F" w:rsidP="006128F6">
      <w:pPr>
        <w:spacing w:line="240" w:lineRule="auto"/>
        <w:rPr>
          <w:szCs w:val="22"/>
        </w:rPr>
      </w:pPr>
    </w:p>
    <w:p w14:paraId="3EC5BDB3" w14:textId="77777777" w:rsidR="00577F9F" w:rsidRPr="006128F6" w:rsidRDefault="00577F9F" w:rsidP="006128F6">
      <w:pPr>
        <w:spacing w:line="240" w:lineRule="auto"/>
        <w:outlineLvl w:val="0"/>
        <w:rPr>
          <w:b/>
          <w:szCs w:val="22"/>
        </w:rPr>
      </w:pPr>
    </w:p>
    <w:p w14:paraId="430B4FB9" w14:textId="77777777" w:rsidR="00577F9F" w:rsidRPr="006128F6" w:rsidRDefault="00577F9F" w:rsidP="006128F6">
      <w:pPr>
        <w:spacing w:line="240" w:lineRule="auto"/>
        <w:outlineLvl w:val="0"/>
        <w:rPr>
          <w:b/>
          <w:szCs w:val="22"/>
        </w:rPr>
      </w:pPr>
    </w:p>
    <w:p w14:paraId="23FE41ED" w14:textId="77777777" w:rsidR="00577F9F" w:rsidRPr="006128F6" w:rsidRDefault="00577F9F" w:rsidP="006128F6">
      <w:pPr>
        <w:spacing w:line="240" w:lineRule="auto"/>
        <w:outlineLvl w:val="0"/>
        <w:rPr>
          <w:b/>
          <w:szCs w:val="22"/>
        </w:rPr>
      </w:pPr>
    </w:p>
    <w:p w14:paraId="6C33F324" w14:textId="77777777" w:rsidR="00577F9F" w:rsidRPr="006128F6" w:rsidRDefault="00577F9F" w:rsidP="006128F6">
      <w:pPr>
        <w:spacing w:line="240" w:lineRule="auto"/>
        <w:outlineLvl w:val="0"/>
        <w:rPr>
          <w:b/>
          <w:szCs w:val="22"/>
        </w:rPr>
      </w:pPr>
    </w:p>
    <w:p w14:paraId="2003A850" w14:textId="77777777" w:rsidR="00577F9F" w:rsidRPr="006128F6" w:rsidRDefault="00577F9F" w:rsidP="006128F6">
      <w:pPr>
        <w:spacing w:line="240" w:lineRule="auto"/>
        <w:outlineLvl w:val="0"/>
        <w:rPr>
          <w:b/>
          <w:szCs w:val="22"/>
        </w:rPr>
      </w:pPr>
    </w:p>
    <w:p w14:paraId="475CBED5" w14:textId="17FBF4DF" w:rsidR="00577F9F" w:rsidRPr="006128F6" w:rsidRDefault="00577F9F" w:rsidP="006128F6">
      <w:pPr>
        <w:spacing w:line="240" w:lineRule="auto"/>
        <w:outlineLvl w:val="0"/>
        <w:rPr>
          <w:b/>
          <w:szCs w:val="22"/>
        </w:rPr>
      </w:pPr>
    </w:p>
    <w:p w14:paraId="4C11CCF1" w14:textId="77777777" w:rsidR="00577F9F" w:rsidRPr="006128F6" w:rsidRDefault="00577F9F" w:rsidP="006128F6">
      <w:pPr>
        <w:spacing w:line="240" w:lineRule="auto"/>
        <w:jc w:val="center"/>
        <w:outlineLvl w:val="0"/>
        <w:rPr>
          <w:b/>
          <w:szCs w:val="22"/>
        </w:rPr>
      </w:pPr>
      <w:r w:rsidRPr="006128F6">
        <w:rPr>
          <w:b/>
          <w:szCs w:val="22"/>
        </w:rPr>
        <w:t>ANNEX III</w:t>
      </w:r>
    </w:p>
    <w:p w14:paraId="61F0120A" w14:textId="77777777" w:rsidR="00577F9F" w:rsidRPr="006128F6" w:rsidRDefault="00577F9F" w:rsidP="006128F6">
      <w:pPr>
        <w:spacing w:line="240" w:lineRule="auto"/>
        <w:jc w:val="center"/>
        <w:rPr>
          <w:b/>
          <w:szCs w:val="22"/>
        </w:rPr>
      </w:pPr>
    </w:p>
    <w:p w14:paraId="51F0F754" w14:textId="77777777" w:rsidR="00577F9F" w:rsidRPr="006128F6" w:rsidRDefault="00577F9F" w:rsidP="006128F6">
      <w:pPr>
        <w:spacing w:line="240" w:lineRule="auto"/>
        <w:jc w:val="center"/>
        <w:outlineLvl w:val="0"/>
        <w:rPr>
          <w:b/>
          <w:szCs w:val="22"/>
        </w:rPr>
      </w:pPr>
      <w:r w:rsidRPr="006128F6">
        <w:rPr>
          <w:b/>
          <w:szCs w:val="22"/>
        </w:rPr>
        <w:t>LABELLING AND PACKAGE LEAFLET</w:t>
      </w:r>
    </w:p>
    <w:p w14:paraId="244D285C" w14:textId="77777777" w:rsidR="00577F9F" w:rsidRPr="006128F6" w:rsidRDefault="00577F9F" w:rsidP="006128F6">
      <w:pPr>
        <w:spacing w:line="240" w:lineRule="auto"/>
        <w:rPr>
          <w:b/>
          <w:szCs w:val="22"/>
        </w:rPr>
      </w:pPr>
      <w:r w:rsidRPr="006128F6">
        <w:rPr>
          <w:b/>
          <w:szCs w:val="22"/>
        </w:rPr>
        <w:br w:type="page"/>
      </w:r>
    </w:p>
    <w:p w14:paraId="3F1218E7" w14:textId="77777777" w:rsidR="00577F9F" w:rsidRPr="006128F6" w:rsidRDefault="00577F9F" w:rsidP="006128F6">
      <w:pPr>
        <w:spacing w:line="240" w:lineRule="auto"/>
        <w:outlineLvl w:val="0"/>
        <w:rPr>
          <w:b/>
          <w:szCs w:val="22"/>
        </w:rPr>
      </w:pPr>
    </w:p>
    <w:p w14:paraId="34523AB3" w14:textId="77777777" w:rsidR="00577F9F" w:rsidRPr="006128F6" w:rsidRDefault="00577F9F" w:rsidP="006128F6">
      <w:pPr>
        <w:spacing w:line="240" w:lineRule="auto"/>
        <w:outlineLvl w:val="0"/>
        <w:rPr>
          <w:b/>
          <w:szCs w:val="22"/>
        </w:rPr>
      </w:pPr>
    </w:p>
    <w:p w14:paraId="51A2A444" w14:textId="77777777" w:rsidR="00577F9F" w:rsidRPr="006128F6" w:rsidRDefault="00577F9F" w:rsidP="006128F6">
      <w:pPr>
        <w:spacing w:line="240" w:lineRule="auto"/>
        <w:outlineLvl w:val="0"/>
        <w:rPr>
          <w:b/>
          <w:szCs w:val="22"/>
        </w:rPr>
      </w:pPr>
    </w:p>
    <w:p w14:paraId="6784AA3B" w14:textId="77777777" w:rsidR="00577F9F" w:rsidRPr="006128F6" w:rsidRDefault="00577F9F" w:rsidP="006128F6">
      <w:pPr>
        <w:spacing w:line="240" w:lineRule="auto"/>
        <w:outlineLvl w:val="0"/>
        <w:rPr>
          <w:b/>
          <w:szCs w:val="22"/>
        </w:rPr>
      </w:pPr>
    </w:p>
    <w:p w14:paraId="678377FE" w14:textId="77777777" w:rsidR="00577F9F" w:rsidRPr="006128F6" w:rsidRDefault="00577F9F" w:rsidP="006128F6">
      <w:pPr>
        <w:spacing w:line="240" w:lineRule="auto"/>
        <w:outlineLvl w:val="0"/>
        <w:rPr>
          <w:b/>
          <w:szCs w:val="22"/>
        </w:rPr>
      </w:pPr>
    </w:p>
    <w:p w14:paraId="399F2DF4" w14:textId="77777777" w:rsidR="00577F9F" w:rsidRPr="006128F6" w:rsidRDefault="00577F9F" w:rsidP="006128F6">
      <w:pPr>
        <w:spacing w:line="240" w:lineRule="auto"/>
        <w:outlineLvl w:val="0"/>
        <w:rPr>
          <w:b/>
          <w:szCs w:val="22"/>
        </w:rPr>
      </w:pPr>
    </w:p>
    <w:p w14:paraId="2AB2CBF3" w14:textId="77777777" w:rsidR="00577F9F" w:rsidRPr="006128F6" w:rsidRDefault="00577F9F" w:rsidP="006128F6">
      <w:pPr>
        <w:spacing w:line="240" w:lineRule="auto"/>
        <w:outlineLvl w:val="0"/>
        <w:rPr>
          <w:b/>
          <w:szCs w:val="22"/>
        </w:rPr>
      </w:pPr>
    </w:p>
    <w:p w14:paraId="2846E8BE" w14:textId="77777777" w:rsidR="00577F9F" w:rsidRPr="006128F6" w:rsidRDefault="00577F9F" w:rsidP="006128F6">
      <w:pPr>
        <w:spacing w:line="240" w:lineRule="auto"/>
        <w:outlineLvl w:val="0"/>
        <w:rPr>
          <w:b/>
          <w:szCs w:val="22"/>
        </w:rPr>
      </w:pPr>
    </w:p>
    <w:p w14:paraId="435B9518" w14:textId="77777777" w:rsidR="00577F9F" w:rsidRPr="006128F6" w:rsidRDefault="00577F9F" w:rsidP="006128F6">
      <w:pPr>
        <w:spacing w:line="240" w:lineRule="auto"/>
        <w:outlineLvl w:val="0"/>
        <w:rPr>
          <w:b/>
          <w:szCs w:val="22"/>
        </w:rPr>
      </w:pPr>
    </w:p>
    <w:p w14:paraId="2B738BEB" w14:textId="77777777" w:rsidR="00577F9F" w:rsidRPr="006128F6" w:rsidRDefault="00577F9F" w:rsidP="006128F6">
      <w:pPr>
        <w:spacing w:line="240" w:lineRule="auto"/>
        <w:outlineLvl w:val="0"/>
        <w:rPr>
          <w:b/>
          <w:szCs w:val="22"/>
        </w:rPr>
      </w:pPr>
    </w:p>
    <w:p w14:paraId="0ACB73D1" w14:textId="77777777" w:rsidR="00577F9F" w:rsidRPr="006128F6" w:rsidRDefault="00577F9F" w:rsidP="006128F6">
      <w:pPr>
        <w:spacing w:line="240" w:lineRule="auto"/>
        <w:outlineLvl w:val="0"/>
        <w:rPr>
          <w:b/>
          <w:szCs w:val="22"/>
        </w:rPr>
      </w:pPr>
    </w:p>
    <w:p w14:paraId="3A26CA4E" w14:textId="77777777" w:rsidR="00577F9F" w:rsidRPr="006128F6" w:rsidRDefault="00577F9F" w:rsidP="006128F6">
      <w:pPr>
        <w:spacing w:line="240" w:lineRule="auto"/>
        <w:outlineLvl w:val="0"/>
        <w:rPr>
          <w:b/>
          <w:szCs w:val="22"/>
        </w:rPr>
      </w:pPr>
    </w:p>
    <w:p w14:paraId="7D2BE0B5" w14:textId="77777777" w:rsidR="00577F9F" w:rsidRPr="006128F6" w:rsidRDefault="00577F9F" w:rsidP="006128F6">
      <w:pPr>
        <w:spacing w:line="240" w:lineRule="auto"/>
        <w:outlineLvl w:val="0"/>
        <w:rPr>
          <w:b/>
          <w:szCs w:val="22"/>
        </w:rPr>
      </w:pPr>
    </w:p>
    <w:p w14:paraId="17587FCF" w14:textId="77777777" w:rsidR="00577F9F" w:rsidRPr="006128F6" w:rsidRDefault="00577F9F" w:rsidP="006128F6">
      <w:pPr>
        <w:spacing w:line="240" w:lineRule="auto"/>
        <w:outlineLvl w:val="0"/>
        <w:rPr>
          <w:b/>
          <w:szCs w:val="22"/>
        </w:rPr>
      </w:pPr>
    </w:p>
    <w:p w14:paraId="392BEC03" w14:textId="77777777" w:rsidR="00577F9F" w:rsidRPr="006128F6" w:rsidRDefault="00577F9F" w:rsidP="006128F6">
      <w:pPr>
        <w:spacing w:line="240" w:lineRule="auto"/>
        <w:outlineLvl w:val="0"/>
        <w:rPr>
          <w:b/>
          <w:szCs w:val="22"/>
        </w:rPr>
      </w:pPr>
    </w:p>
    <w:p w14:paraId="6509F153" w14:textId="77777777" w:rsidR="00577F9F" w:rsidRPr="006128F6" w:rsidRDefault="00577F9F" w:rsidP="006128F6">
      <w:pPr>
        <w:spacing w:line="240" w:lineRule="auto"/>
        <w:outlineLvl w:val="0"/>
        <w:rPr>
          <w:b/>
          <w:szCs w:val="22"/>
        </w:rPr>
      </w:pPr>
    </w:p>
    <w:p w14:paraId="497BECDF" w14:textId="77777777" w:rsidR="00577F9F" w:rsidRPr="006128F6" w:rsidRDefault="00577F9F" w:rsidP="006128F6">
      <w:pPr>
        <w:spacing w:line="240" w:lineRule="auto"/>
        <w:outlineLvl w:val="0"/>
        <w:rPr>
          <w:b/>
          <w:szCs w:val="22"/>
        </w:rPr>
      </w:pPr>
    </w:p>
    <w:p w14:paraId="323AFA2F" w14:textId="49768BEB" w:rsidR="00577F9F" w:rsidRDefault="00577F9F" w:rsidP="006128F6">
      <w:pPr>
        <w:spacing w:line="240" w:lineRule="auto"/>
        <w:outlineLvl w:val="0"/>
        <w:rPr>
          <w:b/>
          <w:szCs w:val="22"/>
        </w:rPr>
      </w:pPr>
    </w:p>
    <w:p w14:paraId="63E28D83" w14:textId="4EB126DC" w:rsidR="00113712" w:rsidRDefault="00113712" w:rsidP="006128F6">
      <w:pPr>
        <w:spacing w:line="240" w:lineRule="auto"/>
        <w:outlineLvl w:val="0"/>
        <w:rPr>
          <w:b/>
          <w:szCs w:val="22"/>
        </w:rPr>
      </w:pPr>
    </w:p>
    <w:p w14:paraId="7D2CB869" w14:textId="77777777" w:rsidR="00113712" w:rsidRPr="006128F6" w:rsidRDefault="00113712" w:rsidP="006128F6">
      <w:pPr>
        <w:spacing w:line="240" w:lineRule="auto"/>
        <w:outlineLvl w:val="0"/>
        <w:rPr>
          <w:b/>
          <w:szCs w:val="22"/>
        </w:rPr>
      </w:pPr>
    </w:p>
    <w:p w14:paraId="1B9CA861" w14:textId="77777777" w:rsidR="00577F9F" w:rsidRPr="006128F6" w:rsidRDefault="00577F9F" w:rsidP="006128F6">
      <w:pPr>
        <w:spacing w:line="240" w:lineRule="auto"/>
        <w:outlineLvl w:val="0"/>
        <w:rPr>
          <w:b/>
          <w:szCs w:val="22"/>
        </w:rPr>
      </w:pPr>
    </w:p>
    <w:p w14:paraId="0A2CD6D6" w14:textId="3596A7AD" w:rsidR="00577F9F" w:rsidRPr="006128F6" w:rsidRDefault="00577F9F" w:rsidP="006128F6">
      <w:pPr>
        <w:spacing w:line="240" w:lineRule="auto"/>
        <w:outlineLvl w:val="0"/>
        <w:rPr>
          <w:b/>
          <w:szCs w:val="22"/>
        </w:rPr>
      </w:pPr>
    </w:p>
    <w:p w14:paraId="753A9426" w14:textId="77777777" w:rsidR="00577F9F" w:rsidRPr="006128F6" w:rsidRDefault="00577F9F" w:rsidP="006128F6">
      <w:pPr>
        <w:pStyle w:val="TitleA"/>
      </w:pPr>
      <w:r w:rsidRPr="006128F6">
        <w:t>A. LABELLING</w:t>
      </w:r>
    </w:p>
    <w:p w14:paraId="63526FC9" w14:textId="77777777" w:rsidR="00577F9F" w:rsidRPr="006128F6" w:rsidRDefault="00577F9F" w:rsidP="00CE71A5">
      <w:pPr>
        <w:shd w:val="clear" w:color="auto" w:fill="FFFFFF"/>
        <w:spacing w:line="240" w:lineRule="auto"/>
        <w:rPr>
          <w:szCs w:val="22"/>
        </w:rPr>
      </w:pPr>
      <w:r w:rsidRPr="006128F6">
        <w:rPr>
          <w:szCs w:val="22"/>
        </w:rPr>
        <w:br w:type="page"/>
      </w:r>
    </w:p>
    <w:p w14:paraId="0C698947" w14:textId="77777777" w:rsidR="004E2671" w:rsidRPr="006128F6" w:rsidRDefault="00577F9F" w:rsidP="00CE71A5">
      <w:pPr>
        <w:pBdr>
          <w:top w:val="single" w:sz="4" w:space="1" w:color="auto"/>
          <w:left w:val="single" w:sz="4" w:space="4" w:color="auto"/>
          <w:bottom w:val="single" w:sz="4" w:space="1" w:color="auto"/>
          <w:right w:val="single" w:sz="4" w:space="4" w:color="auto"/>
        </w:pBdr>
        <w:spacing w:line="240" w:lineRule="auto"/>
        <w:rPr>
          <w:b/>
          <w:szCs w:val="22"/>
        </w:rPr>
      </w:pPr>
      <w:r w:rsidRPr="006128F6">
        <w:rPr>
          <w:b/>
          <w:szCs w:val="22"/>
        </w:rPr>
        <w:t xml:space="preserve">PARTICULARS TO APPEAR ON THE OUTER </w:t>
      </w:r>
      <w:r w:rsidR="004E2671" w:rsidRPr="006128F6">
        <w:rPr>
          <w:b/>
          <w:szCs w:val="22"/>
        </w:rPr>
        <w:t xml:space="preserve">PACKAGING </w:t>
      </w:r>
    </w:p>
    <w:p w14:paraId="075C5986" w14:textId="1B18405A" w:rsidR="00577F9F" w:rsidRPr="006128F6" w:rsidRDefault="00577F9F" w:rsidP="00CE71A5">
      <w:pPr>
        <w:pBdr>
          <w:top w:val="single" w:sz="4" w:space="1" w:color="auto"/>
          <w:left w:val="single" w:sz="4" w:space="4" w:color="auto"/>
          <w:bottom w:val="single" w:sz="4" w:space="1" w:color="auto"/>
          <w:right w:val="single" w:sz="4" w:space="4" w:color="auto"/>
        </w:pBdr>
        <w:spacing w:line="240" w:lineRule="auto"/>
        <w:rPr>
          <w:bCs/>
          <w:szCs w:val="22"/>
        </w:rPr>
      </w:pPr>
    </w:p>
    <w:p w14:paraId="7CE318F5" w14:textId="77777777" w:rsidR="00577F9F" w:rsidRPr="006128F6" w:rsidRDefault="0039353D" w:rsidP="00CE71A5">
      <w:pPr>
        <w:pBdr>
          <w:top w:val="single" w:sz="4" w:space="1" w:color="auto"/>
          <w:left w:val="single" w:sz="4" w:space="4" w:color="auto"/>
          <w:bottom w:val="single" w:sz="4" w:space="1" w:color="auto"/>
          <w:right w:val="single" w:sz="4" w:space="4" w:color="auto"/>
        </w:pBdr>
        <w:spacing w:line="240" w:lineRule="auto"/>
        <w:rPr>
          <w:bCs/>
          <w:szCs w:val="22"/>
        </w:rPr>
      </w:pPr>
      <w:r w:rsidRPr="006128F6">
        <w:rPr>
          <w:b/>
          <w:szCs w:val="22"/>
        </w:rPr>
        <w:t>CARTON</w:t>
      </w:r>
    </w:p>
    <w:p w14:paraId="2F416072" w14:textId="77777777" w:rsidR="00577F9F" w:rsidRPr="006128F6" w:rsidRDefault="00577F9F" w:rsidP="00CE71A5">
      <w:pPr>
        <w:spacing w:line="240" w:lineRule="auto"/>
      </w:pPr>
    </w:p>
    <w:p w14:paraId="7A1DCF8D" w14:textId="77777777" w:rsidR="00577F9F" w:rsidRPr="006128F6" w:rsidRDefault="00577F9F" w:rsidP="00CE71A5">
      <w:pPr>
        <w:spacing w:line="240" w:lineRule="auto"/>
        <w:rPr>
          <w:szCs w:val="22"/>
        </w:rPr>
      </w:pPr>
    </w:p>
    <w:p w14:paraId="64B041C4" w14:textId="77777777" w:rsidR="00577F9F" w:rsidRPr="006128F6" w:rsidRDefault="00577F9F" w:rsidP="00CE71A5">
      <w:pPr>
        <w:pBdr>
          <w:top w:val="single" w:sz="4" w:space="1" w:color="auto"/>
          <w:left w:val="single" w:sz="4" w:space="4" w:color="auto"/>
          <w:bottom w:val="single" w:sz="4" w:space="1" w:color="auto"/>
          <w:right w:val="single" w:sz="4" w:space="4" w:color="auto"/>
        </w:pBdr>
        <w:spacing w:line="240" w:lineRule="auto"/>
        <w:ind w:left="567" w:hanging="567"/>
        <w:outlineLvl w:val="0"/>
      </w:pPr>
      <w:r w:rsidRPr="006128F6">
        <w:rPr>
          <w:b/>
        </w:rPr>
        <w:t>1.</w:t>
      </w:r>
      <w:r w:rsidRPr="006128F6">
        <w:rPr>
          <w:b/>
        </w:rPr>
        <w:tab/>
        <w:t>NAME OF THE MEDICINAL PRODUCT</w:t>
      </w:r>
    </w:p>
    <w:p w14:paraId="58D7EB9F" w14:textId="77777777" w:rsidR="00577F9F" w:rsidRPr="006128F6" w:rsidRDefault="00577F9F" w:rsidP="00CE71A5">
      <w:pPr>
        <w:spacing w:line="240" w:lineRule="auto"/>
        <w:rPr>
          <w:szCs w:val="22"/>
        </w:rPr>
      </w:pPr>
    </w:p>
    <w:p w14:paraId="6E77106B" w14:textId="09AD8A5B" w:rsidR="0039353D" w:rsidRPr="006128F6" w:rsidRDefault="008E0EE9" w:rsidP="00CE71A5">
      <w:pPr>
        <w:autoSpaceDE w:val="0"/>
        <w:autoSpaceDN w:val="0"/>
        <w:adjustRightInd w:val="0"/>
        <w:spacing w:line="240" w:lineRule="auto"/>
        <w:rPr>
          <w:color w:val="000000"/>
        </w:rPr>
      </w:pPr>
      <w:r w:rsidRPr="006128F6">
        <w:rPr>
          <w:color w:val="000000"/>
        </w:rPr>
        <w:t>KANJINTI</w:t>
      </w:r>
      <w:r w:rsidR="0039353D" w:rsidRPr="006128F6">
        <w:rPr>
          <w:color w:val="000000"/>
        </w:rPr>
        <w:t xml:space="preserve"> 150 mg powder for concentrate for solution for infusion</w:t>
      </w:r>
    </w:p>
    <w:p w14:paraId="56883C49" w14:textId="77777777" w:rsidR="00577F9F" w:rsidRPr="006128F6" w:rsidRDefault="00DA6EA5" w:rsidP="00CE71A5">
      <w:pPr>
        <w:spacing w:line="240" w:lineRule="auto"/>
        <w:rPr>
          <w:b/>
          <w:szCs w:val="22"/>
        </w:rPr>
      </w:pPr>
      <w:r w:rsidRPr="006128F6">
        <w:rPr>
          <w:szCs w:val="22"/>
        </w:rPr>
        <w:t>t</w:t>
      </w:r>
      <w:r w:rsidR="00AE50A4" w:rsidRPr="006128F6">
        <w:rPr>
          <w:szCs w:val="22"/>
        </w:rPr>
        <w:t>rastuzumab</w:t>
      </w:r>
    </w:p>
    <w:p w14:paraId="437DA4D2" w14:textId="77777777" w:rsidR="00577F9F" w:rsidRPr="006128F6" w:rsidRDefault="00577F9F" w:rsidP="00CE71A5">
      <w:pPr>
        <w:spacing w:line="240" w:lineRule="auto"/>
        <w:rPr>
          <w:szCs w:val="22"/>
        </w:rPr>
      </w:pPr>
    </w:p>
    <w:p w14:paraId="4628E022" w14:textId="77777777" w:rsidR="00577F9F" w:rsidRPr="006128F6" w:rsidRDefault="00577F9F" w:rsidP="00CE71A5">
      <w:pPr>
        <w:spacing w:line="240" w:lineRule="auto"/>
        <w:rPr>
          <w:szCs w:val="22"/>
        </w:rPr>
      </w:pPr>
    </w:p>
    <w:p w14:paraId="292B5C02" w14:textId="77777777" w:rsidR="00577F9F" w:rsidRPr="006128F6" w:rsidRDefault="00577F9F"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128F6">
        <w:rPr>
          <w:b/>
          <w:szCs w:val="22"/>
        </w:rPr>
        <w:t>2.</w:t>
      </w:r>
      <w:r w:rsidRPr="006128F6">
        <w:rPr>
          <w:b/>
          <w:szCs w:val="22"/>
        </w:rPr>
        <w:tab/>
        <w:t>STATEMENT OF ACTIVE SUBSTANCE(S)</w:t>
      </w:r>
    </w:p>
    <w:p w14:paraId="7F758287" w14:textId="77777777" w:rsidR="00577F9F" w:rsidRPr="006128F6" w:rsidRDefault="00577F9F" w:rsidP="00CE71A5">
      <w:pPr>
        <w:spacing w:line="240" w:lineRule="auto"/>
        <w:rPr>
          <w:szCs w:val="22"/>
        </w:rPr>
      </w:pPr>
    </w:p>
    <w:p w14:paraId="5A1D7206" w14:textId="1C238214" w:rsidR="0039353D" w:rsidRPr="006128F6" w:rsidRDefault="0039353D" w:rsidP="00CE71A5">
      <w:pPr>
        <w:spacing w:line="240" w:lineRule="auto"/>
        <w:rPr>
          <w:szCs w:val="22"/>
        </w:rPr>
      </w:pPr>
      <w:r w:rsidRPr="006128F6">
        <w:rPr>
          <w:szCs w:val="22"/>
        </w:rPr>
        <w:t>The vial contains 150</w:t>
      </w:r>
      <w:r w:rsidR="007C066F" w:rsidRPr="006128F6">
        <w:rPr>
          <w:szCs w:val="22"/>
        </w:rPr>
        <w:t> </w:t>
      </w:r>
      <w:r w:rsidRPr="006128F6">
        <w:rPr>
          <w:szCs w:val="22"/>
        </w:rPr>
        <w:t xml:space="preserve">mg trastuzumab. </w:t>
      </w:r>
    </w:p>
    <w:p w14:paraId="05B2550B" w14:textId="39C946A7" w:rsidR="00577F9F" w:rsidRPr="006128F6" w:rsidRDefault="0039353D" w:rsidP="00CE71A5">
      <w:pPr>
        <w:spacing w:line="240" w:lineRule="auto"/>
        <w:rPr>
          <w:szCs w:val="22"/>
        </w:rPr>
      </w:pPr>
      <w:r w:rsidRPr="006128F6">
        <w:rPr>
          <w:szCs w:val="22"/>
        </w:rPr>
        <w:t>After reconstitution 1</w:t>
      </w:r>
      <w:r w:rsidR="00965DBF" w:rsidRPr="006128F6">
        <w:rPr>
          <w:szCs w:val="22"/>
        </w:rPr>
        <w:t> </w:t>
      </w:r>
      <w:r w:rsidR="003E19D7" w:rsidRPr="006128F6">
        <w:rPr>
          <w:szCs w:val="22"/>
        </w:rPr>
        <w:t xml:space="preserve">mL </w:t>
      </w:r>
      <w:r w:rsidRPr="006128F6">
        <w:rPr>
          <w:szCs w:val="22"/>
        </w:rPr>
        <w:t>concentrate contains 21</w:t>
      </w:r>
      <w:r w:rsidR="007C066F" w:rsidRPr="006128F6">
        <w:rPr>
          <w:szCs w:val="22"/>
        </w:rPr>
        <w:t> </w:t>
      </w:r>
      <w:r w:rsidRPr="006128F6">
        <w:rPr>
          <w:szCs w:val="22"/>
        </w:rPr>
        <w:t>mg of trastuzumab.</w:t>
      </w:r>
    </w:p>
    <w:p w14:paraId="2575451D" w14:textId="77777777" w:rsidR="00577F9F" w:rsidRPr="006128F6" w:rsidRDefault="00577F9F" w:rsidP="00CE71A5">
      <w:pPr>
        <w:spacing w:line="240" w:lineRule="auto"/>
        <w:rPr>
          <w:szCs w:val="22"/>
        </w:rPr>
      </w:pPr>
    </w:p>
    <w:p w14:paraId="1EE93344" w14:textId="77777777" w:rsidR="00577F9F" w:rsidRPr="006128F6" w:rsidRDefault="00577F9F" w:rsidP="00CE71A5">
      <w:pPr>
        <w:spacing w:line="240" w:lineRule="auto"/>
        <w:rPr>
          <w:szCs w:val="22"/>
        </w:rPr>
      </w:pPr>
    </w:p>
    <w:p w14:paraId="73608759" w14:textId="77777777" w:rsidR="00577F9F" w:rsidRPr="006128F6" w:rsidRDefault="00577F9F"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3.</w:t>
      </w:r>
      <w:r w:rsidRPr="006128F6">
        <w:rPr>
          <w:b/>
          <w:szCs w:val="22"/>
        </w:rPr>
        <w:tab/>
        <w:t>LIST OF EXCIPIENTS</w:t>
      </w:r>
    </w:p>
    <w:p w14:paraId="593564C1" w14:textId="77777777" w:rsidR="00577F9F" w:rsidRPr="006128F6" w:rsidRDefault="00577F9F" w:rsidP="00CE71A5">
      <w:pPr>
        <w:spacing w:line="240" w:lineRule="auto"/>
        <w:rPr>
          <w:szCs w:val="22"/>
        </w:rPr>
      </w:pPr>
    </w:p>
    <w:p w14:paraId="70673107" w14:textId="403E7419" w:rsidR="00577F9F" w:rsidRPr="006128F6" w:rsidRDefault="00A4219B" w:rsidP="00CE71A5">
      <w:pPr>
        <w:tabs>
          <w:tab w:val="clear" w:pos="567"/>
        </w:tabs>
        <w:autoSpaceDE w:val="0"/>
        <w:autoSpaceDN w:val="0"/>
        <w:adjustRightInd w:val="0"/>
        <w:spacing w:line="240" w:lineRule="auto"/>
        <w:rPr>
          <w:szCs w:val="22"/>
        </w:rPr>
      </w:pPr>
      <w:r w:rsidRPr="00CE427E">
        <w:rPr>
          <w:rFonts w:eastAsia="Calibri"/>
          <w:color w:val="000000"/>
          <w:szCs w:val="22"/>
        </w:rPr>
        <w:t xml:space="preserve">Excipients: histidine, histidine monohydrochloride, trehalose </w:t>
      </w:r>
      <w:r w:rsidR="00074E07" w:rsidRPr="00CE427E">
        <w:rPr>
          <w:rFonts w:eastAsia="Calibri"/>
          <w:color w:val="000000"/>
          <w:szCs w:val="22"/>
        </w:rPr>
        <w:t>dihy</w:t>
      </w:r>
      <w:r w:rsidRPr="00CE427E">
        <w:rPr>
          <w:rFonts w:eastAsia="Calibri"/>
          <w:color w:val="000000"/>
          <w:szCs w:val="22"/>
        </w:rPr>
        <w:t>drate</w:t>
      </w:r>
      <w:r w:rsidR="0039353D" w:rsidRPr="00CE427E">
        <w:rPr>
          <w:rFonts w:eastAsia="Calibri"/>
          <w:color w:val="000000"/>
          <w:szCs w:val="22"/>
        </w:rPr>
        <w:t>, polysorbate 20</w:t>
      </w:r>
      <w:r w:rsidR="008E0EE9" w:rsidRPr="00CE427E">
        <w:rPr>
          <w:rFonts w:eastAsia="Calibri"/>
          <w:color w:val="000000"/>
          <w:szCs w:val="22"/>
        </w:rPr>
        <w:t>.</w:t>
      </w:r>
    </w:p>
    <w:p w14:paraId="41D0CF7B" w14:textId="77777777" w:rsidR="0039353D" w:rsidRPr="006128F6" w:rsidRDefault="0039353D" w:rsidP="00CE71A5">
      <w:pPr>
        <w:spacing w:line="240" w:lineRule="auto"/>
        <w:rPr>
          <w:szCs w:val="22"/>
        </w:rPr>
      </w:pPr>
    </w:p>
    <w:p w14:paraId="0FFCB3A5" w14:textId="77777777" w:rsidR="008E0EE9" w:rsidRPr="006128F6" w:rsidRDefault="008E0EE9" w:rsidP="00CE71A5">
      <w:pPr>
        <w:spacing w:line="240" w:lineRule="auto"/>
        <w:rPr>
          <w:szCs w:val="22"/>
        </w:rPr>
      </w:pPr>
    </w:p>
    <w:p w14:paraId="02B477EE" w14:textId="77777777" w:rsidR="00577F9F" w:rsidRPr="006128F6" w:rsidRDefault="00577F9F"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4.</w:t>
      </w:r>
      <w:r w:rsidRPr="006128F6">
        <w:rPr>
          <w:b/>
          <w:szCs w:val="22"/>
        </w:rPr>
        <w:tab/>
        <w:t>PHARMACEUTICAL FORM AND CONTENTS</w:t>
      </w:r>
    </w:p>
    <w:p w14:paraId="60699B8F" w14:textId="77777777" w:rsidR="00577F9F" w:rsidRPr="006128F6" w:rsidRDefault="00577F9F" w:rsidP="00CE71A5">
      <w:pPr>
        <w:spacing w:line="240" w:lineRule="auto"/>
        <w:rPr>
          <w:szCs w:val="22"/>
        </w:rPr>
      </w:pPr>
    </w:p>
    <w:p w14:paraId="4E819C56" w14:textId="77777777" w:rsidR="00577F9F" w:rsidRPr="006128F6" w:rsidRDefault="0039353D" w:rsidP="00CE71A5">
      <w:pPr>
        <w:spacing w:line="240" w:lineRule="auto"/>
        <w:rPr>
          <w:szCs w:val="22"/>
        </w:rPr>
      </w:pPr>
      <w:r>
        <w:rPr>
          <w:szCs w:val="22"/>
          <w:highlight w:val="lightGray"/>
        </w:rPr>
        <w:t>Powder for concentrate for solution for infusion</w:t>
      </w:r>
    </w:p>
    <w:p w14:paraId="5D57627C" w14:textId="77777777" w:rsidR="0039353D" w:rsidRPr="006128F6" w:rsidRDefault="0039353D" w:rsidP="00CE71A5">
      <w:pPr>
        <w:spacing w:line="240" w:lineRule="auto"/>
        <w:rPr>
          <w:szCs w:val="22"/>
        </w:rPr>
      </w:pPr>
      <w:r w:rsidRPr="006128F6">
        <w:rPr>
          <w:szCs w:val="22"/>
        </w:rPr>
        <w:t>1 vial</w:t>
      </w:r>
    </w:p>
    <w:p w14:paraId="7C6A27AE" w14:textId="77777777" w:rsidR="0039353D" w:rsidRPr="006128F6" w:rsidRDefault="0039353D" w:rsidP="00CE71A5">
      <w:pPr>
        <w:spacing w:line="240" w:lineRule="auto"/>
        <w:rPr>
          <w:szCs w:val="22"/>
        </w:rPr>
      </w:pPr>
    </w:p>
    <w:p w14:paraId="026FA43F" w14:textId="77777777" w:rsidR="008E0EE9" w:rsidRPr="006128F6" w:rsidRDefault="008E0EE9" w:rsidP="00CE71A5">
      <w:pPr>
        <w:spacing w:line="240" w:lineRule="auto"/>
        <w:rPr>
          <w:szCs w:val="22"/>
        </w:rPr>
      </w:pPr>
    </w:p>
    <w:p w14:paraId="0F8128FD" w14:textId="77777777" w:rsidR="00577F9F" w:rsidRPr="006128F6" w:rsidRDefault="00577F9F"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5.</w:t>
      </w:r>
      <w:r w:rsidRPr="006128F6">
        <w:rPr>
          <w:b/>
          <w:szCs w:val="22"/>
        </w:rPr>
        <w:tab/>
        <w:t>METHOD AND ROUTE(S) OF ADMINISTRATION</w:t>
      </w:r>
    </w:p>
    <w:p w14:paraId="690E1F3D" w14:textId="77777777" w:rsidR="00577F9F" w:rsidRPr="006128F6" w:rsidRDefault="00577F9F" w:rsidP="00CE71A5">
      <w:pPr>
        <w:spacing w:line="240" w:lineRule="auto"/>
        <w:rPr>
          <w:szCs w:val="22"/>
        </w:rPr>
      </w:pPr>
    </w:p>
    <w:p w14:paraId="5DD1633D" w14:textId="2816FE6A" w:rsidR="0039353D" w:rsidRPr="006128F6" w:rsidRDefault="008E0EE9" w:rsidP="00CE71A5">
      <w:pPr>
        <w:spacing w:line="240" w:lineRule="auto"/>
        <w:rPr>
          <w:szCs w:val="22"/>
        </w:rPr>
      </w:pPr>
      <w:r w:rsidRPr="006128F6">
        <w:rPr>
          <w:szCs w:val="22"/>
        </w:rPr>
        <w:t>For intravenous use</w:t>
      </w:r>
      <w:r w:rsidR="00D55CB3">
        <w:rPr>
          <w:szCs w:val="22"/>
        </w:rPr>
        <w:t xml:space="preserve"> </w:t>
      </w:r>
      <w:r w:rsidR="00D55CB3" w:rsidRPr="00CE427E">
        <w:rPr>
          <w:rFonts w:eastAsia="Calibri"/>
          <w:szCs w:val="22"/>
        </w:rPr>
        <w:t>after reconstitution and dilution</w:t>
      </w:r>
      <w:r w:rsidRPr="00A00EF2">
        <w:rPr>
          <w:szCs w:val="22"/>
        </w:rPr>
        <w:t>.</w:t>
      </w:r>
    </w:p>
    <w:p w14:paraId="44D91392" w14:textId="77777777" w:rsidR="00577F9F" w:rsidRPr="006128F6" w:rsidRDefault="00577F9F" w:rsidP="00CE71A5">
      <w:pPr>
        <w:spacing w:line="240" w:lineRule="auto"/>
        <w:rPr>
          <w:szCs w:val="22"/>
        </w:rPr>
      </w:pPr>
      <w:r w:rsidRPr="006128F6">
        <w:rPr>
          <w:szCs w:val="22"/>
        </w:rPr>
        <w:t>Read the package leaflet before use.</w:t>
      </w:r>
    </w:p>
    <w:p w14:paraId="56D09DE8" w14:textId="77777777" w:rsidR="00577F9F" w:rsidRPr="006128F6" w:rsidRDefault="00577F9F" w:rsidP="00CE71A5">
      <w:pPr>
        <w:spacing w:line="240" w:lineRule="auto"/>
        <w:rPr>
          <w:szCs w:val="22"/>
        </w:rPr>
      </w:pPr>
    </w:p>
    <w:p w14:paraId="1C46AD44" w14:textId="77777777" w:rsidR="00577F9F" w:rsidRPr="006128F6" w:rsidRDefault="00577F9F" w:rsidP="00CE71A5">
      <w:pPr>
        <w:spacing w:line="240" w:lineRule="auto"/>
        <w:rPr>
          <w:szCs w:val="22"/>
        </w:rPr>
      </w:pPr>
    </w:p>
    <w:p w14:paraId="5E71D754" w14:textId="77777777" w:rsidR="00577F9F" w:rsidRPr="006128F6" w:rsidRDefault="00577F9F"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6.</w:t>
      </w:r>
      <w:r w:rsidRPr="006128F6">
        <w:rPr>
          <w:b/>
          <w:szCs w:val="22"/>
        </w:rPr>
        <w:tab/>
        <w:t>SPECIAL WARNING THAT THE MEDICINAL PRODUCT MUST BE STORED OUT OF THE SIGHT AND REACH OF CHILDREN</w:t>
      </w:r>
    </w:p>
    <w:p w14:paraId="505E923F" w14:textId="77777777" w:rsidR="00577F9F" w:rsidRPr="006128F6" w:rsidRDefault="00577F9F" w:rsidP="00CE71A5">
      <w:pPr>
        <w:spacing w:line="240" w:lineRule="auto"/>
        <w:rPr>
          <w:szCs w:val="22"/>
        </w:rPr>
      </w:pPr>
    </w:p>
    <w:p w14:paraId="571D67D5" w14:textId="77777777" w:rsidR="00577F9F" w:rsidRPr="006128F6" w:rsidRDefault="00577F9F" w:rsidP="00CE71A5">
      <w:pPr>
        <w:spacing w:line="240" w:lineRule="auto"/>
        <w:outlineLvl w:val="0"/>
        <w:rPr>
          <w:szCs w:val="22"/>
        </w:rPr>
      </w:pPr>
      <w:r w:rsidRPr="006128F6">
        <w:rPr>
          <w:szCs w:val="22"/>
        </w:rPr>
        <w:t>Keep out of the sight and reach of children.</w:t>
      </w:r>
    </w:p>
    <w:p w14:paraId="1E253444" w14:textId="77777777" w:rsidR="00577F9F" w:rsidRPr="006128F6" w:rsidRDefault="00577F9F" w:rsidP="00CE71A5">
      <w:pPr>
        <w:spacing w:line="240" w:lineRule="auto"/>
        <w:rPr>
          <w:szCs w:val="22"/>
        </w:rPr>
      </w:pPr>
    </w:p>
    <w:p w14:paraId="1452DF09" w14:textId="77777777" w:rsidR="00577F9F" w:rsidRPr="006128F6" w:rsidRDefault="00577F9F" w:rsidP="00CE71A5">
      <w:pPr>
        <w:spacing w:line="240" w:lineRule="auto"/>
        <w:rPr>
          <w:szCs w:val="22"/>
        </w:rPr>
      </w:pPr>
    </w:p>
    <w:p w14:paraId="4A4316F0" w14:textId="77777777" w:rsidR="00577F9F" w:rsidRPr="006128F6" w:rsidRDefault="00577F9F"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7.</w:t>
      </w:r>
      <w:r w:rsidRPr="006128F6">
        <w:rPr>
          <w:b/>
          <w:szCs w:val="22"/>
        </w:rPr>
        <w:tab/>
        <w:t>OTHER SPECIAL WARNING(S), IF NECESSARY</w:t>
      </w:r>
    </w:p>
    <w:p w14:paraId="0AD3D7A6" w14:textId="77777777" w:rsidR="00577F9F" w:rsidRPr="006128F6" w:rsidRDefault="00577F9F" w:rsidP="00CE71A5">
      <w:pPr>
        <w:spacing w:line="240" w:lineRule="auto"/>
        <w:rPr>
          <w:szCs w:val="22"/>
        </w:rPr>
      </w:pPr>
    </w:p>
    <w:p w14:paraId="19F39697" w14:textId="77777777" w:rsidR="00C33F49" w:rsidRPr="006128F6" w:rsidRDefault="00C33F49" w:rsidP="00CE71A5">
      <w:pPr>
        <w:tabs>
          <w:tab w:val="left" w:pos="749"/>
        </w:tabs>
        <w:spacing w:line="240" w:lineRule="auto"/>
      </w:pPr>
    </w:p>
    <w:p w14:paraId="781AC60D" w14:textId="77777777" w:rsidR="00577F9F" w:rsidRPr="006128F6" w:rsidRDefault="00577F9F" w:rsidP="00CE71A5">
      <w:pPr>
        <w:pBdr>
          <w:top w:val="single" w:sz="4" w:space="1" w:color="auto"/>
          <w:left w:val="single" w:sz="4" w:space="4" w:color="auto"/>
          <w:bottom w:val="single" w:sz="4" w:space="1" w:color="auto"/>
          <w:right w:val="single" w:sz="4" w:space="4" w:color="auto"/>
        </w:pBdr>
        <w:spacing w:line="240" w:lineRule="auto"/>
        <w:ind w:left="567" w:hanging="567"/>
        <w:outlineLvl w:val="0"/>
      </w:pPr>
      <w:r w:rsidRPr="006128F6">
        <w:rPr>
          <w:b/>
        </w:rPr>
        <w:t>8.</w:t>
      </w:r>
      <w:r w:rsidRPr="006128F6">
        <w:rPr>
          <w:b/>
        </w:rPr>
        <w:tab/>
        <w:t>EXPIRY DATE</w:t>
      </w:r>
    </w:p>
    <w:p w14:paraId="362CE3D9" w14:textId="77777777" w:rsidR="00577F9F" w:rsidRPr="006128F6" w:rsidRDefault="00577F9F" w:rsidP="00CE71A5">
      <w:pPr>
        <w:spacing w:line="240" w:lineRule="auto"/>
      </w:pPr>
    </w:p>
    <w:p w14:paraId="732DD0DF" w14:textId="77777777" w:rsidR="0039353D" w:rsidRPr="006128F6" w:rsidRDefault="0039353D" w:rsidP="00CE71A5">
      <w:pPr>
        <w:spacing w:line="240" w:lineRule="auto"/>
      </w:pPr>
      <w:r w:rsidRPr="006128F6">
        <w:t>EXP</w:t>
      </w:r>
    </w:p>
    <w:p w14:paraId="3FB3016F" w14:textId="77777777" w:rsidR="00577F9F" w:rsidRPr="006128F6" w:rsidRDefault="00577F9F" w:rsidP="00CE71A5">
      <w:pPr>
        <w:spacing w:line="240" w:lineRule="auto"/>
        <w:rPr>
          <w:szCs w:val="22"/>
        </w:rPr>
      </w:pPr>
    </w:p>
    <w:p w14:paraId="514AD411" w14:textId="77777777" w:rsidR="003E19D7" w:rsidRPr="006128F6" w:rsidRDefault="003E19D7" w:rsidP="00CE71A5">
      <w:pPr>
        <w:spacing w:line="240" w:lineRule="auto"/>
        <w:rPr>
          <w:szCs w:val="22"/>
        </w:rPr>
      </w:pPr>
    </w:p>
    <w:p w14:paraId="3EB67AB9" w14:textId="77777777" w:rsidR="00577F9F" w:rsidRPr="006128F6" w:rsidRDefault="00577F9F" w:rsidP="00CE71A5">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9.</w:t>
      </w:r>
      <w:r w:rsidRPr="006128F6">
        <w:rPr>
          <w:b/>
          <w:szCs w:val="22"/>
        </w:rPr>
        <w:tab/>
        <w:t>SPECIAL STORAGE CONDITIONS</w:t>
      </w:r>
    </w:p>
    <w:p w14:paraId="798EF048" w14:textId="77777777" w:rsidR="00577F9F" w:rsidRPr="006128F6" w:rsidRDefault="00577F9F" w:rsidP="00CE71A5">
      <w:pPr>
        <w:keepNext/>
        <w:spacing w:line="240" w:lineRule="auto"/>
        <w:rPr>
          <w:szCs w:val="22"/>
        </w:rPr>
      </w:pPr>
    </w:p>
    <w:p w14:paraId="20841354" w14:textId="0AF5AE24" w:rsidR="00992CD0" w:rsidRPr="006128F6" w:rsidRDefault="0039353D" w:rsidP="00CE71A5">
      <w:pPr>
        <w:keepNext/>
        <w:tabs>
          <w:tab w:val="clear" w:pos="567"/>
        </w:tabs>
        <w:spacing w:line="240" w:lineRule="auto"/>
        <w:rPr>
          <w:szCs w:val="22"/>
        </w:rPr>
      </w:pPr>
      <w:r w:rsidRPr="006128F6">
        <w:rPr>
          <w:szCs w:val="22"/>
        </w:rPr>
        <w:t>Store in a refrigerator.</w:t>
      </w:r>
      <w:r w:rsidR="009B5BC5">
        <w:rPr>
          <w:szCs w:val="22"/>
        </w:rPr>
        <w:t xml:space="preserve"> </w:t>
      </w:r>
      <w:r w:rsidR="00D248DE">
        <w:rPr>
          <w:color w:val="000000"/>
        </w:rPr>
        <w:t>Store in the original package in order to protect from light.</w:t>
      </w:r>
    </w:p>
    <w:p w14:paraId="05E632B8" w14:textId="77777777" w:rsidR="00992CD0" w:rsidRPr="006128F6" w:rsidRDefault="00992CD0" w:rsidP="00CE71A5">
      <w:pPr>
        <w:spacing w:line="240" w:lineRule="auto"/>
        <w:ind w:left="567" w:hanging="567"/>
        <w:rPr>
          <w:szCs w:val="22"/>
        </w:rPr>
      </w:pPr>
    </w:p>
    <w:p w14:paraId="6B346EF8" w14:textId="77777777" w:rsidR="00992CD0" w:rsidRPr="006128F6" w:rsidRDefault="00992CD0" w:rsidP="00CE71A5">
      <w:pPr>
        <w:spacing w:line="240" w:lineRule="auto"/>
        <w:ind w:left="567" w:hanging="567"/>
        <w:rPr>
          <w:szCs w:val="22"/>
        </w:rPr>
      </w:pPr>
    </w:p>
    <w:p w14:paraId="55920DCA" w14:textId="77777777" w:rsidR="00577F9F" w:rsidRPr="006128F6" w:rsidRDefault="00577F9F"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128F6">
        <w:rPr>
          <w:b/>
          <w:szCs w:val="22"/>
        </w:rPr>
        <w:lastRenderedPageBreak/>
        <w:t>10.</w:t>
      </w:r>
      <w:r w:rsidRPr="006128F6">
        <w:rPr>
          <w:b/>
          <w:szCs w:val="22"/>
        </w:rPr>
        <w:tab/>
        <w:t>SPECIAL PRECAUTIONS FOR DISPOSAL OF UNUSED MEDICINAL PRODUCTS OR WASTE MATERIALS DERIVED FROM SUCH MEDICINAL PRODUCTS, IF APPROPRIATE</w:t>
      </w:r>
    </w:p>
    <w:p w14:paraId="5F27D539" w14:textId="77777777" w:rsidR="00577F9F" w:rsidRPr="006128F6" w:rsidRDefault="00577F9F" w:rsidP="00CE71A5">
      <w:pPr>
        <w:spacing w:line="240" w:lineRule="auto"/>
        <w:rPr>
          <w:szCs w:val="22"/>
        </w:rPr>
      </w:pPr>
    </w:p>
    <w:p w14:paraId="162BD98E" w14:textId="77777777" w:rsidR="00577F9F" w:rsidRPr="006128F6" w:rsidRDefault="00577F9F" w:rsidP="00CE71A5">
      <w:pPr>
        <w:spacing w:line="240" w:lineRule="auto"/>
        <w:rPr>
          <w:szCs w:val="22"/>
        </w:rPr>
      </w:pPr>
    </w:p>
    <w:p w14:paraId="2B45DB01" w14:textId="77777777" w:rsidR="00577F9F" w:rsidRPr="006128F6" w:rsidRDefault="00577F9F"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128F6">
        <w:rPr>
          <w:b/>
          <w:szCs w:val="22"/>
        </w:rPr>
        <w:t>11.</w:t>
      </w:r>
      <w:r w:rsidRPr="006128F6">
        <w:rPr>
          <w:b/>
          <w:szCs w:val="22"/>
        </w:rPr>
        <w:tab/>
        <w:t>NAME AND ADDRESS OF THE MARKETING AUTHORISATION HOLDER</w:t>
      </w:r>
    </w:p>
    <w:p w14:paraId="31EF749B" w14:textId="77777777" w:rsidR="00577F9F" w:rsidRPr="006128F6" w:rsidRDefault="00577F9F" w:rsidP="00CE71A5">
      <w:pPr>
        <w:spacing w:line="240" w:lineRule="auto"/>
        <w:rPr>
          <w:szCs w:val="22"/>
        </w:rPr>
      </w:pPr>
    </w:p>
    <w:p w14:paraId="4A591D79" w14:textId="6E3C83D3" w:rsidR="0039353D" w:rsidRPr="00C25AB7" w:rsidRDefault="0039353D" w:rsidP="00CE71A5">
      <w:pPr>
        <w:spacing w:line="240" w:lineRule="auto"/>
        <w:rPr>
          <w:lang w:val="de-DE"/>
        </w:rPr>
      </w:pPr>
      <w:r w:rsidRPr="00C25AB7">
        <w:rPr>
          <w:lang w:val="de-DE"/>
        </w:rPr>
        <w:t>Amgen Europe B.V.</w:t>
      </w:r>
    </w:p>
    <w:p w14:paraId="57CC8984" w14:textId="77777777" w:rsidR="0039353D" w:rsidRPr="00C25AB7" w:rsidRDefault="0039353D" w:rsidP="00CE71A5">
      <w:pPr>
        <w:spacing w:line="240" w:lineRule="auto"/>
        <w:rPr>
          <w:lang w:val="de-DE"/>
        </w:rPr>
      </w:pPr>
      <w:r w:rsidRPr="00C25AB7">
        <w:rPr>
          <w:lang w:val="de-DE"/>
        </w:rPr>
        <w:t>Minervum 7061</w:t>
      </w:r>
      <w:r w:rsidR="00DA6EA5" w:rsidRPr="00C25AB7">
        <w:rPr>
          <w:lang w:val="de-DE"/>
        </w:rPr>
        <w:t>,</w:t>
      </w:r>
    </w:p>
    <w:p w14:paraId="5CC46FA2" w14:textId="77777777" w:rsidR="0039353D" w:rsidRPr="00EA21EE" w:rsidRDefault="0039353D" w:rsidP="00CE71A5">
      <w:pPr>
        <w:spacing w:line="240" w:lineRule="auto"/>
        <w:rPr>
          <w:lang w:val="en-IN"/>
        </w:rPr>
      </w:pPr>
      <w:r w:rsidRPr="00EA21EE">
        <w:rPr>
          <w:lang w:val="en-IN"/>
        </w:rPr>
        <w:t>NL</w:t>
      </w:r>
      <w:r w:rsidRPr="00EA21EE">
        <w:rPr>
          <w:lang w:val="en-IN"/>
        </w:rPr>
        <w:noBreakHyphen/>
        <w:t>4817 ZK Breda</w:t>
      </w:r>
      <w:r w:rsidR="00DA6EA5" w:rsidRPr="00EA21EE">
        <w:rPr>
          <w:lang w:val="en-IN"/>
        </w:rPr>
        <w:t>,</w:t>
      </w:r>
    </w:p>
    <w:p w14:paraId="76FB7C28" w14:textId="77777777" w:rsidR="00577F9F" w:rsidRPr="006128F6" w:rsidRDefault="0039353D" w:rsidP="00CE71A5">
      <w:pPr>
        <w:spacing w:line="240" w:lineRule="auto"/>
        <w:rPr>
          <w:szCs w:val="22"/>
        </w:rPr>
      </w:pPr>
      <w:r w:rsidRPr="006128F6">
        <w:t>The Netherlands</w:t>
      </w:r>
      <w:r w:rsidR="00577F9F" w:rsidRPr="006128F6">
        <w:rPr>
          <w:i/>
          <w:szCs w:val="22"/>
        </w:rPr>
        <w:t xml:space="preserve"> </w:t>
      </w:r>
    </w:p>
    <w:p w14:paraId="28D6F05C" w14:textId="77777777" w:rsidR="00577F9F" w:rsidRPr="006128F6" w:rsidRDefault="00577F9F" w:rsidP="00CE71A5">
      <w:pPr>
        <w:spacing w:line="240" w:lineRule="auto"/>
        <w:rPr>
          <w:szCs w:val="22"/>
        </w:rPr>
      </w:pPr>
    </w:p>
    <w:p w14:paraId="58CFCD91" w14:textId="77777777" w:rsidR="00577F9F" w:rsidRPr="006128F6" w:rsidRDefault="00577F9F" w:rsidP="00CE71A5">
      <w:pPr>
        <w:spacing w:line="240" w:lineRule="auto"/>
        <w:rPr>
          <w:szCs w:val="22"/>
        </w:rPr>
      </w:pPr>
    </w:p>
    <w:p w14:paraId="370E0CD7" w14:textId="77777777" w:rsidR="00577F9F" w:rsidRPr="006128F6" w:rsidRDefault="00577F9F"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12.</w:t>
      </w:r>
      <w:r w:rsidRPr="006128F6">
        <w:rPr>
          <w:b/>
          <w:szCs w:val="22"/>
        </w:rPr>
        <w:tab/>
        <w:t xml:space="preserve">MARKETING AUTHORISATION NUMBER(S) </w:t>
      </w:r>
    </w:p>
    <w:p w14:paraId="310F73CA" w14:textId="77777777" w:rsidR="00577F9F" w:rsidRPr="006128F6" w:rsidRDefault="00577F9F" w:rsidP="00CE71A5">
      <w:pPr>
        <w:spacing w:line="240" w:lineRule="auto"/>
        <w:rPr>
          <w:szCs w:val="22"/>
        </w:rPr>
      </w:pPr>
    </w:p>
    <w:p w14:paraId="6197602C" w14:textId="77777777" w:rsidR="00403334" w:rsidRDefault="00403334" w:rsidP="00CE71A5">
      <w:pPr>
        <w:spacing w:line="240" w:lineRule="auto"/>
        <w:rPr>
          <w:rFonts w:cs="Verdana"/>
          <w:color w:val="000000"/>
        </w:rPr>
      </w:pPr>
      <w:r w:rsidRPr="008A47B3">
        <w:rPr>
          <w:rFonts w:cs="Verdana"/>
          <w:color w:val="000000"/>
        </w:rPr>
        <w:t>EU/1/18/1281/001</w:t>
      </w:r>
    </w:p>
    <w:p w14:paraId="1A1FCD5B" w14:textId="74CAC04D" w:rsidR="00577F9F" w:rsidRPr="006128F6" w:rsidRDefault="00577F9F" w:rsidP="00CE71A5">
      <w:pPr>
        <w:spacing w:line="240" w:lineRule="auto"/>
        <w:rPr>
          <w:szCs w:val="22"/>
        </w:rPr>
      </w:pPr>
    </w:p>
    <w:p w14:paraId="5115E124" w14:textId="77777777" w:rsidR="00577F9F" w:rsidRPr="006128F6" w:rsidRDefault="00577F9F" w:rsidP="00CE71A5">
      <w:pPr>
        <w:spacing w:line="240" w:lineRule="auto"/>
        <w:rPr>
          <w:szCs w:val="22"/>
        </w:rPr>
      </w:pPr>
    </w:p>
    <w:p w14:paraId="4F6B0E0D" w14:textId="77777777" w:rsidR="00577F9F" w:rsidRPr="006128F6" w:rsidRDefault="00577F9F"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13.</w:t>
      </w:r>
      <w:r w:rsidRPr="006128F6">
        <w:rPr>
          <w:b/>
          <w:szCs w:val="22"/>
        </w:rPr>
        <w:tab/>
        <w:t>BATCH NUMBER</w:t>
      </w:r>
    </w:p>
    <w:p w14:paraId="5906D8BF" w14:textId="77777777" w:rsidR="00577F9F" w:rsidRPr="006128F6" w:rsidRDefault="00577F9F" w:rsidP="00CE71A5">
      <w:pPr>
        <w:spacing w:line="240" w:lineRule="auto"/>
        <w:rPr>
          <w:szCs w:val="22"/>
        </w:rPr>
      </w:pPr>
    </w:p>
    <w:p w14:paraId="76B5F0EC" w14:textId="77777777" w:rsidR="00992CD0" w:rsidRPr="006128F6" w:rsidRDefault="00992CD0" w:rsidP="00CE71A5">
      <w:pPr>
        <w:spacing w:line="240" w:lineRule="auto"/>
        <w:rPr>
          <w:szCs w:val="22"/>
        </w:rPr>
      </w:pPr>
      <w:r w:rsidRPr="006128F6">
        <w:rPr>
          <w:szCs w:val="22"/>
        </w:rPr>
        <w:t>Lot</w:t>
      </w:r>
    </w:p>
    <w:p w14:paraId="3CE89043" w14:textId="77777777" w:rsidR="00577F9F" w:rsidRPr="006128F6" w:rsidRDefault="00577F9F" w:rsidP="00CE71A5">
      <w:pPr>
        <w:spacing w:line="240" w:lineRule="auto"/>
        <w:rPr>
          <w:szCs w:val="22"/>
        </w:rPr>
      </w:pPr>
    </w:p>
    <w:p w14:paraId="40F31E00" w14:textId="77777777" w:rsidR="003E19D7" w:rsidRPr="006128F6" w:rsidRDefault="003E19D7" w:rsidP="00CE71A5">
      <w:pPr>
        <w:spacing w:line="240" w:lineRule="auto"/>
        <w:rPr>
          <w:szCs w:val="22"/>
        </w:rPr>
      </w:pPr>
    </w:p>
    <w:p w14:paraId="49D2C0AA" w14:textId="77777777" w:rsidR="00577F9F" w:rsidRPr="006128F6" w:rsidRDefault="00577F9F"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14.</w:t>
      </w:r>
      <w:r w:rsidRPr="006128F6">
        <w:rPr>
          <w:b/>
          <w:szCs w:val="22"/>
        </w:rPr>
        <w:tab/>
        <w:t>GENERAL CLASSIFICATION FOR SUPPLY</w:t>
      </w:r>
    </w:p>
    <w:p w14:paraId="35360B5B" w14:textId="77777777" w:rsidR="00577F9F" w:rsidRPr="006128F6" w:rsidRDefault="00577F9F" w:rsidP="00CE71A5">
      <w:pPr>
        <w:spacing w:line="240" w:lineRule="auto"/>
        <w:rPr>
          <w:szCs w:val="22"/>
        </w:rPr>
      </w:pPr>
    </w:p>
    <w:p w14:paraId="755E747A" w14:textId="77777777" w:rsidR="00577F9F" w:rsidRPr="006128F6" w:rsidRDefault="00577F9F" w:rsidP="00CE71A5">
      <w:pPr>
        <w:spacing w:line="240" w:lineRule="auto"/>
        <w:rPr>
          <w:szCs w:val="22"/>
        </w:rPr>
      </w:pPr>
    </w:p>
    <w:p w14:paraId="07DBAF5D" w14:textId="77777777" w:rsidR="00577F9F" w:rsidRPr="006128F6" w:rsidRDefault="00577F9F" w:rsidP="00CE71A5">
      <w:pPr>
        <w:pBdr>
          <w:top w:val="single" w:sz="4" w:space="2"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15.</w:t>
      </w:r>
      <w:r w:rsidRPr="006128F6">
        <w:rPr>
          <w:b/>
          <w:szCs w:val="22"/>
        </w:rPr>
        <w:tab/>
        <w:t>INSTRUCTIONS ON USE</w:t>
      </w:r>
    </w:p>
    <w:p w14:paraId="11E332E4" w14:textId="77777777" w:rsidR="00577F9F" w:rsidRPr="006128F6" w:rsidRDefault="00577F9F" w:rsidP="00CE71A5">
      <w:pPr>
        <w:spacing w:line="240" w:lineRule="auto"/>
        <w:rPr>
          <w:szCs w:val="22"/>
        </w:rPr>
      </w:pPr>
    </w:p>
    <w:p w14:paraId="54241FD5" w14:textId="77777777" w:rsidR="00577F9F" w:rsidRPr="006128F6" w:rsidRDefault="00577F9F" w:rsidP="00CE71A5">
      <w:pPr>
        <w:spacing w:line="240" w:lineRule="auto"/>
        <w:rPr>
          <w:szCs w:val="22"/>
        </w:rPr>
      </w:pPr>
    </w:p>
    <w:p w14:paraId="08E60167" w14:textId="77777777" w:rsidR="00577F9F" w:rsidRPr="006128F6" w:rsidRDefault="00577F9F" w:rsidP="00CE71A5">
      <w:pPr>
        <w:pBdr>
          <w:top w:val="single" w:sz="4" w:space="1" w:color="auto"/>
          <w:left w:val="single" w:sz="4" w:space="4" w:color="auto"/>
          <w:bottom w:val="single" w:sz="4" w:space="0" w:color="auto"/>
          <w:right w:val="single" w:sz="4" w:space="4" w:color="auto"/>
        </w:pBdr>
        <w:spacing w:line="240" w:lineRule="auto"/>
        <w:ind w:left="567" w:hanging="567"/>
        <w:rPr>
          <w:szCs w:val="22"/>
        </w:rPr>
      </w:pPr>
      <w:r w:rsidRPr="006128F6">
        <w:rPr>
          <w:b/>
          <w:szCs w:val="22"/>
        </w:rPr>
        <w:t>16.</w:t>
      </w:r>
      <w:r w:rsidRPr="006128F6">
        <w:rPr>
          <w:b/>
          <w:szCs w:val="22"/>
        </w:rPr>
        <w:tab/>
        <w:t>INFORMATION IN BRAILLE</w:t>
      </w:r>
    </w:p>
    <w:p w14:paraId="7AD089C8" w14:textId="77777777" w:rsidR="00577F9F" w:rsidRPr="006128F6" w:rsidRDefault="00577F9F" w:rsidP="00CE71A5">
      <w:pPr>
        <w:spacing w:line="240" w:lineRule="auto"/>
        <w:rPr>
          <w:szCs w:val="22"/>
        </w:rPr>
      </w:pPr>
    </w:p>
    <w:p w14:paraId="2D42B4CB" w14:textId="77777777" w:rsidR="00577F9F" w:rsidRPr="006128F6" w:rsidRDefault="00577F9F" w:rsidP="00CE71A5">
      <w:pPr>
        <w:spacing w:line="240" w:lineRule="auto"/>
        <w:rPr>
          <w:szCs w:val="22"/>
          <w:shd w:val="clear" w:color="auto" w:fill="CCCCCC"/>
        </w:rPr>
      </w:pPr>
      <w:r>
        <w:rPr>
          <w:szCs w:val="22"/>
          <w:highlight w:val="lightGray"/>
          <w:shd w:val="clear" w:color="auto" w:fill="CCCCCC"/>
        </w:rPr>
        <w:t>Justification for not including Braille accepted.</w:t>
      </w:r>
    </w:p>
    <w:p w14:paraId="731EA264" w14:textId="77777777" w:rsidR="00577F9F" w:rsidRPr="006128F6" w:rsidRDefault="00577F9F" w:rsidP="00CE71A5">
      <w:pPr>
        <w:spacing w:line="240" w:lineRule="auto"/>
        <w:rPr>
          <w:szCs w:val="22"/>
          <w:shd w:val="clear" w:color="auto" w:fill="CCCCCC"/>
        </w:rPr>
      </w:pPr>
    </w:p>
    <w:p w14:paraId="7948BD93" w14:textId="77777777" w:rsidR="00577F9F" w:rsidRPr="006128F6" w:rsidRDefault="00577F9F" w:rsidP="00CE71A5">
      <w:pPr>
        <w:spacing w:line="240" w:lineRule="auto"/>
        <w:rPr>
          <w:szCs w:val="22"/>
          <w:shd w:val="clear" w:color="auto" w:fill="CCCCCC"/>
        </w:rPr>
      </w:pPr>
    </w:p>
    <w:p w14:paraId="769DBC4A" w14:textId="77777777" w:rsidR="00577F9F" w:rsidRPr="006128F6" w:rsidRDefault="00577F9F" w:rsidP="00CE71A5">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rPr>
      </w:pPr>
      <w:r w:rsidRPr="006128F6">
        <w:rPr>
          <w:b/>
        </w:rPr>
        <w:t>17.</w:t>
      </w:r>
      <w:r w:rsidRPr="006128F6">
        <w:rPr>
          <w:b/>
        </w:rPr>
        <w:tab/>
        <w:t>UNIQUE IDENTIFIER – 2D BARCODE</w:t>
      </w:r>
    </w:p>
    <w:p w14:paraId="1C4D67E2" w14:textId="77777777" w:rsidR="00577F9F" w:rsidRPr="006128F6" w:rsidRDefault="00577F9F" w:rsidP="00CE71A5">
      <w:pPr>
        <w:tabs>
          <w:tab w:val="clear" w:pos="567"/>
        </w:tabs>
        <w:spacing w:line="240" w:lineRule="auto"/>
      </w:pPr>
    </w:p>
    <w:p w14:paraId="60970C76" w14:textId="77777777" w:rsidR="00577F9F" w:rsidRPr="006128F6" w:rsidRDefault="00992CD0" w:rsidP="00CE71A5">
      <w:pPr>
        <w:tabs>
          <w:tab w:val="clear" w:pos="567"/>
        </w:tabs>
        <w:spacing w:line="240" w:lineRule="auto"/>
        <w:rPr>
          <w:b/>
          <w:szCs w:val="22"/>
          <w:u w:val="single"/>
        </w:rPr>
      </w:pPr>
      <w:r>
        <w:rPr>
          <w:highlight w:val="lightGray"/>
        </w:rPr>
        <w:t>2D barcode carrying the unique identifier included.</w:t>
      </w:r>
    </w:p>
    <w:p w14:paraId="1DC5F006" w14:textId="77777777" w:rsidR="00577F9F" w:rsidRPr="006128F6" w:rsidRDefault="00577F9F" w:rsidP="00CE71A5">
      <w:pPr>
        <w:tabs>
          <w:tab w:val="clear" w:pos="567"/>
        </w:tabs>
        <w:spacing w:line="240" w:lineRule="auto"/>
      </w:pPr>
    </w:p>
    <w:p w14:paraId="4D95D1E6" w14:textId="77777777" w:rsidR="00577F9F" w:rsidRPr="006128F6" w:rsidRDefault="00577F9F" w:rsidP="00CE71A5">
      <w:pPr>
        <w:tabs>
          <w:tab w:val="clear" w:pos="567"/>
        </w:tabs>
        <w:spacing w:line="240" w:lineRule="auto"/>
      </w:pPr>
    </w:p>
    <w:p w14:paraId="07A2357B" w14:textId="77777777" w:rsidR="00577F9F" w:rsidRPr="006128F6" w:rsidRDefault="00577F9F" w:rsidP="00CE71A5">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rPr>
      </w:pPr>
      <w:r w:rsidRPr="006128F6">
        <w:rPr>
          <w:b/>
        </w:rPr>
        <w:t>18.</w:t>
      </w:r>
      <w:r w:rsidRPr="006128F6">
        <w:rPr>
          <w:b/>
        </w:rPr>
        <w:tab/>
        <w:t>UNIQUE IDENTIFIER - HUMAN READABLE DATA</w:t>
      </w:r>
    </w:p>
    <w:p w14:paraId="74EA69C0" w14:textId="77777777" w:rsidR="00577F9F" w:rsidRPr="006128F6" w:rsidRDefault="00577F9F" w:rsidP="00CE71A5">
      <w:pPr>
        <w:tabs>
          <w:tab w:val="clear" w:pos="567"/>
        </w:tabs>
        <w:spacing w:line="240" w:lineRule="auto"/>
      </w:pPr>
    </w:p>
    <w:p w14:paraId="5FE7E22F" w14:textId="4766ACCB" w:rsidR="00992CD0" w:rsidRPr="006128F6" w:rsidRDefault="00992CD0" w:rsidP="00CE71A5">
      <w:pPr>
        <w:spacing w:line="240" w:lineRule="auto"/>
        <w:rPr>
          <w:szCs w:val="22"/>
        </w:rPr>
      </w:pPr>
      <w:r w:rsidRPr="006128F6">
        <w:rPr>
          <w:szCs w:val="22"/>
        </w:rPr>
        <w:t>PC</w:t>
      </w:r>
    </w:p>
    <w:p w14:paraId="5DDD1398" w14:textId="48FFC063" w:rsidR="00992CD0" w:rsidRPr="006128F6" w:rsidRDefault="00992CD0" w:rsidP="00CE71A5">
      <w:pPr>
        <w:spacing w:line="240" w:lineRule="auto"/>
        <w:rPr>
          <w:szCs w:val="22"/>
        </w:rPr>
      </w:pPr>
      <w:r w:rsidRPr="006128F6">
        <w:rPr>
          <w:szCs w:val="22"/>
        </w:rPr>
        <w:t>SN</w:t>
      </w:r>
    </w:p>
    <w:p w14:paraId="054584FD" w14:textId="16846B3C" w:rsidR="00992CD0" w:rsidRPr="006128F6" w:rsidRDefault="00992CD0" w:rsidP="00CE71A5">
      <w:pPr>
        <w:spacing w:line="240" w:lineRule="auto"/>
        <w:rPr>
          <w:vanish/>
          <w:szCs w:val="22"/>
        </w:rPr>
      </w:pPr>
      <w:r w:rsidRPr="005477BB">
        <w:rPr>
          <w:szCs w:val="22"/>
        </w:rPr>
        <w:t>NN</w:t>
      </w:r>
    </w:p>
    <w:p w14:paraId="570B9E6C" w14:textId="77777777" w:rsidR="00577F9F" w:rsidRPr="006128F6" w:rsidRDefault="00577F9F" w:rsidP="00CE71A5">
      <w:pPr>
        <w:spacing w:line="240" w:lineRule="auto"/>
        <w:rPr>
          <w:szCs w:val="22"/>
          <w:shd w:val="clear" w:color="auto" w:fill="CCCCCC"/>
        </w:rPr>
      </w:pPr>
    </w:p>
    <w:p w14:paraId="73C97E22" w14:textId="77777777" w:rsidR="0039353D" w:rsidRPr="006128F6" w:rsidRDefault="0039353D" w:rsidP="00CE71A5">
      <w:pPr>
        <w:spacing w:line="240" w:lineRule="auto"/>
        <w:rPr>
          <w:szCs w:val="22"/>
          <w:shd w:val="clear" w:color="auto" w:fill="CCCCCC"/>
        </w:rPr>
      </w:pPr>
    </w:p>
    <w:p w14:paraId="13F8C395" w14:textId="77777777" w:rsidR="0039353D" w:rsidRDefault="0039353D" w:rsidP="00CE71A5">
      <w:pPr>
        <w:tabs>
          <w:tab w:val="clear" w:pos="567"/>
        </w:tabs>
        <w:spacing w:line="240" w:lineRule="auto"/>
        <w:rPr>
          <w:szCs w:val="22"/>
          <w:highlight w:val="lightGray"/>
          <w:shd w:val="clear" w:color="auto" w:fill="CCCCCC"/>
        </w:rPr>
      </w:pPr>
      <w:r>
        <w:rPr>
          <w:szCs w:val="22"/>
          <w:highlight w:val="lightGray"/>
          <w:shd w:val="clear" w:color="auto" w:fill="CCCCCC"/>
        </w:rPr>
        <w:br w:type="page"/>
      </w:r>
    </w:p>
    <w:p w14:paraId="4973EDE4" w14:textId="0D50CF81" w:rsidR="0039353D" w:rsidRPr="006128F6" w:rsidRDefault="0039353D" w:rsidP="00CE71A5">
      <w:pPr>
        <w:pBdr>
          <w:top w:val="single" w:sz="4" w:space="1" w:color="auto"/>
          <w:left w:val="single" w:sz="4" w:space="4" w:color="auto"/>
          <w:bottom w:val="single" w:sz="4" w:space="1" w:color="auto"/>
          <w:right w:val="single" w:sz="4" w:space="4" w:color="auto"/>
        </w:pBdr>
        <w:spacing w:line="240" w:lineRule="auto"/>
        <w:rPr>
          <w:b/>
          <w:szCs w:val="22"/>
        </w:rPr>
      </w:pPr>
      <w:r w:rsidRPr="006128F6">
        <w:rPr>
          <w:b/>
          <w:szCs w:val="22"/>
        </w:rPr>
        <w:t>PARTICULARS TO APPEAR ON THE IMMEDIATE PACKAGING</w:t>
      </w:r>
    </w:p>
    <w:p w14:paraId="7F7A1798" w14:textId="77777777" w:rsidR="0039353D" w:rsidRPr="006128F6" w:rsidRDefault="0039353D" w:rsidP="00CE71A5">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09E82546" w14:textId="77777777" w:rsidR="0039353D" w:rsidRPr="006128F6" w:rsidRDefault="0039353D" w:rsidP="00CE71A5">
      <w:pPr>
        <w:pBdr>
          <w:top w:val="single" w:sz="4" w:space="1" w:color="auto"/>
          <w:left w:val="single" w:sz="4" w:space="4" w:color="auto"/>
          <w:bottom w:val="single" w:sz="4" w:space="1" w:color="auto"/>
          <w:right w:val="single" w:sz="4" w:space="4" w:color="auto"/>
        </w:pBdr>
        <w:spacing w:line="240" w:lineRule="auto"/>
        <w:rPr>
          <w:bCs/>
          <w:szCs w:val="22"/>
        </w:rPr>
      </w:pPr>
      <w:r w:rsidRPr="006128F6">
        <w:rPr>
          <w:b/>
          <w:szCs w:val="22"/>
        </w:rPr>
        <w:t>VIAL</w:t>
      </w:r>
      <w:r w:rsidR="00DA6EA5" w:rsidRPr="006128F6">
        <w:rPr>
          <w:b/>
          <w:szCs w:val="22"/>
        </w:rPr>
        <w:t xml:space="preserve"> LABEL</w:t>
      </w:r>
    </w:p>
    <w:p w14:paraId="29EA9612" w14:textId="77777777" w:rsidR="0039353D" w:rsidRPr="006128F6" w:rsidRDefault="0039353D" w:rsidP="00CE71A5">
      <w:pPr>
        <w:spacing w:line="240" w:lineRule="auto"/>
      </w:pPr>
    </w:p>
    <w:p w14:paraId="278BE763" w14:textId="77777777" w:rsidR="0039353D" w:rsidRPr="006128F6" w:rsidRDefault="0039353D" w:rsidP="00CE71A5">
      <w:pPr>
        <w:spacing w:line="240" w:lineRule="auto"/>
        <w:rPr>
          <w:szCs w:val="22"/>
        </w:rPr>
      </w:pPr>
    </w:p>
    <w:p w14:paraId="3D38994E" w14:textId="77777777" w:rsidR="0039353D" w:rsidRPr="006128F6" w:rsidRDefault="0039353D" w:rsidP="00CE71A5">
      <w:pPr>
        <w:pBdr>
          <w:top w:val="single" w:sz="4" w:space="1" w:color="auto"/>
          <w:left w:val="single" w:sz="4" w:space="4" w:color="auto"/>
          <w:bottom w:val="single" w:sz="4" w:space="1" w:color="auto"/>
          <w:right w:val="single" w:sz="4" w:space="4" w:color="auto"/>
        </w:pBdr>
        <w:spacing w:line="240" w:lineRule="auto"/>
        <w:ind w:left="567" w:hanging="567"/>
        <w:outlineLvl w:val="0"/>
      </w:pPr>
      <w:r w:rsidRPr="006128F6">
        <w:rPr>
          <w:b/>
        </w:rPr>
        <w:t>1.</w:t>
      </w:r>
      <w:r w:rsidRPr="006128F6">
        <w:rPr>
          <w:b/>
        </w:rPr>
        <w:tab/>
        <w:t>NAME OF THE MEDICINAL PRODUCT</w:t>
      </w:r>
    </w:p>
    <w:p w14:paraId="3F5E2518" w14:textId="77777777" w:rsidR="0039353D" w:rsidRPr="006128F6" w:rsidRDefault="0039353D" w:rsidP="00CE71A5">
      <w:pPr>
        <w:spacing w:line="240" w:lineRule="auto"/>
        <w:rPr>
          <w:szCs w:val="22"/>
        </w:rPr>
      </w:pPr>
    </w:p>
    <w:p w14:paraId="19C1E8CE" w14:textId="5F44D8AC" w:rsidR="0039353D" w:rsidRPr="006128F6" w:rsidRDefault="008E0EE9" w:rsidP="00CE71A5">
      <w:pPr>
        <w:autoSpaceDE w:val="0"/>
        <w:autoSpaceDN w:val="0"/>
        <w:adjustRightInd w:val="0"/>
        <w:spacing w:line="240" w:lineRule="auto"/>
        <w:rPr>
          <w:color w:val="000000"/>
        </w:rPr>
      </w:pPr>
      <w:r w:rsidRPr="006128F6">
        <w:rPr>
          <w:color w:val="000000"/>
        </w:rPr>
        <w:t>KANJINTI</w:t>
      </w:r>
      <w:r w:rsidR="0039353D" w:rsidRPr="006128F6">
        <w:rPr>
          <w:color w:val="000000"/>
        </w:rPr>
        <w:t xml:space="preserve"> 150 mg powder for concentrate for solution for infusion</w:t>
      </w:r>
    </w:p>
    <w:p w14:paraId="6E02BF7F" w14:textId="77777777" w:rsidR="0039353D" w:rsidRPr="006128F6" w:rsidRDefault="00DA6EA5" w:rsidP="00CE71A5">
      <w:pPr>
        <w:spacing w:line="240" w:lineRule="auto"/>
        <w:rPr>
          <w:b/>
          <w:szCs w:val="22"/>
        </w:rPr>
      </w:pPr>
      <w:r w:rsidRPr="006128F6">
        <w:rPr>
          <w:szCs w:val="22"/>
        </w:rPr>
        <w:t>t</w:t>
      </w:r>
      <w:r w:rsidR="0039353D" w:rsidRPr="006128F6">
        <w:rPr>
          <w:szCs w:val="22"/>
        </w:rPr>
        <w:t>rastuzumab</w:t>
      </w:r>
    </w:p>
    <w:p w14:paraId="7A795395" w14:textId="77777777" w:rsidR="0039353D" w:rsidRPr="006128F6" w:rsidRDefault="0039353D" w:rsidP="00CE71A5">
      <w:pPr>
        <w:spacing w:line="240" w:lineRule="auto"/>
        <w:rPr>
          <w:szCs w:val="22"/>
        </w:rPr>
      </w:pPr>
    </w:p>
    <w:p w14:paraId="1B88836D" w14:textId="77777777" w:rsidR="0039353D" w:rsidRPr="006128F6" w:rsidRDefault="0039353D" w:rsidP="00CE71A5">
      <w:pPr>
        <w:spacing w:line="240" w:lineRule="auto"/>
        <w:rPr>
          <w:szCs w:val="22"/>
        </w:rPr>
      </w:pPr>
    </w:p>
    <w:p w14:paraId="5F26AFA8" w14:textId="77777777" w:rsidR="0039353D" w:rsidRPr="006128F6" w:rsidRDefault="0039353D"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128F6">
        <w:rPr>
          <w:b/>
          <w:szCs w:val="22"/>
        </w:rPr>
        <w:t>2.</w:t>
      </w:r>
      <w:r w:rsidRPr="006128F6">
        <w:rPr>
          <w:b/>
          <w:szCs w:val="22"/>
        </w:rPr>
        <w:tab/>
        <w:t>STATEMENT OF ACTIVE SUBSTANCE(S)</w:t>
      </w:r>
    </w:p>
    <w:p w14:paraId="6A2DAFAC" w14:textId="77777777" w:rsidR="0039353D" w:rsidRPr="006128F6" w:rsidRDefault="0039353D" w:rsidP="00CE71A5">
      <w:pPr>
        <w:spacing w:line="240" w:lineRule="auto"/>
        <w:rPr>
          <w:szCs w:val="22"/>
        </w:rPr>
      </w:pPr>
    </w:p>
    <w:p w14:paraId="75B94C0C" w14:textId="462F618C" w:rsidR="0039353D" w:rsidRPr="006128F6" w:rsidRDefault="0039353D" w:rsidP="00CE71A5">
      <w:pPr>
        <w:spacing w:line="240" w:lineRule="auto"/>
        <w:rPr>
          <w:szCs w:val="22"/>
        </w:rPr>
      </w:pPr>
      <w:r w:rsidRPr="006128F6">
        <w:rPr>
          <w:szCs w:val="22"/>
        </w:rPr>
        <w:t>The vial contains 150</w:t>
      </w:r>
      <w:r w:rsidR="007C066F" w:rsidRPr="006128F6">
        <w:rPr>
          <w:szCs w:val="22"/>
        </w:rPr>
        <w:t> </w:t>
      </w:r>
      <w:r w:rsidRPr="006128F6">
        <w:rPr>
          <w:szCs w:val="22"/>
        </w:rPr>
        <w:t xml:space="preserve">mg trastuzumab. </w:t>
      </w:r>
    </w:p>
    <w:p w14:paraId="0FD39FF7" w14:textId="36F1BC45" w:rsidR="0039353D" w:rsidRPr="006128F6" w:rsidRDefault="0039353D" w:rsidP="00CE71A5">
      <w:pPr>
        <w:spacing w:line="240" w:lineRule="auto"/>
        <w:rPr>
          <w:szCs w:val="22"/>
        </w:rPr>
      </w:pPr>
      <w:r w:rsidRPr="006128F6">
        <w:rPr>
          <w:szCs w:val="22"/>
        </w:rPr>
        <w:t>After reconstitution 1</w:t>
      </w:r>
      <w:r w:rsidR="007C066F" w:rsidRPr="006128F6">
        <w:rPr>
          <w:szCs w:val="22"/>
        </w:rPr>
        <w:t> </w:t>
      </w:r>
      <w:r w:rsidRPr="006128F6">
        <w:rPr>
          <w:szCs w:val="22"/>
        </w:rPr>
        <w:t>m</w:t>
      </w:r>
      <w:r w:rsidR="00DA6EA5" w:rsidRPr="006128F6">
        <w:rPr>
          <w:szCs w:val="22"/>
        </w:rPr>
        <w:t>L</w:t>
      </w:r>
      <w:r w:rsidRPr="006128F6">
        <w:rPr>
          <w:szCs w:val="22"/>
        </w:rPr>
        <w:t xml:space="preserve"> concentrate contains 21</w:t>
      </w:r>
      <w:r w:rsidR="007C066F" w:rsidRPr="006128F6">
        <w:rPr>
          <w:szCs w:val="22"/>
        </w:rPr>
        <w:t> </w:t>
      </w:r>
      <w:r w:rsidRPr="006128F6">
        <w:rPr>
          <w:szCs w:val="22"/>
        </w:rPr>
        <w:t>mg of trastuzumab.</w:t>
      </w:r>
    </w:p>
    <w:p w14:paraId="44AC7722" w14:textId="77777777" w:rsidR="0039353D" w:rsidRPr="006128F6" w:rsidRDefault="0039353D" w:rsidP="00CE71A5">
      <w:pPr>
        <w:spacing w:line="240" w:lineRule="auto"/>
        <w:rPr>
          <w:szCs w:val="22"/>
        </w:rPr>
      </w:pPr>
    </w:p>
    <w:p w14:paraId="27633A3B" w14:textId="77777777" w:rsidR="0039353D" w:rsidRPr="006128F6" w:rsidRDefault="0039353D" w:rsidP="00CE71A5">
      <w:pPr>
        <w:spacing w:line="240" w:lineRule="auto"/>
        <w:rPr>
          <w:szCs w:val="22"/>
        </w:rPr>
      </w:pPr>
    </w:p>
    <w:p w14:paraId="24BDABF9" w14:textId="77777777" w:rsidR="0039353D" w:rsidRPr="006128F6" w:rsidRDefault="0039353D"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3.</w:t>
      </w:r>
      <w:r w:rsidRPr="006128F6">
        <w:rPr>
          <w:b/>
          <w:szCs w:val="22"/>
        </w:rPr>
        <w:tab/>
        <w:t>LIST OF EXCIPIENTS</w:t>
      </w:r>
    </w:p>
    <w:p w14:paraId="1B7B2E53" w14:textId="77777777" w:rsidR="0039353D" w:rsidRPr="006128F6" w:rsidRDefault="0039353D" w:rsidP="00CE71A5">
      <w:pPr>
        <w:spacing w:line="240" w:lineRule="auto"/>
        <w:rPr>
          <w:szCs w:val="22"/>
        </w:rPr>
      </w:pPr>
    </w:p>
    <w:p w14:paraId="5FACE8D6" w14:textId="27EDF4B2" w:rsidR="0039353D" w:rsidRPr="006128F6" w:rsidRDefault="00A4219B" w:rsidP="00CE71A5">
      <w:pPr>
        <w:tabs>
          <w:tab w:val="clear" w:pos="567"/>
        </w:tabs>
        <w:autoSpaceDE w:val="0"/>
        <w:autoSpaceDN w:val="0"/>
        <w:adjustRightInd w:val="0"/>
        <w:spacing w:line="240" w:lineRule="auto"/>
        <w:rPr>
          <w:szCs w:val="22"/>
        </w:rPr>
      </w:pPr>
      <w:r w:rsidRPr="00CE427E">
        <w:rPr>
          <w:rFonts w:eastAsia="Calibri"/>
          <w:color w:val="000000"/>
          <w:szCs w:val="22"/>
        </w:rPr>
        <w:t xml:space="preserve">Histidine, histidine monohydrochloride, trehalose </w:t>
      </w:r>
      <w:r w:rsidR="00074E07" w:rsidRPr="00CE427E">
        <w:rPr>
          <w:rFonts w:eastAsia="Calibri"/>
          <w:color w:val="000000"/>
          <w:szCs w:val="22"/>
        </w:rPr>
        <w:t>dihy</w:t>
      </w:r>
      <w:r w:rsidRPr="00CE427E">
        <w:rPr>
          <w:rFonts w:eastAsia="Calibri"/>
          <w:color w:val="000000"/>
          <w:szCs w:val="22"/>
        </w:rPr>
        <w:t>drate</w:t>
      </w:r>
      <w:r w:rsidR="0039353D" w:rsidRPr="00CE427E">
        <w:rPr>
          <w:rFonts w:eastAsia="Calibri"/>
          <w:color w:val="000000"/>
          <w:szCs w:val="22"/>
        </w:rPr>
        <w:t>, polysorbate 20</w:t>
      </w:r>
      <w:r w:rsidR="008E0EE9" w:rsidRPr="00CE427E">
        <w:rPr>
          <w:rFonts w:eastAsia="Calibri"/>
          <w:color w:val="000000"/>
          <w:szCs w:val="22"/>
        </w:rPr>
        <w:t>.</w:t>
      </w:r>
    </w:p>
    <w:p w14:paraId="076D4CE9" w14:textId="77777777" w:rsidR="0039353D" w:rsidRPr="006128F6" w:rsidRDefault="0039353D" w:rsidP="00CE71A5">
      <w:pPr>
        <w:spacing w:line="240" w:lineRule="auto"/>
        <w:rPr>
          <w:szCs w:val="22"/>
        </w:rPr>
      </w:pPr>
    </w:p>
    <w:p w14:paraId="072C4118" w14:textId="77777777" w:rsidR="00DA6EA5" w:rsidRPr="006128F6" w:rsidRDefault="00DA6EA5" w:rsidP="00CE71A5">
      <w:pPr>
        <w:spacing w:line="240" w:lineRule="auto"/>
        <w:rPr>
          <w:szCs w:val="22"/>
        </w:rPr>
      </w:pPr>
    </w:p>
    <w:p w14:paraId="47C9DCE8" w14:textId="77777777" w:rsidR="0039353D" w:rsidRPr="006128F6" w:rsidRDefault="0039353D"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4.</w:t>
      </w:r>
      <w:r w:rsidRPr="006128F6">
        <w:rPr>
          <w:b/>
          <w:szCs w:val="22"/>
        </w:rPr>
        <w:tab/>
        <w:t>PHARMACEUTICAL FORM AND CONTENTS</w:t>
      </w:r>
    </w:p>
    <w:p w14:paraId="262C8A0C" w14:textId="77777777" w:rsidR="0039353D" w:rsidRPr="006128F6" w:rsidRDefault="0039353D" w:rsidP="00CE71A5">
      <w:pPr>
        <w:spacing w:line="240" w:lineRule="auto"/>
        <w:rPr>
          <w:szCs w:val="22"/>
        </w:rPr>
      </w:pPr>
    </w:p>
    <w:p w14:paraId="15B8B911" w14:textId="77777777" w:rsidR="0039353D" w:rsidRPr="006128F6" w:rsidRDefault="0039353D" w:rsidP="00CE71A5">
      <w:pPr>
        <w:spacing w:line="240" w:lineRule="auto"/>
        <w:rPr>
          <w:szCs w:val="22"/>
        </w:rPr>
      </w:pPr>
      <w:r>
        <w:rPr>
          <w:szCs w:val="22"/>
          <w:highlight w:val="lightGray"/>
        </w:rPr>
        <w:t>Powder for concentrate for solution for infusion</w:t>
      </w:r>
    </w:p>
    <w:p w14:paraId="6AA07852" w14:textId="77777777" w:rsidR="0039353D" w:rsidRPr="006128F6" w:rsidRDefault="0039353D" w:rsidP="00CE71A5">
      <w:pPr>
        <w:spacing w:line="240" w:lineRule="auto"/>
        <w:rPr>
          <w:szCs w:val="22"/>
        </w:rPr>
      </w:pPr>
    </w:p>
    <w:p w14:paraId="2934D601" w14:textId="77777777" w:rsidR="00DA6EA5" w:rsidRPr="006128F6" w:rsidRDefault="00DA6EA5" w:rsidP="00CE71A5">
      <w:pPr>
        <w:spacing w:line="240" w:lineRule="auto"/>
        <w:rPr>
          <w:szCs w:val="22"/>
        </w:rPr>
      </w:pPr>
    </w:p>
    <w:p w14:paraId="6B02B3A3" w14:textId="77777777" w:rsidR="0039353D" w:rsidRPr="006128F6" w:rsidRDefault="0039353D"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5.</w:t>
      </w:r>
      <w:r w:rsidRPr="006128F6">
        <w:rPr>
          <w:b/>
          <w:szCs w:val="22"/>
        </w:rPr>
        <w:tab/>
        <w:t>METHOD AND ROUTE(S) OF ADMINISTRATION</w:t>
      </w:r>
    </w:p>
    <w:p w14:paraId="61B254CC" w14:textId="77777777" w:rsidR="0039353D" w:rsidRPr="006128F6" w:rsidRDefault="0039353D" w:rsidP="00CE71A5">
      <w:pPr>
        <w:spacing w:line="240" w:lineRule="auto"/>
        <w:rPr>
          <w:szCs w:val="22"/>
        </w:rPr>
      </w:pPr>
    </w:p>
    <w:p w14:paraId="116BF532" w14:textId="6ED11838" w:rsidR="0039353D" w:rsidRPr="006128F6" w:rsidRDefault="00241604" w:rsidP="00CE71A5">
      <w:pPr>
        <w:spacing w:line="240" w:lineRule="auto"/>
        <w:rPr>
          <w:szCs w:val="22"/>
        </w:rPr>
      </w:pPr>
      <w:r>
        <w:rPr>
          <w:szCs w:val="22"/>
        </w:rPr>
        <w:t>IV</w:t>
      </w:r>
    </w:p>
    <w:p w14:paraId="0EDAD77C" w14:textId="77777777" w:rsidR="002C590A" w:rsidRPr="006128F6" w:rsidRDefault="002C590A" w:rsidP="00CE71A5">
      <w:pPr>
        <w:spacing w:line="240" w:lineRule="auto"/>
        <w:rPr>
          <w:szCs w:val="22"/>
        </w:rPr>
      </w:pPr>
      <w:r>
        <w:rPr>
          <w:szCs w:val="22"/>
          <w:highlight w:val="lightGray"/>
        </w:rPr>
        <w:t>For intravenous use.</w:t>
      </w:r>
    </w:p>
    <w:p w14:paraId="75AA45E5" w14:textId="77777777" w:rsidR="0039353D" w:rsidRPr="006128F6" w:rsidRDefault="0039353D" w:rsidP="00CE71A5">
      <w:pPr>
        <w:spacing w:line="240" w:lineRule="auto"/>
        <w:rPr>
          <w:szCs w:val="22"/>
        </w:rPr>
      </w:pPr>
      <w:r w:rsidRPr="006128F6">
        <w:rPr>
          <w:szCs w:val="22"/>
        </w:rPr>
        <w:t>Read the package leaflet before use.</w:t>
      </w:r>
    </w:p>
    <w:p w14:paraId="20484E04" w14:textId="77777777" w:rsidR="0039353D" w:rsidRPr="006128F6" w:rsidRDefault="0039353D" w:rsidP="00CE71A5">
      <w:pPr>
        <w:spacing w:line="240" w:lineRule="auto"/>
        <w:rPr>
          <w:szCs w:val="22"/>
        </w:rPr>
      </w:pPr>
    </w:p>
    <w:p w14:paraId="10E5B19E" w14:textId="77777777" w:rsidR="0039353D" w:rsidRPr="006128F6" w:rsidRDefault="0039353D" w:rsidP="00CE71A5">
      <w:pPr>
        <w:spacing w:line="240" w:lineRule="auto"/>
        <w:rPr>
          <w:szCs w:val="22"/>
        </w:rPr>
      </w:pPr>
    </w:p>
    <w:p w14:paraId="56DBBCC9" w14:textId="77777777" w:rsidR="0039353D" w:rsidRPr="006128F6" w:rsidRDefault="0039353D"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6.</w:t>
      </w:r>
      <w:r w:rsidRPr="006128F6">
        <w:rPr>
          <w:b/>
          <w:szCs w:val="22"/>
        </w:rPr>
        <w:tab/>
        <w:t>SPECIAL WARNING THAT THE MEDICINAL PRODUCT MUST BE STORED OUT OF THE SIGHT AND REACH OF CHILDREN</w:t>
      </w:r>
    </w:p>
    <w:p w14:paraId="46E64250" w14:textId="77777777" w:rsidR="0039353D" w:rsidRPr="006128F6" w:rsidRDefault="0039353D" w:rsidP="00CE71A5">
      <w:pPr>
        <w:spacing w:line="240" w:lineRule="auto"/>
        <w:rPr>
          <w:szCs w:val="22"/>
        </w:rPr>
      </w:pPr>
    </w:p>
    <w:p w14:paraId="0A8AC1FF" w14:textId="77777777" w:rsidR="0039353D" w:rsidRPr="006128F6" w:rsidRDefault="0039353D" w:rsidP="00CE71A5">
      <w:pPr>
        <w:spacing w:line="240" w:lineRule="auto"/>
        <w:outlineLvl w:val="0"/>
        <w:rPr>
          <w:szCs w:val="22"/>
        </w:rPr>
      </w:pPr>
      <w:r w:rsidRPr="006128F6">
        <w:rPr>
          <w:szCs w:val="22"/>
        </w:rPr>
        <w:t>Keep out of the sight and reach of children.</w:t>
      </w:r>
    </w:p>
    <w:p w14:paraId="0840F954" w14:textId="77777777" w:rsidR="0039353D" w:rsidRPr="006128F6" w:rsidRDefault="0039353D" w:rsidP="00CE71A5">
      <w:pPr>
        <w:spacing w:line="240" w:lineRule="auto"/>
        <w:rPr>
          <w:szCs w:val="22"/>
        </w:rPr>
      </w:pPr>
    </w:p>
    <w:p w14:paraId="3FA9CD01" w14:textId="77777777" w:rsidR="0039353D" w:rsidRPr="006128F6" w:rsidRDefault="0039353D" w:rsidP="00CE71A5">
      <w:pPr>
        <w:spacing w:line="240" w:lineRule="auto"/>
        <w:rPr>
          <w:szCs w:val="22"/>
        </w:rPr>
      </w:pPr>
    </w:p>
    <w:p w14:paraId="702A6FC2" w14:textId="77777777" w:rsidR="0039353D" w:rsidRPr="006128F6" w:rsidRDefault="0039353D"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7.</w:t>
      </w:r>
      <w:r w:rsidRPr="006128F6">
        <w:rPr>
          <w:b/>
          <w:szCs w:val="22"/>
        </w:rPr>
        <w:tab/>
        <w:t>OTHER SPECIAL WARNING(S), IF NECESSARY</w:t>
      </w:r>
    </w:p>
    <w:p w14:paraId="270E61DC" w14:textId="77777777" w:rsidR="0039353D" w:rsidRPr="006128F6" w:rsidRDefault="0039353D" w:rsidP="00CE71A5">
      <w:pPr>
        <w:spacing w:line="240" w:lineRule="auto"/>
        <w:rPr>
          <w:szCs w:val="22"/>
        </w:rPr>
      </w:pPr>
    </w:p>
    <w:p w14:paraId="5404DABE" w14:textId="77777777" w:rsidR="00C33F49" w:rsidRPr="006128F6" w:rsidRDefault="00C33F49" w:rsidP="00CE71A5">
      <w:pPr>
        <w:spacing w:line="240" w:lineRule="auto"/>
        <w:rPr>
          <w:szCs w:val="22"/>
        </w:rPr>
      </w:pPr>
    </w:p>
    <w:p w14:paraId="58B92BC0" w14:textId="77777777" w:rsidR="0039353D" w:rsidRPr="006128F6" w:rsidRDefault="0039353D" w:rsidP="00CE71A5">
      <w:pPr>
        <w:pBdr>
          <w:top w:val="single" w:sz="4" w:space="1" w:color="auto"/>
          <w:left w:val="single" w:sz="4" w:space="4" w:color="auto"/>
          <w:bottom w:val="single" w:sz="4" w:space="1" w:color="auto"/>
          <w:right w:val="single" w:sz="4" w:space="4" w:color="auto"/>
        </w:pBdr>
        <w:spacing w:line="240" w:lineRule="auto"/>
        <w:ind w:left="567" w:hanging="567"/>
        <w:outlineLvl w:val="0"/>
      </w:pPr>
      <w:r w:rsidRPr="006128F6">
        <w:rPr>
          <w:b/>
        </w:rPr>
        <w:t>8.</w:t>
      </w:r>
      <w:r w:rsidRPr="006128F6">
        <w:rPr>
          <w:b/>
        </w:rPr>
        <w:tab/>
        <w:t>EXPIRY DATE</w:t>
      </w:r>
    </w:p>
    <w:p w14:paraId="52D03E83" w14:textId="77777777" w:rsidR="0039353D" w:rsidRPr="006128F6" w:rsidRDefault="0039353D" w:rsidP="00CE71A5">
      <w:pPr>
        <w:spacing w:line="240" w:lineRule="auto"/>
      </w:pPr>
    </w:p>
    <w:p w14:paraId="19FB18A9" w14:textId="77777777" w:rsidR="0039353D" w:rsidRPr="006128F6" w:rsidRDefault="0039353D" w:rsidP="00CE71A5">
      <w:pPr>
        <w:spacing w:line="240" w:lineRule="auto"/>
      </w:pPr>
      <w:r w:rsidRPr="006128F6">
        <w:t>EXP</w:t>
      </w:r>
    </w:p>
    <w:p w14:paraId="50EDC28B" w14:textId="77777777" w:rsidR="0039353D" w:rsidRPr="006128F6" w:rsidRDefault="0039353D" w:rsidP="00CE71A5">
      <w:pPr>
        <w:spacing w:line="240" w:lineRule="auto"/>
        <w:rPr>
          <w:szCs w:val="22"/>
        </w:rPr>
      </w:pPr>
    </w:p>
    <w:p w14:paraId="4C4D1C59" w14:textId="77777777" w:rsidR="00DA6EA5" w:rsidRPr="006128F6" w:rsidRDefault="00DA6EA5" w:rsidP="00CE71A5">
      <w:pPr>
        <w:spacing w:line="240" w:lineRule="auto"/>
        <w:rPr>
          <w:szCs w:val="22"/>
        </w:rPr>
      </w:pPr>
    </w:p>
    <w:p w14:paraId="4545519B" w14:textId="77777777" w:rsidR="0039353D" w:rsidRPr="006128F6" w:rsidRDefault="0039353D" w:rsidP="00CE71A5">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9.</w:t>
      </w:r>
      <w:r w:rsidRPr="006128F6">
        <w:rPr>
          <w:b/>
          <w:szCs w:val="22"/>
        </w:rPr>
        <w:tab/>
        <w:t>SPECIAL STORAGE CONDITIONS</w:t>
      </w:r>
    </w:p>
    <w:p w14:paraId="0F5887E5" w14:textId="77777777" w:rsidR="0039353D" w:rsidRPr="006128F6" w:rsidRDefault="0039353D" w:rsidP="00CE71A5">
      <w:pPr>
        <w:keepNext/>
        <w:spacing w:line="240" w:lineRule="auto"/>
        <w:rPr>
          <w:szCs w:val="22"/>
        </w:rPr>
      </w:pPr>
    </w:p>
    <w:p w14:paraId="2AF3A398" w14:textId="79D053C8" w:rsidR="00992CD0" w:rsidRPr="006128F6" w:rsidRDefault="0039353D" w:rsidP="00CE71A5">
      <w:pPr>
        <w:keepNext/>
        <w:tabs>
          <w:tab w:val="clear" w:pos="567"/>
        </w:tabs>
        <w:spacing w:line="240" w:lineRule="auto"/>
        <w:rPr>
          <w:szCs w:val="22"/>
        </w:rPr>
      </w:pPr>
      <w:r w:rsidRPr="006128F6">
        <w:rPr>
          <w:szCs w:val="22"/>
        </w:rPr>
        <w:t>Store in a refrigerator.</w:t>
      </w:r>
      <w:r w:rsidR="009B5BC5">
        <w:rPr>
          <w:szCs w:val="22"/>
        </w:rPr>
        <w:t xml:space="preserve"> </w:t>
      </w:r>
      <w:r w:rsidR="00D248DE">
        <w:rPr>
          <w:color w:val="000000"/>
        </w:rPr>
        <w:t>Store in the original package in order to protect from light.</w:t>
      </w:r>
    </w:p>
    <w:p w14:paraId="5FD7BFEE" w14:textId="77777777" w:rsidR="00DA6EA5" w:rsidRPr="006128F6" w:rsidRDefault="00DA6EA5" w:rsidP="00CE71A5">
      <w:pPr>
        <w:spacing w:line="240" w:lineRule="auto"/>
        <w:ind w:left="567" w:hanging="567"/>
        <w:rPr>
          <w:szCs w:val="22"/>
        </w:rPr>
      </w:pPr>
    </w:p>
    <w:p w14:paraId="72EAF2C3" w14:textId="77777777" w:rsidR="00DA6EA5" w:rsidRPr="006128F6" w:rsidRDefault="00DA6EA5" w:rsidP="00CE71A5">
      <w:pPr>
        <w:spacing w:line="240" w:lineRule="auto"/>
        <w:ind w:left="567" w:hanging="567"/>
        <w:rPr>
          <w:szCs w:val="22"/>
        </w:rPr>
      </w:pPr>
    </w:p>
    <w:p w14:paraId="3A7012DC" w14:textId="77777777" w:rsidR="0039353D" w:rsidRPr="006128F6" w:rsidRDefault="0039353D"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128F6">
        <w:rPr>
          <w:b/>
          <w:szCs w:val="22"/>
        </w:rPr>
        <w:lastRenderedPageBreak/>
        <w:t>10.</w:t>
      </w:r>
      <w:r w:rsidRPr="006128F6">
        <w:rPr>
          <w:b/>
          <w:szCs w:val="22"/>
        </w:rPr>
        <w:tab/>
        <w:t>SPECIAL PRECAUTIONS FOR DISPOSAL OF UNUSED MEDICINAL PRODUCTS OR WASTE MATERIALS DERIVED FROM SUCH MEDICINAL PRODUCTS, IF APPROPRIATE</w:t>
      </w:r>
    </w:p>
    <w:p w14:paraId="78904AAD" w14:textId="77777777" w:rsidR="0039353D" w:rsidRPr="006128F6" w:rsidRDefault="0039353D" w:rsidP="00CE71A5">
      <w:pPr>
        <w:spacing w:line="240" w:lineRule="auto"/>
        <w:rPr>
          <w:szCs w:val="22"/>
        </w:rPr>
      </w:pPr>
    </w:p>
    <w:p w14:paraId="528DB6FF" w14:textId="77777777" w:rsidR="0039353D" w:rsidRPr="006128F6" w:rsidRDefault="0039353D" w:rsidP="00CE71A5">
      <w:pPr>
        <w:spacing w:line="240" w:lineRule="auto"/>
        <w:rPr>
          <w:szCs w:val="22"/>
        </w:rPr>
      </w:pPr>
    </w:p>
    <w:p w14:paraId="21B2410F" w14:textId="77777777" w:rsidR="0039353D" w:rsidRPr="006128F6" w:rsidRDefault="0039353D"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128F6">
        <w:rPr>
          <w:b/>
          <w:szCs w:val="22"/>
        </w:rPr>
        <w:t>11.</w:t>
      </w:r>
      <w:r w:rsidRPr="006128F6">
        <w:rPr>
          <w:b/>
          <w:szCs w:val="22"/>
        </w:rPr>
        <w:tab/>
        <w:t>NAME AND ADDRESS OF THE MARKETING AUTHORISATION HOLDER</w:t>
      </w:r>
    </w:p>
    <w:p w14:paraId="4E76AFEB" w14:textId="77777777" w:rsidR="0039353D" w:rsidRPr="006128F6" w:rsidRDefault="0039353D" w:rsidP="00CE71A5">
      <w:pPr>
        <w:spacing w:line="240" w:lineRule="auto"/>
        <w:rPr>
          <w:szCs w:val="22"/>
        </w:rPr>
      </w:pPr>
    </w:p>
    <w:p w14:paraId="3A47B18C" w14:textId="0F4887E6" w:rsidR="0039353D" w:rsidRPr="00C25AB7" w:rsidRDefault="0039353D" w:rsidP="00CE71A5">
      <w:pPr>
        <w:spacing w:line="240" w:lineRule="auto"/>
        <w:rPr>
          <w:lang w:val="de-DE"/>
        </w:rPr>
      </w:pPr>
      <w:r w:rsidRPr="00C25AB7">
        <w:rPr>
          <w:lang w:val="de-DE"/>
        </w:rPr>
        <w:t>Amgen Europe B.V.</w:t>
      </w:r>
    </w:p>
    <w:p w14:paraId="6B732644" w14:textId="77777777" w:rsidR="0039353D" w:rsidRPr="00C25AB7" w:rsidRDefault="0039353D" w:rsidP="00CE71A5">
      <w:pPr>
        <w:spacing w:line="240" w:lineRule="auto"/>
        <w:rPr>
          <w:lang w:val="de-DE"/>
        </w:rPr>
      </w:pPr>
      <w:r w:rsidRPr="00C25AB7">
        <w:rPr>
          <w:lang w:val="de-DE"/>
        </w:rPr>
        <w:t>Minervum 7061</w:t>
      </w:r>
      <w:r w:rsidR="00DA6EA5" w:rsidRPr="00C25AB7">
        <w:rPr>
          <w:lang w:val="de-DE"/>
        </w:rPr>
        <w:t>,</w:t>
      </w:r>
    </w:p>
    <w:p w14:paraId="3B8FF9D0" w14:textId="77777777" w:rsidR="0039353D" w:rsidRPr="00EA21EE" w:rsidRDefault="0039353D" w:rsidP="00CE71A5">
      <w:pPr>
        <w:spacing w:line="240" w:lineRule="auto"/>
        <w:rPr>
          <w:lang w:val="en-IN"/>
        </w:rPr>
      </w:pPr>
      <w:r w:rsidRPr="00EA21EE">
        <w:rPr>
          <w:lang w:val="en-IN"/>
        </w:rPr>
        <w:t>NL</w:t>
      </w:r>
      <w:r w:rsidRPr="00EA21EE">
        <w:rPr>
          <w:lang w:val="en-IN"/>
        </w:rPr>
        <w:noBreakHyphen/>
        <w:t>4817 ZK Breda</w:t>
      </w:r>
      <w:r w:rsidR="00DA6EA5" w:rsidRPr="00EA21EE">
        <w:rPr>
          <w:lang w:val="en-IN"/>
        </w:rPr>
        <w:t>,</w:t>
      </w:r>
    </w:p>
    <w:p w14:paraId="1D6F64D3" w14:textId="77777777" w:rsidR="0039353D" w:rsidRPr="006128F6" w:rsidRDefault="0039353D" w:rsidP="00CE71A5">
      <w:pPr>
        <w:spacing w:line="240" w:lineRule="auto"/>
        <w:rPr>
          <w:szCs w:val="22"/>
        </w:rPr>
      </w:pPr>
      <w:r w:rsidRPr="006128F6">
        <w:t>The Netherlands</w:t>
      </w:r>
      <w:r w:rsidRPr="006128F6">
        <w:rPr>
          <w:i/>
          <w:szCs w:val="22"/>
        </w:rPr>
        <w:t xml:space="preserve"> </w:t>
      </w:r>
    </w:p>
    <w:p w14:paraId="557BB856" w14:textId="77777777" w:rsidR="0039353D" w:rsidRPr="006128F6" w:rsidRDefault="0039353D" w:rsidP="00CE71A5">
      <w:pPr>
        <w:spacing w:line="240" w:lineRule="auto"/>
        <w:rPr>
          <w:szCs w:val="22"/>
        </w:rPr>
      </w:pPr>
    </w:p>
    <w:p w14:paraId="065B923D" w14:textId="77777777" w:rsidR="0039353D" w:rsidRPr="006128F6" w:rsidRDefault="0039353D" w:rsidP="00CE71A5">
      <w:pPr>
        <w:spacing w:line="240" w:lineRule="auto"/>
        <w:rPr>
          <w:szCs w:val="22"/>
        </w:rPr>
      </w:pPr>
    </w:p>
    <w:p w14:paraId="0205DD38" w14:textId="77777777" w:rsidR="0039353D" w:rsidRPr="006128F6" w:rsidRDefault="0039353D"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12.</w:t>
      </w:r>
      <w:r w:rsidRPr="006128F6">
        <w:rPr>
          <w:b/>
          <w:szCs w:val="22"/>
        </w:rPr>
        <w:tab/>
        <w:t xml:space="preserve">MARKETING AUTHORISATION NUMBER(S) </w:t>
      </w:r>
    </w:p>
    <w:p w14:paraId="36046385" w14:textId="77777777" w:rsidR="0039353D" w:rsidRPr="006128F6" w:rsidRDefault="0039353D" w:rsidP="00CE71A5">
      <w:pPr>
        <w:spacing w:line="240" w:lineRule="auto"/>
        <w:rPr>
          <w:szCs w:val="22"/>
        </w:rPr>
      </w:pPr>
    </w:p>
    <w:p w14:paraId="635CFE34" w14:textId="77777777" w:rsidR="00403334" w:rsidRDefault="00403334" w:rsidP="00CE71A5">
      <w:pPr>
        <w:spacing w:line="240" w:lineRule="auto"/>
        <w:rPr>
          <w:rFonts w:cs="Verdana"/>
          <w:color w:val="000000"/>
        </w:rPr>
      </w:pPr>
      <w:r w:rsidRPr="008A47B3">
        <w:rPr>
          <w:rFonts w:cs="Verdana"/>
          <w:color w:val="000000"/>
        </w:rPr>
        <w:t>EU/1/18/1281/001</w:t>
      </w:r>
    </w:p>
    <w:p w14:paraId="535496D3" w14:textId="4D93EA2A" w:rsidR="0039353D" w:rsidRPr="006128F6" w:rsidRDefault="0039353D" w:rsidP="00CE71A5">
      <w:pPr>
        <w:spacing w:line="240" w:lineRule="auto"/>
        <w:rPr>
          <w:szCs w:val="22"/>
        </w:rPr>
      </w:pPr>
    </w:p>
    <w:p w14:paraId="6F2AEF4C" w14:textId="77777777" w:rsidR="0039353D" w:rsidRPr="006128F6" w:rsidRDefault="0039353D" w:rsidP="00CE71A5">
      <w:pPr>
        <w:spacing w:line="240" w:lineRule="auto"/>
        <w:rPr>
          <w:szCs w:val="22"/>
        </w:rPr>
      </w:pPr>
    </w:p>
    <w:p w14:paraId="5D2B1DDC" w14:textId="77777777" w:rsidR="0039353D" w:rsidRPr="006128F6" w:rsidRDefault="0039353D"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13.</w:t>
      </w:r>
      <w:r w:rsidRPr="006128F6">
        <w:rPr>
          <w:b/>
          <w:szCs w:val="22"/>
        </w:rPr>
        <w:tab/>
        <w:t>BATCH NUMBER</w:t>
      </w:r>
    </w:p>
    <w:p w14:paraId="5A256673" w14:textId="77777777" w:rsidR="0039353D" w:rsidRPr="006128F6" w:rsidRDefault="0039353D" w:rsidP="00CE71A5">
      <w:pPr>
        <w:spacing w:line="240" w:lineRule="auto"/>
        <w:rPr>
          <w:i/>
          <w:szCs w:val="22"/>
        </w:rPr>
      </w:pPr>
    </w:p>
    <w:p w14:paraId="67D82856" w14:textId="77777777" w:rsidR="00992CD0" w:rsidRPr="006128F6" w:rsidRDefault="00992CD0" w:rsidP="00CE71A5">
      <w:pPr>
        <w:spacing w:line="240" w:lineRule="auto"/>
        <w:rPr>
          <w:szCs w:val="22"/>
        </w:rPr>
      </w:pPr>
      <w:r w:rsidRPr="006128F6">
        <w:rPr>
          <w:szCs w:val="22"/>
        </w:rPr>
        <w:t>Lot</w:t>
      </w:r>
    </w:p>
    <w:p w14:paraId="6A904DEC" w14:textId="77777777" w:rsidR="0039353D" w:rsidRPr="006128F6" w:rsidRDefault="0039353D" w:rsidP="00CE71A5">
      <w:pPr>
        <w:spacing w:line="240" w:lineRule="auto"/>
        <w:rPr>
          <w:szCs w:val="22"/>
        </w:rPr>
      </w:pPr>
    </w:p>
    <w:p w14:paraId="3D0A390A" w14:textId="77777777" w:rsidR="00DA6EA5" w:rsidRPr="006128F6" w:rsidRDefault="00DA6EA5" w:rsidP="00CE71A5">
      <w:pPr>
        <w:spacing w:line="240" w:lineRule="auto"/>
        <w:rPr>
          <w:szCs w:val="22"/>
        </w:rPr>
      </w:pPr>
    </w:p>
    <w:p w14:paraId="4C3B1A76" w14:textId="77777777" w:rsidR="0039353D" w:rsidRPr="006128F6" w:rsidRDefault="0039353D"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14.</w:t>
      </w:r>
      <w:r w:rsidRPr="006128F6">
        <w:rPr>
          <w:b/>
          <w:szCs w:val="22"/>
        </w:rPr>
        <w:tab/>
        <w:t>GENERAL CLASSIFICATION FOR SUPPLY</w:t>
      </w:r>
    </w:p>
    <w:p w14:paraId="1272F4F1" w14:textId="77777777" w:rsidR="0039353D" w:rsidRPr="006128F6" w:rsidRDefault="0039353D" w:rsidP="00CE71A5">
      <w:pPr>
        <w:spacing w:line="240" w:lineRule="auto"/>
        <w:rPr>
          <w:i/>
          <w:szCs w:val="22"/>
        </w:rPr>
      </w:pPr>
    </w:p>
    <w:p w14:paraId="5F2B6D62" w14:textId="77777777" w:rsidR="00992CD0" w:rsidRPr="006128F6" w:rsidRDefault="00992CD0" w:rsidP="00CE71A5">
      <w:pPr>
        <w:spacing w:line="240" w:lineRule="auto"/>
        <w:rPr>
          <w:szCs w:val="22"/>
        </w:rPr>
      </w:pPr>
    </w:p>
    <w:p w14:paraId="27846986" w14:textId="77777777" w:rsidR="0039353D" w:rsidRPr="006128F6" w:rsidRDefault="0039353D" w:rsidP="00CE71A5">
      <w:pPr>
        <w:pBdr>
          <w:top w:val="single" w:sz="4" w:space="2"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15.</w:t>
      </w:r>
      <w:r w:rsidRPr="006128F6">
        <w:rPr>
          <w:b/>
          <w:szCs w:val="22"/>
        </w:rPr>
        <w:tab/>
        <w:t>INSTRUCTIONS ON USE</w:t>
      </w:r>
    </w:p>
    <w:p w14:paraId="1DD1080F" w14:textId="77777777" w:rsidR="0039353D" w:rsidRPr="006128F6" w:rsidRDefault="0039353D" w:rsidP="00CE71A5">
      <w:pPr>
        <w:spacing w:line="240" w:lineRule="auto"/>
        <w:rPr>
          <w:szCs w:val="22"/>
        </w:rPr>
      </w:pPr>
    </w:p>
    <w:p w14:paraId="47938F21" w14:textId="77777777" w:rsidR="00C33F49" w:rsidRPr="006128F6" w:rsidRDefault="00C33F49" w:rsidP="00CE71A5">
      <w:pPr>
        <w:spacing w:line="240" w:lineRule="auto"/>
        <w:rPr>
          <w:szCs w:val="22"/>
        </w:rPr>
      </w:pPr>
    </w:p>
    <w:p w14:paraId="02E6B7CA" w14:textId="77777777" w:rsidR="00C33F49" w:rsidRPr="00D248DE" w:rsidRDefault="00C33F49" w:rsidP="00CE71A5">
      <w:pPr>
        <w:pBdr>
          <w:top w:val="single" w:sz="4" w:space="1" w:color="auto"/>
          <w:left w:val="single" w:sz="4" w:space="4" w:color="auto"/>
          <w:bottom w:val="single" w:sz="4" w:space="0" w:color="auto"/>
          <w:right w:val="single" w:sz="4" w:space="4" w:color="auto"/>
        </w:pBdr>
        <w:spacing w:line="240" w:lineRule="auto"/>
        <w:ind w:left="567" w:hanging="567"/>
        <w:rPr>
          <w:szCs w:val="22"/>
        </w:rPr>
      </w:pPr>
      <w:r w:rsidRPr="00D248DE">
        <w:rPr>
          <w:b/>
          <w:szCs w:val="22"/>
        </w:rPr>
        <w:t>16.</w:t>
      </w:r>
      <w:r w:rsidRPr="00D248DE">
        <w:rPr>
          <w:b/>
          <w:szCs w:val="22"/>
        </w:rPr>
        <w:tab/>
        <w:t>INFORMATION IN BRAILLE</w:t>
      </w:r>
    </w:p>
    <w:p w14:paraId="2C7B39AF" w14:textId="77777777" w:rsidR="00C33F49" w:rsidRPr="00D248DE" w:rsidRDefault="00C33F49" w:rsidP="00CE71A5">
      <w:pPr>
        <w:spacing w:line="240" w:lineRule="auto"/>
        <w:rPr>
          <w:szCs w:val="22"/>
          <w:shd w:val="clear" w:color="auto" w:fill="CCCCCC"/>
        </w:rPr>
      </w:pPr>
    </w:p>
    <w:p w14:paraId="0E60C977" w14:textId="77777777" w:rsidR="00C33F49" w:rsidRPr="00D248DE" w:rsidRDefault="00C33F49" w:rsidP="00CE71A5">
      <w:pPr>
        <w:spacing w:line="240" w:lineRule="auto"/>
        <w:rPr>
          <w:szCs w:val="22"/>
          <w:shd w:val="clear" w:color="auto" w:fill="CCCCCC"/>
        </w:rPr>
      </w:pPr>
    </w:p>
    <w:p w14:paraId="321D9A5F" w14:textId="77777777" w:rsidR="00C33F49" w:rsidRPr="00D248DE" w:rsidRDefault="00C33F49" w:rsidP="00CE71A5">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rPr>
      </w:pPr>
      <w:r w:rsidRPr="00D248DE">
        <w:rPr>
          <w:b/>
        </w:rPr>
        <w:t>17.</w:t>
      </w:r>
      <w:r w:rsidRPr="00D248DE">
        <w:rPr>
          <w:b/>
        </w:rPr>
        <w:tab/>
        <w:t>UNIQUE IDENTIFIER – 2D BARCODE</w:t>
      </w:r>
    </w:p>
    <w:p w14:paraId="5D065A67" w14:textId="77777777" w:rsidR="00C33F49" w:rsidRPr="00D248DE" w:rsidRDefault="00C33F49" w:rsidP="00CE71A5">
      <w:pPr>
        <w:tabs>
          <w:tab w:val="clear" w:pos="567"/>
        </w:tabs>
        <w:spacing w:line="240" w:lineRule="auto"/>
      </w:pPr>
    </w:p>
    <w:p w14:paraId="57C6FFD4" w14:textId="77777777" w:rsidR="00C33F49" w:rsidRPr="00D248DE" w:rsidRDefault="00C33F49" w:rsidP="00CE71A5">
      <w:pPr>
        <w:tabs>
          <w:tab w:val="clear" w:pos="567"/>
        </w:tabs>
        <w:spacing w:line="240" w:lineRule="auto"/>
      </w:pPr>
    </w:p>
    <w:p w14:paraId="08513CC3" w14:textId="77777777" w:rsidR="00C33F49" w:rsidRPr="006128F6" w:rsidRDefault="00C33F49" w:rsidP="00CE71A5">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rPr>
      </w:pPr>
      <w:r w:rsidRPr="006128F6">
        <w:rPr>
          <w:b/>
        </w:rPr>
        <w:t>18.</w:t>
      </w:r>
      <w:r w:rsidRPr="006128F6">
        <w:rPr>
          <w:b/>
        </w:rPr>
        <w:tab/>
        <w:t>UNIQUE IDENTIFIER - HUMAN READABLE DATA</w:t>
      </w:r>
    </w:p>
    <w:p w14:paraId="2F94C907" w14:textId="77777777" w:rsidR="00C33F49" w:rsidRPr="006128F6" w:rsidRDefault="00C33F49" w:rsidP="00CE71A5">
      <w:pPr>
        <w:tabs>
          <w:tab w:val="clear" w:pos="567"/>
        </w:tabs>
        <w:spacing w:line="240" w:lineRule="auto"/>
      </w:pPr>
    </w:p>
    <w:p w14:paraId="772EDAC6" w14:textId="77777777" w:rsidR="002C66DB" w:rsidRPr="006128F6" w:rsidRDefault="002C66DB" w:rsidP="00CE71A5">
      <w:pPr>
        <w:spacing w:line="240" w:lineRule="auto"/>
        <w:rPr>
          <w:szCs w:val="22"/>
        </w:rPr>
      </w:pPr>
    </w:p>
    <w:p w14:paraId="0EA89A07" w14:textId="77777777" w:rsidR="00696DB9" w:rsidRPr="006128F6" w:rsidRDefault="00577F9F" w:rsidP="00CE71A5">
      <w:pPr>
        <w:pBdr>
          <w:top w:val="single" w:sz="4" w:space="1" w:color="auto"/>
          <w:left w:val="single" w:sz="4" w:space="4" w:color="auto"/>
          <w:bottom w:val="single" w:sz="4" w:space="1" w:color="auto"/>
          <w:right w:val="single" w:sz="4" w:space="4" w:color="auto"/>
        </w:pBdr>
        <w:spacing w:line="240" w:lineRule="auto"/>
        <w:rPr>
          <w:b/>
          <w:szCs w:val="22"/>
        </w:rPr>
      </w:pPr>
      <w:r w:rsidRPr="006128F6">
        <w:rPr>
          <w:b/>
        </w:rPr>
        <w:br w:type="page"/>
      </w:r>
      <w:r w:rsidR="00696DB9" w:rsidRPr="006128F6">
        <w:rPr>
          <w:b/>
          <w:szCs w:val="22"/>
        </w:rPr>
        <w:lastRenderedPageBreak/>
        <w:t xml:space="preserve">PARTICULARS TO APPEAR ON THE OUTER PACKAGING </w:t>
      </w:r>
    </w:p>
    <w:p w14:paraId="7529C7BF" w14:textId="77777777" w:rsidR="00696DB9" w:rsidRPr="006128F6" w:rsidRDefault="00696DB9" w:rsidP="00CE71A5">
      <w:pPr>
        <w:pBdr>
          <w:top w:val="single" w:sz="4" w:space="1" w:color="auto"/>
          <w:left w:val="single" w:sz="4" w:space="4" w:color="auto"/>
          <w:bottom w:val="single" w:sz="4" w:space="1" w:color="auto"/>
          <w:right w:val="single" w:sz="4" w:space="4" w:color="auto"/>
        </w:pBdr>
        <w:spacing w:line="240" w:lineRule="auto"/>
        <w:rPr>
          <w:bCs/>
          <w:szCs w:val="22"/>
        </w:rPr>
      </w:pPr>
    </w:p>
    <w:p w14:paraId="5EE0D5FB" w14:textId="77777777" w:rsidR="00696DB9" w:rsidRPr="006128F6" w:rsidRDefault="00696DB9" w:rsidP="00CE71A5">
      <w:pPr>
        <w:pBdr>
          <w:top w:val="single" w:sz="4" w:space="1" w:color="auto"/>
          <w:left w:val="single" w:sz="4" w:space="4" w:color="auto"/>
          <w:bottom w:val="single" w:sz="4" w:space="1" w:color="auto"/>
          <w:right w:val="single" w:sz="4" w:space="4" w:color="auto"/>
        </w:pBdr>
        <w:spacing w:line="240" w:lineRule="auto"/>
        <w:rPr>
          <w:bCs/>
          <w:szCs w:val="22"/>
        </w:rPr>
      </w:pPr>
      <w:r w:rsidRPr="006128F6">
        <w:rPr>
          <w:b/>
          <w:szCs w:val="22"/>
        </w:rPr>
        <w:t>CARTON</w:t>
      </w:r>
    </w:p>
    <w:p w14:paraId="727DF817" w14:textId="77777777" w:rsidR="00696DB9" w:rsidRPr="006128F6" w:rsidRDefault="00696DB9" w:rsidP="00CE71A5">
      <w:pPr>
        <w:spacing w:line="240" w:lineRule="auto"/>
      </w:pPr>
    </w:p>
    <w:p w14:paraId="65A37880" w14:textId="77777777" w:rsidR="00696DB9" w:rsidRPr="006128F6" w:rsidRDefault="00696DB9" w:rsidP="00CE71A5">
      <w:pPr>
        <w:spacing w:line="240" w:lineRule="auto"/>
        <w:rPr>
          <w:szCs w:val="22"/>
        </w:rPr>
      </w:pPr>
    </w:p>
    <w:p w14:paraId="4B52A0F0" w14:textId="77777777" w:rsidR="00696DB9" w:rsidRPr="006128F6" w:rsidRDefault="00696DB9" w:rsidP="00CE71A5">
      <w:pPr>
        <w:pBdr>
          <w:top w:val="single" w:sz="4" w:space="1" w:color="auto"/>
          <w:left w:val="single" w:sz="4" w:space="4" w:color="auto"/>
          <w:bottom w:val="single" w:sz="4" w:space="1" w:color="auto"/>
          <w:right w:val="single" w:sz="4" w:space="4" w:color="auto"/>
        </w:pBdr>
        <w:spacing w:line="240" w:lineRule="auto"/>
        <w:ind w:left="567" w:hanging="567"/>
        <w:outlineLvl w:val="0"/>
      </w:pPr>
      <w:r w:rsidRPr="006128F6">
        <w:rPr>
          <w:b/>
        </w:rPr>
        <w:t>1.</w:t>
      </w:r>
      <w:r w:rsidRPr="006128F6">
        <w:rPr>
          <w:b/>
        </w:rPr>
        <w:tab/>
        <w:t>NAME OF THE MEDICINAL PRODUCT</w:t>
      </w:r>
    </w:p>
    <w:p w14:paraId="3BF4FA3E" w14:textId="77777777" w:rsidR="00696DB9" w:rsidRPr="006128F6" w:rsidRDefault="00696DB9" w:rsidP="00CE71A5">
      <w:pPr>
        <w:spacing w:line="240" w:lineRule="auto"/>
        <w:rPr>
          <w:szCs w:val="22"/>
        </w:rPr>
      </w:pPr>
    </w:p>
    <w:p w14:paraId="3225D6EC" w14:textId="3EEAD131" w:rsidR="00696DB9" w:rsidRPr="006128F6" w:rsidRDefault="00696DB9" w:rsidP="00CE71A5">
      <w:pPr>
        <w:autoSpaceDE w:val="0"/>
        <w:autoSpaceDN w:val="0"/>
        <w:adjustRightInd w:val="0"/>
        <w:spacing w:line="240" w:lineRule="auto"/>
        <w:rPr>
          <w:color w:val="000000"/>
        </w:rPr>
      </w:pPr>
      <w:r w:rsidRPr="00696DB9">
        <w:rPr>
          <w:color w:val="000000"/>
        </w:rPr>
        <w:t>KANJINTI 4</w:t>
      </w:r>
      <w:r w:rsidR="00B02181">
        <w:rPr>
          <w:color w:val="000000"/>
        </w:rPr>
        <w:t>2</w:t>
      </w:r>
      <w:r w:rsidRPr="00696DB9">
        <w:rPr>
          <w:color w:val="000000"/>
        </w:rPr>
        <w:t>0 mg powder for concentrate for solution for infusion</w:t>
      </w:r>
    </w:p>
    <w:p w14:paraId="70B2F1AD" w14:textId="77777777" w:rsidR="00696DB9" w:rsidRPr="006128F6" w:rsidRDefault="00696DB9" w:rsidP="00CE71A5">
      <w:pPr>
        <w:spacing w:line="240" w:lineRule="auto"/>
        <w:rPr>
          <w:b/>
          <w:szCs w:val="22"/>
        </w:rPr>
      </w:pPr>
      <w:r w:rsidRPr="006128F6">
        <w:rPr>
          <w:szCs w:val="22"/>
        </w:rPr>
        <w:t>trastuzumab</w:t>
      </w:r>
    </w:p>
    <w:p w14:paraId="1BEE60CD" w14:textId="77777777" w:rsidR="00696DB9" w:rsidRPr="006128F6" w:rsidRDefault="00696DB9" w:rsidP="00CE71A5">
      <w:pPr>
        <w:spacing w:line="240" w:lineRule="auto"/>
        <w:rPr>
          <w:szCs w:val="22"/>
        </w:rPr>
      </w:pPr>
    </w:p>
    <w:p w14:paraId="23046221" w14:textId="77777777" w:rsidR="00696DB9" w:rsidRPr="006128F6" w:rsidRDefault="00696DB9" w:rsidP="00CE71A5">
      <w:pPr>
        <w:spacing w:line="240" w:lineRule="auto"/>
        <w:rPr>
          <w:szCs w:val="22"/>
        </w:rPr>
      </w:pPr>
    </w:p>
    <w:p w14:paraId="7A3554AA" w14:textId="77777777" w:rsidR="00696DB9" w:rsidRPr="006128F6" w:rsidRDefault="00696DB9"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128F6">
        <w:rPr>
          <w:b/>
          <w:szCs w:val="22"/>
        </w:rPr>
        <w:t>2.</w:t>
      </w:r>
      <w:r w:rsidRPr="006128F6">
        <w:rPr>
          <w:b/>
          <w:szCs w:val="22"/>
        </w:rPr>
        <w:tab/>
        <w:t>STATEMENT OF ACTIVE SUBSTANCE(S)</w:t>
      </w:r>
    </w:p>
    <w:p w14:paraId="6AFE054D" w14:textId="77777777" w:rsidR="00696DB9" w:rsidRPr="006128F6" w:rsidRDefault="00696DB9" w:rsidP="00CE71A5">
      <w:pPr>
        <w:spacing w:line="240" w:lineRule="auto"/>
        <w:rPr>
          <w:szCs w:val="22"/>
        </w:rPr>
      </w:pPr>
    </w:p>
    <w:p w14:paraId="5B40FA40" w14:textId="51682396" w:rsidR="00696DB9" w:rsidRPr="006128F6" w:rsidRDefault="00696DB9" w:rsidP="00CE71A5">
      <w:pPr>
        <w:spacing w:line="240" w:lineRule="auto"/>
        <w:rPr>
          <w:szCs w:val="22"/>
        </w:rPr>
      </w:pPr>
      <w:r w:rsidRPr="00696DB9">
        <w:rPr>
          <w:szCs w:val="22"/>
        </w:rPr>
        <w:t>The vial contains 4</w:t>
      </w:r>
      <w:r w:rsidR="00B02181">
        <w:rPr>
          <w:szCs w:val="22"/>
        </w:rPr>
        <w:t>2</w:t>
      </w:r>
      <w:r w:rsidRPr="00696DB9">
        <w:rPr>
          <w:szCs w:val="22"/>
        </w:rPr>
        <w:t>0 mg trastuzumab.</w:t>
      </w:r>
    </w:p>
    <w:p w14:paraId="66CD5F09" w14:textId="77777777" w:rsidR="00696DB9" w:rsidRPr="006128F6" w:rsidRDefault="00696DB9" w:rsidP="00CE71A5">
      <w:pPr>
        <w:spacing w:line="240" w:lineRule="auto"/>
        <w:rPr>
          <w:szCs w:val="22"/>
        </w:rPr>
      </w:pPr>
      <w:r w:rsidRPr="006128F6">
        <w:rPr>
          <w:szCs w:val="22"/>
        </w:rPr>
        <w:t>After reconstitution 1 mL concentrate contains 21 mg of trastuzumab.</w:t>
      </w:r>
    </w:p>
    <w:p w14:paraId="6FC3CAC9" w14:textId="77777777" w:rsidR="00696DB9" w:rsidRPr="006128F6" w:rsidRDefault="00696DB9" w:rsidP="00CE71A5">
      <w:pPr>
        <w:spacing w:line="240" w:lineRule="auto"/>
        <w:rPr>
          <w:szCs w:val="22"/>
        </w:rPr>
      </w:pPr>
    </w:p>
    <w:p w14:paraId="45477E26" w14:textId="77777777" w:rsidR="00696DB9" w:rsidRPr="006128F6" w:rsidRDefault="00696DB9" w:rsidP="00CE71A5">
      <w:pPr>
        <w:spacing w:line="240" w:lineRule="auto"/>
        <w:rPr>
          <w:szCs w:val="22"/>
        </w:rPr>
      </w:pPr>
    </w:p>
    <w:p w14:paraId="62BF5ED4" w14:textId="77777777" w:rsidR="00696DB9" w:rsidRPr="006128F6" w:rsidRDefault="00696DB9"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3.</w:t>
      </w:r>
      <w:r w:rsidRPr="006128F6">
        <w:rPr>
          <w:b/>
          <w:szCs w:val="22"/>
        </w:rPr>
        <w:tab/>
        <w:t>LIST OF EXCIPIENTS</w:t>
      </w:r>
    </w:p>
    <w:p w14:paraId="62A5E1DA" w14:textId="77777777" w:rsidR="00696DB9" w:rsidRPr="006128F6" w:rsidRDefault="00696DB9" w:rsidP="00CE71A5">
      <w:pPr>
        <w:spacing w:line="240" w:lineRule="auto"/>
        <w:rPr>
          <w:szCs w:val="22"/>
        </w:rPr>
      </w:pPr>
    </w:p>
    <w:p w14:paraId="10D6452F" w14:textId="18F9E1C9" w:rsidR="00696DB9" w:rsidRPr="006128F6" w:rsidRDefault="00241604" w:rsidP="00CE71A5">
      <w:pPr>
        <w:tabs>
          <w:tab w:val="clear" w:pos="567"/>
        </w:tabs>
        <w:autoSpaceDE w:val="0"/>
        <w:autoSpaceDN w:val="0"/>
        <w:adjustRightInd w:val="0"/>
        <w:spacing w:line="240" w:lineRule="auto"/>
        <w:rPr>
          <w:szCs w:val="22"/>
        </w:rPr>
      </w:pPr>
      <w:r w:rsidRPr="00CE427E">
        <w:rPr>
          <w:rFonts w:eastAsia="Calibri"/>
          <w:color w:val="000000"/>
          <w:szCs w:val="22"/>
        </w:rPr>
        <w:t xml:space="preserve">Excipients: </w:t>
      </w:r>
      <w:r w:rsidR="00A4219B" w:rsidRPr="00CE427E">
        <w:rPr>
          <w:rFonts w:eastAsia="Calibri"/>
          <w:color w:val="000000"/>
          <w:szCs w:val="22"/>
        </w:rPr>
        <w:t xml:space="preserve">histidine, histidine monohydrochloride, trehalose </w:t>
      </w:r>
      <w:r w:rsidR="00074E07" w:rsidRPr="00CE427E">
        <w:rPr>
          <w:rFonts w:eastAsia="Calibri"/>
          <w:color w:val="000000"/>
          <w:szCs w:val="22"/>
        </w:rPr>
        <w:t>dihy</w:t>
      </w:r>
      <w:r w:rsidR="00A4219B" w:rsidRPr="00CE427E">
        <w:rPr>
          <w:rFonts w:eastAsia="Calibri"/>
          <w:color w:val="000000"/>
          <w:szCs w:val="22"/>
        </w:rPr>
        <w:t>drate</w:t>
      </w:r>
      <w:r w:rsidR="00696DB9" w:rsidRPr="00CE427E">
        <w:rPr>
          <w:rFonts w:eastAsia="Calibri"/>
          <w:color w:val="000000"/>
          <w:szCs w:val="22"/>
        </w:rPr>
        <w:t>, polysorbate 20.</w:t>
      </w:r>
    </w:p>
    <w:p w14:paraId="0728DF83" w14:textId="77777777" w:rsidR="00696DB9" w:rsidRPr="006128F6" w:rsidRDefault="00696DB9" w:rsidP="00CE71A5">
      <w:pPr>
        <w:spacing w:line="240" w:lineRule="auto"/>
        <w:rPr>
          <w:szCs w:val="22"/>
        </w:rPr>
      </w:pPr>
    </w:p>
    <w:p w14:paraId="46136A59" w14:textId="77777777" w:rsidR="00696DB9" w:rsidRPr="006128F6" w:rsidRDefault="00696DB9" w:rsidP="00CE71A5">
      <w:pPr>
        <w:spacing w:line="240" w:lineRule="auto"/>
        <w:rPr>
          <w:szCs w:val="22"/>
        </w:rPr>
      </w:pPr>
    </w:p>
    <w:p w14:paraId="71E3B64A" w14:textId="77777777" w:rsidR="00696DB9" w:rsidRPr="006128F6" w:rsidRDefault="00696DB9"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4.</w:t>
      </w:r>
      <w:r w:rsidRPr="006128F6">
        <w:rPr>
          <w:b/>
          <w:szCs w:val="22"/>
        </w:rPr>
        <w:tab/>
        <w:t>PHARMACEUTICAL FORM AND CONTENTS</w:t>
      </w:r>
    </w:p>
    <w:p w14:paraId="47D52C8B" w14:textId="77777777" w:rsidR="00696DB9" w:rsidRPr="006128F6" w:rsidRDefault="00696DB9" w:rsidP="00CE71A5">
      <w:pPr>
        <w:spacing w:line="240" w:lineRule="auto"/>
        <w:rPr>
          <w:szCs w:val="22"/>
        </w:rPr>
      </w:pPr>
    </w:p>
    <w:p w14:paraId="581AAD7B" w14:textId="77777777" w:rsidR="00696DB9" w:rsidRPr="006128F6" w:rsidRDefault="00696DB9" w:rsidP="00CE71A5">
      <w:pPr>
        <w:spacing w:line="240" w:lineRule="auto"/>
        <w:rPr>
          <w:szCs w:val="22"/>
        </w:rPr>
      </w:pPr>
      <w:r>
        <w:rPr>
          <w:szCs w:val="22"/>
          <w:highlight w:val="lightGray"/>
        </w:rPr>
        <w:t>Powder for concentrate for solution for infusion</w:t>
      </w:r>
    </w:p>
    <w:p w14:paraId="127E317C" w14:textId="77777777" w:rsidR="00696DB9" w:rsidRPr="006128F6" w:rsidRDefault="00696DB9" w:rsidP="00CE71A5">
      <w:pPr>
        <w:spacing w:line="240" w:lineRule="auto"/>
        <w:rPr>
          <w:szCs w:val="22"/>
        </w:rPr>
      </w:pPr>
      <w:r w:rsidRPr="006128F6">
        <w:rPr>
          <w:szCs w:val="22"/>
        </w:rPr>
        <w:t>1 vial</w:t>
      </w:r>
    </w:p>
    <w:p w14:paraId="0E3D27CF" w14:textId="77777777" w:rsidR="00696DB9" w:rsidRPr="006128F6" w:rsidRDefault="00696DB9" w:rsidP="00CE71A5">
      <w:pPr>
        <w:spacing w:line="240" w:lineRule="auto"/>
        <w:rPr>
          <w:szCs w:val="22"/>
        </w:rPr>
      </w:pPr>
    </w:p>
    <w:p w14:paraId="5B2CE7CB" w14:textId="77777777" w:rsidR="00696DB9" w:rsidRPr="006128F6" w:rsidRDefault="00696DB9" w:rsidP="00CE71A5">
      <w:pPr>
        <w:spacing w:line="240" w:lineRule="auto"/>
        <w:rPr>
          <w:szCs w:val="22"/>
        </w:rPr>
      </w:pPr>
    </w:p>
    <w:p w14:paraId="64C54E68" w14:textId="77777777" w:rsidR="00696DB9" w:rsidRPr="006128F6" w:rsidRDefault="00696DB9"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5.</w:t>
      </w:r>
      <w:r w:rsidRPr="006128F6">
        <w:rPr>
          <w:b/>
          <w:szCs w:val="22"/>
        </w:rPr>
        <w:tab/>
        <w:t>METHOD AND ROUTE(S) OF ADMINISTRATION</w:t>
      </w:r>
    </w:p>
    <w:p w14:paraId="005DC8B2" w14:textId="77777777" w:rsidR="00696DB9" w:rsidRPr="006128F6" w:rsidRDefault="00696DB9" w:rsidP="00CE71A5">
      <w:pPr>
        <w:spacing w:line="240" w:lineRule="auto"/>
        <w:rPr>
          <w:szCs w:val="22"/>
        </w:rPr>
      </w:pPr>
    </w:p>
    <w:p w14:paraId="28E91122" w14:textId="11C38A38" w:rsidR="00696DB9" w:rsidRPr="006128F6" w:rsidRDefault="00696DB9" w:rsidP="00CE71A5">
      <w:pPr>
        <w:spacing w:line="240" w:lineRule="auto"/>
        <w:rPr>
          <w:szCs w:val="22"/>
        </w:rPr>
      </w:pPr>
      <w:r w:rsidRPr="006128F6">
        <w:rPr>
          <w:szCs w:val="22"/>
        </w:rPr>
        <w:t>For intravenous use</w:t>
      </w:r>
      <w:r w:rsidR="00D55CB3">
        <w:rPr>
          <w:szCs w:val="22"/>
        </w:rPr>
        <w:t xml:space="preserve"> </w:t>
      </w:r>
      <w:r w:rsidR="00D55CB3" w:rsidRPr="00CE427E">
        <w:rPr>
          <w:rFonts w:eastAsia="Calibri"/>
          <w:szCs w:val="22"/>
        </w:rPr>
        <w:t>after reconstitution and dilution</w:t>
      </w:r>
      <w:r w:rsidRPr="006128F6">
        <w:rPr>
          <w:szCs w:val="22"/>
        </w:rPr>
        <w:t>.</w:t>
      </w:r>
    </w:p>
    <w:p w14:paraId="10430F3C" w14:textId="77777777" w:rsidR="00696DB9" w:rsidRPr="006128F6" w:rsidRDefault="00696DB9" w:rsidP="00CE71A5">
      <w:pPr>
        <w:spacing w:line="240" w:lineRule="auto"/>
        <w:rPr>
          <w:szCs w:val="22"/>
        </w:rPr>
      </w:pPr>
      <w:r w:rsidRPr="006128F6">
        <w:rPr>
          <w:szCs w:val="22"/>
        </w:rPr>
        <w:t>Read the package leaflet before use.</w:t>
      </w:r>
    </w:p>
    <w:p w14:paraId="77AC3667" w14:textId="77777777" w:rsidR="00696DB9" w:rsidRPr="006128F6" w:rsidRDefault="00696DB9" w:rsidP="00CE71A5">
      <w:pPr>
        <w:spacing w:line="240" w:lineRule="auto"/>
        <w:rPr>
          <w:szCs w:val="22"/>
        </w:rPr>
      </w:pPr>
    </w:p>
    <w:p w14:paraId="24B003CF" w14:textId="77777777" w:rsidR="00696DB9" w:rsidRPr="006128F6" w:rsidRDefault="00696DB9" w:rsidP="00CE71A5">
      <w:pPr>
        <w:spacing w:line="240" w:lineRule="auto"/>
        <w:rPr>
          <w:szCs w:val="22"/>
        </w:rPr>
      </w:pPr>
    </w:p>
    <w:p w14:paraId="0F8ECF61" w14:textId="77777777" w:rsidR="00696DB9" w:rsidRPr="006128F6" w:rsidRDefault="00696DB9"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6.</w:t>
      </w:r>
      <w:r w:rsidRPr="006128F6">
        <w:rPr>
          <w:b/>
          <w:szCs w:val="22"/>
        </w:rPr>
        <w:tab/>
        <w:t>SPECIAL WARNING THAT THE MEDICINAL PRODUCT MUST BE STORED OUT OF THE SIGHT AND REACH OF CHILDREN</w:t>
      </w:r>
    </w:p>
    <w:p w14:paraId="74B67209" w14:textId="77777777" w:rsidR="00696DB9" w:rsidRPr="006128F6" w:rsidRDefault="00696DB9" w:rsidP="00CE71A5">
      <w:pPr>
        <w:spacing w:line="240" w:lineRule="auto"/>
        <w:rPr>
          <w:szCs w:val="22"/>
        </w:rPr>
      </w:pPr>
    </w:p>
    <w:p w14:paraId="1641AD25" w14:textId="77777777" w:rsidR="00696DB9" w:rsidRPr="006128F6" w:rsidRDefault="00696DB9" w:rsidP="00CE71A5">
      <w:pPr>
        <w:spacing w:line="240" w:lineRule="auto"/>
        <w:outlineLvl w:val="0"/>
        <w:rPr>
          <w:szCs w:val="22"/>
        </w:rPr>
      </w:pPr>
      <w:r w:rsidRPr="006128F6">
        <w:rPr>
          <w:szCs w:val="22"/>
        </w:rPr>
        <w:t>Keep out of the sight and reach of children.</w:t>
      </w:r>
    </w:p>
    <w:p w14:paraId="709C313E" w14:textId="77777777" w:rsidR="00696DB9" w:rsidRPr="006128F6" w:rsidRDefault="00696DB9" w:rsidP="00CE71A5">
      <w:pPr>
        <w:spacing w:line="240" w:lineRule="auto"/>
        <w:rPr>
          <w:szCs w:val="22"/>
        </w:rPr>
      </w:pPr>
    </w:p>
    <w:p w14:paraId="3319F855" w14:textId="77777777" w:rsidR="00696DB9" w:rsidRPr="006128F6" w:rsidRDefault="00696DB9" w:rsidP="00CE71A5">
      <w:pPr>
        <w:spacing w:line="240" w:lineRule="auto"/>
        <w:rPr>
          <w:szCs w:val="22"/>
        </w:rPr>
      </w:pPr>
    </w:p>
    <w:p w14:paraId="0658A26F" w14:textId="77777777" w:rsidR="00696DB9" w:rsidRPr="006128F6" w:rsidRDefault="00696DB9"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7.</w:t>
      </w:r>
      <w:r w:rsidRPr="006128F6">
        <w:rPr>
          <w:b/>
          <w:szCs w:val="22"/>
        </w:rPr>
        <w:tab/>
        <w:t>OTHER SPECIAL WARNING(S), IF NECESSARY</w:t>
      </w:r>
    </w:p>
    <w:p w14:paraId="115C2FBA" w14:textId="77777777" w:rsidR="00696DB9" w:rsidRPr="006128F6" w:rsidRDefault="00696DB9" w:rsidP="00CE71A5">
      <w:pPr>
        <w:spacing w:line="240" w:lineRule="auto"/>
        <w:rPr>
          <w:szCs w:val="22"/>
        </w:rPr>
      </w:pPr>
    </w:p>
    <w:p w14:paraId="30FD0267" w14:textId="77777777" w:rsidR="00696DB9" w:rsidRPr="006128F6" w:rsidRDefault="00696DB9" w:rsidP="00CE71A5">
      <w:pPr>
        <w:tabs>
          <w:tab w:val="left" w:pos="749"/>
        </w:tabs>
        <w:spacing w:line="240" w:lineRule="auto"/>
      </w:pPr>
    </w:p>
    <w:p w14:paraId="7551F8B0" w14:textId="77777777" w:rsidR="00696DB9" w:rsidRPr="006128F6" w:rsidRDefault="00696DB9" w:rsidP="00CE71A5">
      <w:pPr>
        <w:pBdr>
          <w:top w:val="single" w:sz="4" w:space="1" w:color="auto"/>
          <w:left w:val="single" w:sz="4" w:space="4" w:color="auto"/>
          <w:bottom w:val="single" w:sz="4" w:space="1" w:color="auto"/>
          <w:right w:val="single" w:sz="4" w:space="4" w:color="auto"/>
        </w:pBdr>
        <w:spacing w:line="240" w:lineRule="auto"/>
        <w:ind w:left="567" w:hanging="567"/>
        <w:outlineLvl w:val="0"/>
      </w:pPr>
      <w:r w:rsidRPr="006128F6">
        <w:rPr>
          <w:b/>
        </w:rPr>
        <w:t>8.</w:t>
      </w:r>
      <w:r w:rsidRPr="006128F6">
        <w:rPr>
          <w:b/>
        </w:rPr>
        <w:tab/>
        <w:t>EXPIRY DATE</w:t>
      </w:r>
    </w:p>
    <w:p w14:paraId="64BE7EE2" w14:textId="77777777" w:rsidR="00696DB9" w:rsidRPr="006128F6" w:rsidRDefault="00696DB9" w:rsidP="00CE71A5">
      <w:pPr>
        <w:spacing w:line="240" w:lineRule="auto"/>
      </w:pPr>
    </w:p>
    <w:p w14:paraId="7B16832F" w14:textId="77777777" w:rsidR="00696DB9" w:rsidRPr="006128F6" w:rsidRDefault="00696DB9" w:rsidP="00CE71A5">
      <w:pPr>
        <w:spacing w:line="240" w:lineRule="auto"/>
      </w:pPr>
      <w:r w:rsidRPr="006128F6">
        <w:t>EXP</w:t>
      </w:r>
    </w:p>
    <w:p w14:paraId="29B38F2C" w14:textId="77777777" w:rsidR="00696DB9" w:rsidRPr="006128F6" w:rsidRDefault="00696DB9" w:rsidP="00CE71A5">
      <w:pPr>
        <w:spacing w:line="240" w:lineRule="auto"/>
        <w:rPr>
          <w:szCs w:val="22"/>
        </w:rPr>
      </w:pPr>
    </w:p>
    <w:p w14:paraId="68885071" w14:textId="77777777" w:rsidR="00696DB9" w:rsidRPr="006128F6" w:rsidRDefault="00696DB9" w:rsidP="00CE71A5">
      <w:pPr>
        <w:spacing w:line="240" w:lineRule="auto"/>
        <w:rPr>
          <w:szCs w:val="22"/>
        </w:rPr>
      </w:pPr>
    </w:p>
    <w:p w14:paraId="5082E780" w14:textId="77777777" w:rsidR="00696DB9" w:rsidRPr="006128F6" w:rsidRDefault="00696DB9" w:rsidP="00CE71A5">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9.</w:t>
      </w:r>
      <w:r w:rsidRPr="006128F6">
        <w:rPr>
          <w:b/>
          <w:szCs w:val="22"/>
        </w:rPr>
        <w:tab/>
        <w:t>SPECIAL STORAGE CONDITIONS</w:t>
      </w:r>
    </w:p>
    <w:p w14:paraId="48F7FB48" w14:textId="77777777" w:rsidR="00696DB9" w:rsidRPr="006128F6" w:rsidRDefault="00696DB9" w:rsidP="00CE71A5">
      <w:pPr>
        <w:keepNext/>
        <w:spacing w:line="240" w:lineRule="auto"/>
        <w:rPr>
          <w:szCs w:val="22"/>
        </w:rPr>
      </w:pPr>
    </w:p>
    <w:p w14:paraId="6C6FD491" w14:textId="405A2259" w:rsidR="00696DB9" w:rsidRPr="006128F6" w:rsidRDefault="00696DB9" w:rsidP="00CE71A5">
      <w:pPr>
        <w:keepNext/>
        <w:tabs>
          <w:tab w:val="clear" w:pos="567"/>
          <w:tab w:val="left" w:pos="0"/>
        </w:tabs>
        <w:spacing w:line="240" w:lineRule="auto"/>
        <w:rPr>
          <w:szCs w:val="22"/>
        </w:rPr>
      </w:pPr>
      <w:r w:rsidRPr="006128F6">
        <w:rPr>
          <w:szCs w:val="22"/>
        </w:rPr>
        <w:t>Store in a refrigerator.</w:t>
      </w:r>
      <w:r>
        <w:rPr>
          <w:szCs w:val="22"/>
        </w:rPr>
        <w:t xml:space="preserve"> </w:t>
      </w:r>
      <w:r w:rsidR="00D248DE">
        <w:rPr>
          <w:color w:val="000000"/>
        </w:rPr>
        <w:t>Store in the original package in order to protect from light.</w:t>
      </w:r>
    </w:p>
    <w:p w14:paraId="193AAF98" w14:textId="77777777" w:rsidR="00696DB9" w:rsidRPr="006128F6" w:rsidRDefault="00696DB9" w:rsidP="00CE71A5">
      <w:pPr>
        <w:spacing w:line="240" w:lineRule="auto"/>
        <w:ind w:left="567" w:hanging="567"/>
        <w:rPr>
          <w:szCs w:val="22"/>
        </w:rPr>
      </w:pPr>
    </w:p>
    <w:p w14:paraId="7B6F29DD" w14:textId="77777777" w:rsidR="00696DB9" w:rsidRPr="006128F6" w:rsidRDefault="00696DB9" w:rsidP="00CE71A5">
      <w:pPr>
        <w:spacing w:line="240" w:lineRule="auto"/>
        <w:ind w:left="567" w:hanging="567"/>
        <w:rPr>
          <w:szCs w:val="22"/>
        </w:rPr>
      </w:pPr>
    </w:p>
    <w:p w14:paraId="72A606B5" w14:textId="77777777" w:rsidR="00696DB9" w:rsidRPr="006128F6" w:rsidRDefault="00696DB9"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128F6">
        <w:rPr>
          <w:b/>
          <w:szCs w:val="22"/>
        </w:rPr>
        <w:lastRenderedPageBreak/>
        <w:t>10.</w:t>
      </w:r>
      <w:r w:rsidRPr="006128F6">
        <w:rPr>
          <w:b/>
          <w:szCs w:val="22"/>
        </w:rPr>
        <w:tab/>
        <w:t>SPECIAL PRECAUTIONS FOR DISPOSAL OF UNUSED MEDICINAL PRODUCTS OR WASTE MATERIALS DERIVED FROM SUCH MEDICINAL PRODUCTS, IF APPROPRIATE</w:t>
      </w:r>
    </w:p>
    <w:p w14:paraId="665C3EAB" w14:textId="77777777" w:rsidR="00696DB9" w:rsidRPr="006128F6" w:rsidRDefault="00696DB9" w:rsidP="00CE71A5">
      <w:pPr>
        <w:spacing w:line="240" w:lineRule="auto"/>
        <w:rPr>
          <w:szCs w:val="22"/>
        </w:rPr>
      </w:pPr>
    </w:p>
    <w:p w14:paraId="7BDD1C21" w14:textId="77777777" w:rsidR="00696DB9" w:rsidRPr="006128F6" w:rsidRDefault="00696DB9" w:rsidP="00CE71A5">
      <w:pPr>
        <w:spacing w:line="240" w:lineRule="auto"/>
        <w:rPr>
          <w:szCs w:val="22"/>
        </w:rPr>
      </w:pPr>
    </w:p>
    <w:p w14:paraId="6C8D2169" w14:textId="77777777" w:rsidR="00696DB9" w:rsidRPr="006128F6" w:rsidRDefault="00696DB9"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128F6">
        <w:rPr>
          <w:b/>
          <w:szCs w:val="22"/>
        </w:rPr>
        <w:t>11.</w:t>
      </w:r>
      <w:r w:rsidRPr="006128F6">
        <w:rPr>
          <w:b/>
          <w:szCs w:val="22"/>
        </w:rPr>
        <w:tab/>
        <w:t>NAME AND ADDRESS OF THE MARKETING AUTHORISATION HOLDER</w:t>
      </w:r>
    </w:p>
    <w:p w14:paraId="7D47AA0F" w14:textId="77777777" w:rsidR="00696DB9" w:rsidRPr="006128F6" w:rsidRDefault="00696DB9" w:rsidP="00CE71A5">
      <w:pPr>
        <w:spacing w:line="240" w:lineRule="auto"/>
        <w:rPr>
          <w:szCs w:val="22"/>
        </w:rPr>
      </w:pPr>
    </w:p>
    <w:p w14:paraId="4153F776" w14:textId="4EDD6221" w:rsidR="00696DB9" w:rsidRPr="00C25AB7" w:rsidRDefault="00696DB9" w:rsidP="00CE71A5">
      <w:pPr>
        <w:spacing w:line="240" w:lineRule="auto"/>
        <w:rPr>
          <w:lang w:val="de-DE"/>
        </w:rPr>
      </w:pPr>
      <w:r w:rsidRPr="00C25AB7">
        <w:rPr>
          <w:lang w:val="de-DE"/>
        </w:rPr>
        <w:t>Amgen Europe B.V.</w:t>
      </w:r>
    </w:p>
    <w:p w14:paraId="4D494701" w14:textId="77777777" w:rsidR="00696DB9" w:rsidRPr="00C25AB7" w:rsidRDefault="00696DB9" w:rsidP="00CE71A5">
      <w:pPr>
        <w:spacing w:line="240" w:lineRule="auto"/>
        <w:rPr>
          <w:lang w:val="de-DE"/>
        </w:rPr>
      </w:pPr>
      <w:r w:rsidRPr="00C25AB7">
        <w:rPr>
          <w:lang w:val="de-DE"/>
        </w:rPr>
        <w:t>Minervum 7061,</w:t>
      </w:r>
    </w:p>
    <w:p w14:paraId="0F35C2BD" w14:textId="77777777" w:rsidR="00696DB9" w:rsidRPr="00EA21EE" w:rsidRDefault="00696DB9" w:rsidP="00CE71A5">
      <w:pPr>
        <w:spacing w:line="240" w:lineRule="auto"/>
        <w:rPr>
          <w:lang w:val="en-IN"/>
        </w:rPr>
      </w:pPr>
      <w:r w:rsidRPr="00EA21EE">
        <w:rPr>
          <w:lang w:val="en-IN"/>
        </w:rPr>
        <w:t>NL</w:t>
      </w:r>
      <w:r w:rsidRPr="00EA21EE">
        <w:rPr>
          <w:lang w:val="en-IN"/>
        </w:rPr>
        <w:noBreakHyphen/>
        <w:t>4817 ZK Breda,</w:t>
      </w:r>
    </w:p>
    <w:p w14:paraId="1C7C8A2E" w14:textId="77777777" w:rsidR="00696DB9" w:rsidRPr="006128F6" w:rsidRDefault="00696DB9" w:rsidP="00CE71A5">
      <w:pPr>
        <w:spacing w:line="240" w:lineRule="auto"/>
        <w:rPr>
          <w:szCs w:val="22"/>
        </w:rPr>
      </w:pPr>
      <w:r w:rsidRPr="006128F6">
        <w:t>The Netherlands</w:t>
      </w:r>
      <w:r w:rsidRPr="006128F6">
        <w:rPr>
          <w:i/>
          <w:szCs w:val="22"/>
        </w:rPr>
        <w:t xml:space="preserve"> </w:t>
      </w:r>
    </w:p>
    <w:p w14:paraId="70CDBF0E" w14:textId="77777777" w:rsidR="00696DB9" w:rsidRPr="006128F6" w:rsidRDefault="00696DB9" w:rsidP="00CE71A5">
      <w:pPr>
        <w:spacing w:line="240" w:lineRule="auto"/>
        <w:rPr>
          <w:szCs w:val="22"/>
        </w:rPr>
      </w:pPr>
    </w:p>
    <w:p w14:paraId="20276CB5" w14:textId="77777777" w:rsidR="00696DB9" w:rsidRPr="006128F6" w:rsidRDefault="00696DB9" w:rsidP="00CE71A5">
      <w:pPr>
        <w:spacing w:line="240" w:lineRule="auto"/>
        <w:rPr>
          <w:szCs w:val="22"/>
        </w:rPr>
      </w:pPr>
    </w:p>
    <w:p w14:paraId="23820F88" w14:textId="77777777" w:rsidR="00696DB9" w:rsidRPr="006128F6" w:rsidRDefault="00696DB9"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12.</w:t>
      </w:r>
      <w:r w:rsidRPr="006128F6">
        <w:rPr>
          <w:b/>
          <w:szCs w:val="22"/>
        </w:rPr>
        <w:tab/>
        <w:t xml:space="preserve">MARKETING AUTHORISATION NUMBER(S) </w:t>
      </w:r>
    </w:p>
    <w:p w14:paraId="4F9A9B96" w14:textId="21404AC7" w:rsidR="00696DB9" w:rsidRPr="006128F6" w:rsidRDefault="00696DB9" w:rsidP="00CE71A5">
      <w:pPr>
        <w:spacing w:line="240" w:lineRule="auto"/>
        <w:rPr>
          <w:szCs w:val="22"/>
        </w:rPr>
      </w:pPr>
    </w:p>
    <w:p w14:paraId="5C3E3EDF" w14:textId="77777777" w:rsidR="00403334" w:rsidRDefault="00403334" w:rsidP="00CE71A5">
      <w:pPr>
        <w:spacing w:line="240" w:lineRule="auto"/>
        <w:rPr>
          <w:rFonts w:cs="Verdana"/>
          <w:color w:val="000000"/>
        </w:rPr>
      </w:pPr>
      <w:r w:rsidRPr="008A47B3">
        <w:rPr>
          <w:rFonts w:cs="Verdana"/>
          <w:color w:val="000000"/>
        </w:rPr>
        <w:t>EU/1/18/1281/002</w:t>
      </w:r>
    </w:p>
    <w:p w14:paraId="026FE091" w14:textId="77777777" w:rsidR="00696DB9" w:rsidRPr="006128F6" w:rsidRDefault="00696DB9" w:rsidP="00CE71A5">
      <w:pPr>
        <w:spacing w:line="240" w:lineRule="auto"/>
        <w:rPr>
          <w:szCs w:val="22"/>
        </w:rPr>
      </w:pPr>
    </w:p>
    <w:p w14:paraId="1906D858" w14:textId="77777777" w:rsidR="00696DB9" w:rsidRPr="006128F6" w:rsidRDefault="00696DB9" w:rsidP="00CE71A5">
      <w:pPr>
        <w:spacing w:line="240" w:lineRule="auto"/>
        <w:rPr>
          <w:szCs w:val="22"/>
        </w:rPr>
      </w:pPr>
    </w:p>
    <w:p w14:paraId="36A66E41" w14:textId="77777777" w:rsidR="00696DB9" w:rsidRPr="006128F6" w:rsidRDefault="00696DB9"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13.</w:t>
      </w:r>
      <w:r w:rsidRPr="006128F6">
        <w:rPr>
          <w:b/>
          <w:szCs w:val="22"/>
        </w:rPr>
        <w:tab/>
        <w:t>BATCH NUMBER</w:t>
      </w:r>
    </w:p>
    <w:p w14:paraId="29E08CA1" w14:textId="77777777" w:rsidR="00696DB9" w:rsidRPr="006128F6" w:rsidRDefault="00696DB9" w:rsidP="00CE71A5">
      <w:pPr>
        <w:spacing w:line="240" w:lineRule="auto"/>
        <w:rPr>
          <w:szCs w:val="22"/>
        </w:rPr>
      </w:pPr>
    </w:p>
    <w:p w14:paraId="267FCE3D" w14:textId="77777777" w:rsidR="00696DB9" w:rsidRPr="006128F6" w:rsidRDefault="00696DB9" w:rsidP="00CE71A5">
      <w:pPr>
        <w:spacing w:line="240" w:lineRule="auto"/>
        <w:rPr>
          <w:szCs w:val="22"/>
        </w:rPr>
      </w:pPr>
      <w:r w:rsidRPr="006128F6">
        <w:rPr>
          <w:szCs w:val="22"/>
        </w:rPr>
        <w:t>Lot</w:t>
      </w:r>
    </w:p>
    <w:p w14:paraId="1017B428" w14:textId="77777777" w:rsidR="00696DB9" w:rsidRPr="006128F6" w:rsidRDefault="00696DB9" w:rsidP="00CE71A5">
      <w:pPr>
        <w:spacing w:line="240" w:lineRule="auto"/>
        <w:rPr>
          <w:szCs w:val="22"/>
        </w:rPr>
      </w:pPr>
    </w:p>
    <w:p w14:paraId="78672CA2" w14:textId="77777777" w:rsidR="00696DB9" w:rsidRPr="006128F6" w:rsidRDefault="00696DB9" w:rsidP="00CE71A5">
      <w:pPr>
        <w:spacing w:line="240" w:lineRule="auto"/>
        <w:rPr>
          <w:szCs w:val="22"/>
        </w:rPr>
      </w:pPr>
    </w:p>
    <w:p w14:paraId="29283558" w14:textId="77777777" w:rsidR="00696DB9" w:rsidRPr="006128F6" w:rsidRDefault="00696DB9"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14.</w:t>
      </w:r>
      <w:r w:rsidRPr="006128F6">
        <w:rPr>
          <w:b/>
          <w:szCs w:val="22"/>
        </w:rPr>
        <w:tab/>
        <w:t>GENERAL CLASSIFICATION FOR SUPPLY</w:t>
      </w:r>
    </w:p>
    <w:p w14:paraId="0693396E" w14:textId="77777777" w:rsidR="00696DB9" w:rsidRPr="006128F6" w:rsidRDefault="00696DB9" w:rsidP="00CE71A5">
      <w:pPr>
        <w:spacing w:line="240" w:lineRule="auto"/>
        <w:rPr>
          <w:szCs w:val="22"/>
        </w:rPr>
      </w:pPr>
    </w:p>
    <w:p w14:paraId="590ED6E0" w14:textId="77777777" w:rsidR="00696DB9" w:rsidRPr="006128F6" w:rsidRDefault="00696DB9" w:rsidP="00CE71A5">
      <w:pPr>
        <w:spacing w:line="240" w:lineRule="auto"/>
        <w:rPr>
          <w:szCs w:val="22"/>
        </w:rPr>
      </w:pPr>
    </w:p>
    <w:p w14:paraId="295625C5" w14:textId="77777777" w:rsidR="00696DB9" w:rsidRPr="006128F6" w:rsidRDefault="00696DB9" w:rsidP="00CE71A5">
      <w:pPr>
        <w:pBdr>
          <w:top w:val="single" w:sz="4" w:space="2"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15.</w:t>
      </w:r>
      <w:r w:rsidRPr="006128F6">
        <w:rPr>
          <w:b/>
          <w:szCs w:val="22"/>
        </w:rPr>
        <w:tab/>
        <w:t>INSTRUCTIONS ON USE</w:t>
      </w:r>
    </w:p>
    <w:p w14:paraId="68F3BA99" w14:textId="77777777" w:rsidR="00696DB9" w:rsidRPr="006128F6" w:rsidRDefault="00696DB9" w:rsidP="00CE71A5">
      <w:pPr>
        <w:spacing w:line="240" w:lineRule="auto"/>
        <w:rPr>
          <w:szCs w:val="22"/>
        </w:rPr>
      </w:pPr>
    </w:p>
    <w:p w14:paraId="694A7D16" w14:textId="77777777" w:rsidR="00696DB9" w:rsidRPr="006128F6" w:rsidRDefault="00696DB9" w:rsidP="00CE71A5">
      <w:pPr>
        <w:spacing w:line="240" w:lineRule="auto"/>
        <w:rPr>
          <w:szCs w:val="22"/>
        </w:rPr>
      </w:pPr>
    </w:p>
    <w:p w14:paraId="69AD9858" w14:textId="77777777" w:rsidR="00696DB9" w:rsidRPr="006128F6" w:rsidRDefault="00696DB9" w:rsidP="00CE71A5">
      <w:pPr>
        <w:pBdr>
          <w:top w:val="single" w:sz="4" w:space="1" w:color="auto"/>
          <w:left w:val="single" w:sz="4" w:space="4" w:color="auto"/>
          <w:bottom w:val="single" w:sz="4" w:space="0" w:color="auto"/>
          <w:right w:val="single" w:sz="4" w:space="4" w:color="auto"/>
        </w:pBdr>
        <w:spacing w:line="240" w:lineRule="auto"/>
        <w:ind w:left="567" w:hanging="567"/>
        <w:rPr>
          <w:szCs w:val="22"/>
        </w:rPr>
      </w:pPr>
      <w:r w:rsidRPr="006128F6">
        <w:rPr>
          <w:b/>
          <w:szCs w:val="22"/>
        </w:rPr>
        <w:t>16.</w:t>
      </w:r>
      <w:r w:rsidRPr="006128F6">
        <w:rPr>
          <w:b/>
          <w:szCs w:val="22"/>
        </w:rPr>
        <w:tab/>
        <w:t>INFORMATION IN BRAILLE</w:t>
      </w:r>
    </w:p>
    <w:p w14:paraId="43BA62A0" w14:textId="77777777" w:rsidR="00696DB9" w:rsidRPr="006128F6" w:rsidRDefault="00696DB9" w:rsidP="00CE71A5">
      <w:pPr>
        <w:spacing w:line="240" w:lineRule="auto"/>
        <w:rPr>
          <w:szCs w:val="22"/>
        </w:rPr>
      </w:pPr>
    </w:p>
    <w:p w14:paraId="60667B3A" w14:textId="77777777" w:rsidR="00696DB9" w:rsidRPr="006128F6" w:rsidRDefault="00696DB9" w:rsidP="00CE71A5">
      <w:pPr>
        <w:spacing w:line="240" w:lineRule="auto"/>
        <w:rPr>
          <w:szCs w:val="22"/>
          <w:shd w:val="clear" w:color="auto" w:fill="CCCCCC"/>
        </w:rPr>
      </w:pPr>
      <w:r>
        <w:rPr>
          <w:szCs w:val="22"/>
          <w:highlight w:val="lightGray"/>
          <w:shd w:val="clear" w:color="auto" w:fill="CCCCCC"/>
        </w:rPr>
        <w:t>Justification for not including Braille accepted.</w:t>
      </w:r>
    </w:p>
    <w:p w14:paraId="56923783" w14:textId="77777777" w:rsidR="00696DB9" w:rsidRPr="006128F6" w:rsidRDefault="00696DB9" w:rsidP="00CE71A5">
      <w:pPr>
        <w:spacing w:line="240" w:lineRule="auto"/>
        <w:rPr>
          <w:szCs w:val="22"/>
          <w:shd w:val="clear" w:color="auto" w:fill="CCCCCC"/>
        </w:rPr>
      </w:pPr>
    </w:p>
    <w:p w14:paraId="42687574" w14:textId="77777777" w:rsidR="00696DB9" w:rsidRPr="006128F6" w:rsidRDefault="00696DB9" w:rsidP="00CE71A5">
      <w:pPr>
        <w:spacing w:line="240" w:lineRule="auto"/>
        <w:rPr>
          <w:szCs w:val="22"/>
          <w:shd w:val="clear" w:color="auto" w:fill="CCCCCC"/>
        </w:rPr>
      </w:pPr>
    </w:p>
    <w:p w14:paraId="3C6ECD51" w14:textId="77777777" w:rsidR="00696DB9" w:rsidRPr="006128F6" w:rsidRDefault="00696DB9" w:rsidP="00CE71A5">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rPr>
      </w:pPr>
      <w:r w:rsidRPr="006128F6">
        <w:rPr>
          <w:b/>
        </w:rPr>
        <w:t>17.</w:t>
      </w:r>
      <w:r w:rsidRPr="006128F6">
        <w:rPr>
          <w:b/>
        </w:rPr>
        <w:tab/>
        <w:t>UNIQUE IDENTIFIER – 2D BARCODE</w:t>
      </w:r>
    </w:p>
    <w:p w14:paraId="01C75EAB" w14:textId="77777777" w:rsidR="00696DB9" w:rsidRPr="006128F6" w:rsidRDefault="00696DB9" w:rsidP="00CE71A5">
      <w:pPr>
        <w:tabs>
          <w:tab w:val="clear" w:pos="567"/>
        </w:tabs>
        <w:spacing w:line="240" w:lineRule="auto"/>
      </w:pPr>
    </w:p>
    <w:p w14:paraId="5887691D" w14:textId="77777777" w:rsidR="00696DB9" w:rsidRPr="006128F6" w:rsidRDefault="00696DB9" w:rsidP="00CE71A5">
      <w:pPr>
        <w:tabs>
          <w:tab w:val="clear" w:pos="567"/>
        </w:tabs>
        <w:spacing w:line="240" w:lineRule="auto"/>
        <w:rPr>
          <w:b/>
          <w:szCs w:val="22"/>
          <w:u w:val="single"/>
        </w:rPr>
      </w:pPr>
      <w:r>
        <w:rPr>
          <w:highlight w:val="lightGray"/>
        </w:rPr>
        <w:t>2D barcode carrying the unique identifier included.</w:t>
      </w:r>
    </w:p>
    <w:p w14:paraId="5DD850B5" w14:textId="77777777" w:rsidR="00696DB9" w:rsidRPr="006128F6" w:rsidRDefault="00696DB9" w:rsidP="00CE71A5">
      <w:pPr>
        <w:tabs>
          <w:tab w:val="clear" w:pos="567"/>
        </w:tabs>
        <w:spacing w:line="240" w:lineRule="auto"/>
      </w:pPr>
    </w:p>
    <w:p w14:paraId="4E9D120F" w14:textId="77777777" w:rsidR="00696DB9" w:rsidRPr="006128F6" w:rsidRDefault="00696DB9" w:rsidP="00CE71A5">
      <w:pPr>
        <w:tabs>
          <w:tab w:val="clear" w:pos="567"/>
        </w:tabs>
        <w:spacing w:line="240" w:lineRule="auto"/>
      </w:pPr>
    </w:p>
    <w:p w14:paraId="7ACAAF46" w14:textId="77777777" w:rsidR="00696DB9" w:rsidRPr="006128F6" w:rsidRDefault="00696DB9" w:rsidP="00CE71A5">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rPr>
      </w:pPr>
      <w:r w:rsidRPr="006128F6">
        <w:rPr>
          <w:b/>
        </w:rPr>
        <w:t>18.</w:t>
      </w:r>
      <w:r w:rsidRPr="006128F6">
        <w:rPr>
          <w:b/>
        </w:rPr>
        <w:tab/>
        <w:t>UNIQUE IDENTIFIER - HUMAN READABLE DATA</w:t>
      </w:r>
    </w:p>
    <w:p w14:paraId="4CB30ADD" w14:textId="77777777" w:rsidR="00696DB9" w:rsidRPr="006128F6" w:rsidRDefault="00696DB9" w:rsidP="00CE71A5">
      <w:pPr>
        <w:tabs>
          <w:tab w:val="clear" w:pos="567"/>
        </w:tabs>
        <w:spacing w:line="240" w:lineRule="auto"/>
      </w:pPr>
    </w:p>
    <w:p w14:paraId="0BB492A3" w14:textId="77777777" w:rsidR="00696DB9" w:rsidRPr="006128F6" w:rsidRDefault="00696DB9" w:rsidP="00CE71A5">
      <w:pPr>
        <w:spacing w:line="240" w:lineRule="auto"/>
        <w:rPr>
          <w:szCs w:val="22"/>
        </w:rPr>
      </w:pPr>
      <w:r w:rsidRPr="006128F6">
        <w:rPr>
          <w:szCs w:val="22"/>
        </w:rPr>
        <w:t>PC</w:t>
      </w:r>
    </w:p>
    <w:p w14:paraId="296A1C3B" w14:textId="77777777" w:rsidR="00696DB9" w:rsidRPr="006128F6" w:rsidRDefault="00696DB9" w:rsidP="00CE71A5">
      <w:pPr>
        <w:spacing w:line="240" w:lineRule="auto"/>
        <w:rPr>
          <w:szCs w:val="22"/>
        </w:rPr>
      </w:pPr>
      <w:r w:rsidRPr="006128F6">
        <w:rPr>
          <w:szCs w:val="22"/>
        </w:rPr>
        <w:t>SN</w:t>
      </w:r>
    </w:p>
    <w:p w14:paraId="66C9D2EE" w14:textId="77777777" w:rsidR="00696DB9" w:rsidRPr="006128F6" w:rsidRDefault="00696DB9" w:rsidP="00CE71A5">
      <w:pPr>
        <w:spacing w:line="240" w:lineRule="auto"/>
        <w:rPr>
          <w:vanish/>
          <w:szCs w:val="22"/>
        </w:rPr>
      </w:pPr>
      <w:r w:rsidRPr="005477BB">
        <w:rPr>
          <w:szCs w:val="22"/>
        </w:rPr>
        <w:t>NN</w:t>
      </w:r>
    </w:p>
    <w:p w14:paraId="67ADE9F2" w14:textId="77777777" w:rsidR="00696DB9" w:rsidRPr="006128F6" w:rsidRDefault="00696DB9" w:rsidP="00CE71A5">
      <w:pPr>
        <w:spacing w:line="240" w:lineRule="auto"/>
        <w:rPr>
          <w:szCs w:val="22"/>
          <w:shd w:val="clear" w:color="auto" w:fill="CCCCCC"/>
        </w:rPr>
      </w:pPr>
    </w:p>
    <w:p w14:paraId="15F4E1ED" w14:textId="77777777" w:rsidR="00696DB9" w:rsidRPr="006128F6" w:rsidRDefault="00696DB9" w:rsidP="00CE71A5">
      <w:pPr>
        <w:spacing w:line="240" w:lineRule="auto"/>
        <w:rPr>
          <w:szCs w:val="22"/>
          <w:shd w:val="clear" w:color="auto" w:fill="CCCCCC"/>
        </w:rPr>
      </w:pPr>
    </w:p>
    <w:p w14:paraId="6E8C01FC" w14:textId="77777777" w:rsidR="00696DB9" w:rsidRDefault="00696DB9" w:rsidP="00CE71A5">
      <w:pPr>
        <w:tabs>
          <w:tab w:val="clear" w:pos="567"/>
        </w:tabs>
        <w:spacing w:line="240" w:lineRule="auto"/>
        <w:rPr>
          <w:szCs w:val="22"/>
          <w:highlight w:val="lightGray"/>
          <w:shd w:val="clear" w:color="auto" w:fill="CCCCCC"/>
        </w:rPr>
      </w:pPr>
      <w:r>
        <w:rPr>
          <w:szCs w:val="22"/>
          <w:highlight w:val="lightGray"/>
          <w:shd w:val="clear" w:color="auto" w:fill="CCCCCC"/>
        </w:rPr>
        <w:br w:type="page"/>
      </w:r>
    </w:p>
    <w:p w14:paraId="0C3505EE" w14:textId="130AA3FF" w:rsidR="00696DB9" w:rsidRPr="006128F6" w:rsidRDefault="00696DB9" w:rsidP="00CE71A5">
      <w:pPr>
        <w:pBdr>
          <w:top w:val="single" w:sz="4" w:space="0" w:color="auto"/>
          <w:left w:val="single" w:sz="4" w:space="4" w:color="auto"/>
          <w:bottom w:val="single" w:sz="4" w:space="1" w:color="auto"/>
          <w:right w:val="single" w:sz="4" w:space="4" w:color="auto"/>
        </w:pBdr>
        <w:spacing w:line="240" w:lineRule="auto"/>
        <w:rPr>
          <w:b/>
          <w:szCs w:val="22"/>
        </w:rPr>
      </w:pPr>
      <w:r w:rsidRPr="006128F6">
        <w:rPr>
          <w:b/>
          <w:szCs w:val="22"/>
        </w:rPr>
        <w:t>PARTICULARS TO APPEAR ON THE IMMEDIATE PACKAGING</w:t>
      </w:r>
    </w:p>
    <w:p w14:paraId="693125CB" w14:textId="77777777" w:rsidR="00696DB9" w:rsidRPr="006128F6" w:rsidRDefault="00696DB9" w:rsidP="00CE71A5">
      <w:pPr>
        <w:pBdr>
          <w:top w:val="single" w:sz="4" w:space="0" w:color="auto"/>
          <w:left w:val="single" w:sz="4" w:space="4" w:color="auto"/>
          <w:bottom w:val="single" w:sz="4" w:space="1" w:color="auto"/>
          <w:right w:val="single" w:sz="4" w:space="4" w:color="auto"/>
        </w:pBdr>
        <w:spacing w:line="240" w:lineRule="auto"/>
        <w:ind w:left="567" w:hanging="567"/>
        <w:rPr>
          <w:bCs/>
          <w:szCs w:val="22"/>
        </w:rPr>
      </w:pPr>
    </w:p>
    <w:p w14:paraId="1D83CEA4" w14:textId="77777777" w:rsidR="00696DB9" w:rsidRPr="006128F6" w:rsidRDefault="00696DB9" w:rsidP="00CE71A5">
      <w:pPr>
        <w:pBdr>
          <w:top w:val="single" w:sz="4" w:space="0" w:color="auto"/>
          <w:left w:val="single" w:sz="4" w:space="4" w:color="auto"/>
          <w:bottom w:val="single" w:sz="4" w:space="1" w:color="auto"/>
          <w:right w:val="single" w:sz="4" w:space="4" w:color="auto"/>
        </w:pBdr>
        <w:spacing w:line="240" w:lineRule="auto"/>
        <w:rPr>
          <w:bCs/>
          <w:szCs w:val="22"/>
        </w:rPr>
      </w:pPr>
      <w:r w:rsidRPr="006128F6">
        <w:rPr>
          <w:b/>
          <w:szCs w:val="22"/>
        </w:rPr>
        <w:t>VIAL LABEL</w:t>
      </w:r>
    </w:p>
    <w:p w14:paraId="649B20A6" w14:textId="77777777" w:rsidR="00696DB9" w:rsidRPr="006128F6" w:rsidRDefault="00696DB9" w:rsidP="00CE71A5">
      <w:pPr>
        <w:spacing w:line="240" w:lineRule="auto"/>
      </w:pPr>
    </w:p>
    <w:p w14:paraId="2E406D8D" w14:textId="77777777" w:rsidR="00696DB9" w:rsidRPr="006128F6" w:rsidRDefault="00696DB9" w:rsidP="00CE71A5">
      <w:pPr>
        <w:spacing w:line="240" w:lineRule="auto"/>
        <w:rPr>
          <w:szCs w:val="22"/>
        </w:rPr>
      </w:pPr>
    </w:p>
    <w:p w14:paraId="78B78D9D" w14:textId="77777777" w:rsidR="00696DB9" w:rsidRPr="006128F6" w:rsidRDefault="00696DB9" w:rsidP="00CE71A5">
      <w:pPr>
        <w:pBdr>
          <w:top w:val="single" w:sz="4" w:space="1" w:color="auto"/>
          <w:left w:val="single" w:sz="4" w:space="4" w:color="auto"/>
          <w:bottom w:val="single" w:sz="4" w:space="1" w:color="auto"/>
          <w:right w:val="single" w:sz="4" w:space="4" w:color="auto"/>
        </w:pBdr>
        <w:spacing w:line="240" w:lineRule="auto"/>
        <w:ind w:left="567" w:hanging="567"/>
        <w:outlineLvl w:val="0"/>
      </w:pPr>
      <w:r w:rsidRPr="006128F6">
        <w:rPr>
          <w:b/>
        </w:rPr>
        <w:t>1.</w:t>
      </w:r>
      <w:r w:rsidRPr="006128F6">
        <w:rPr>
          <w:b/>
        </w:rPr>
        <w:tab/>
        <w:t>NAME OF THE MEDICINAL PRODUCT</w:t>
      </w:r>
    </w:p>
    <w:p w14:paraId="34C0C69B" w14:textId="77777777" w:rsidR="00696DB9" w:rsidRPr="006128F6" w:rsidRDefault="00696DB9" w:rsidP="00CE71A5">
      <w:pPr>
        <w:spacing w:line="240" w:lineRule="auto"/>
        <w:rPr>
          <w:szCs w:val="22"/>
        </w:rPr>
      </w:pPr>
    </w:p>
    <w:p w14:paraId="4AFCAE79" w14:textId="1A422E27" w:rsidR="00696DB9" w:rsidRPr="00696DB9" w:rsidRDefault="00696DB9" w:rsidP="00CE71A5">
      <w:pPr>
        <w:autoSpaceDE w:val="0"/>
        <w:autoSpaceDN w:val="0"/>
        <w:adjustRightInd w:val="0"/>
        <w:spacing w:line="240" w:lineRule="auto"/>
        <w:rPr>
          <w:szCs w:val="22"/>
        </w:rPr>
      </w:pPr>
      <w:r w:rsidRPr="00696DB9">
        <w:rPr>
          <w:color w:val="000000"/>
        </w:rPr>
        <w:t>KANJINTI 4</w:t>
      </w:r>
      <w:r w:rsidR="00B02181">
        <w:rPr>
          <w:color w:val="000000"/>
        </w:rPr>
        <w:t>2</w:t>
      </w:r>
      <w:r w:rsidRPr="00696DB9">
        <w:rPr>
          <w:color w:val="000000"/>
        </w:rPr>
        <w:t>0 mg powder for concentrate for solution for infusion</w:t>
      </w:r>
    </w:p>
    <w:p w14:paraId="5ABE4606" w14:textId="77777777" w:rsidR="00696DB9" w:rsidRPr="00696DB9" w:rsidRDefault="00696DB9" w:rsidP="00CE71A5">
      <w:pPr>
        <w:spacing w:line="240" w:lineRule="auto"/>
        <w:rPr>
          <w:b/>
          <w:szCs w:val="22"/>
        </w:rPr>
      </w:pPr>
      <w:r w:rsidRPr="00696DB9">
        <w:rPr>
          <w:szCs w:val="22"/>
        </w:rPr>
        <w:t>trastuzumab</w:t>
      </w:r>
    </w:p>
    <w:p w14:paraId="50914DDD" w14:textId="77777777" w:rsidR="00696DB9" w:rsidRPr="00696DB9" w:rsidRDefault="00696DB9" w:rsidP="00CE71A5">
      <w:pPr>
        <w:spacing w:line="240" w:lineRule="auto"/>
        <w:rPr>
          <w:szCs w:val="22"/>
        </w:rPr>
      </w:pPr>
    </w:p>
    <w:p w14:paraId="7164F086" w14:textId="77777777" w:rsidR="00696DB9" w:rsidRPr="00696DB9" w:rsidRDefault="00696DB9" w:rsidP="00CE71A5">
      <w:pPr>
        <w:spacing w:line="240" w:lineRule="auto"/>
        <w:rPr>
          <w:szCs w:val="22"/>
        </w:rPr>
      </w:pPr>
    </w:p>
    <w:p w14:paraId="486C2B55" w14:textId="77777777" w:rsidR="00696DB9" w:rsidRPr="00696DB9" w:rsidRDefault="00696DB9"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96DB9">
        <w:rPr>
          <w:b/>
          <w:szCs w:val="22"/>
        </w:rPr>
        <w:t>2.</w:t>
      </w:r>
      <w:r w:rsidRPr="00696DB9">
        <w:rPr>
          <w:b/>
          <w:szCs w:val="22"/>
        </w:rPr>
        <w:tab/>
        <w:t>STATEMENT OF ACTIVE SUBSTANCE(S)</w:t>
      </w:r>
    </w:p>
    <w:p w14:paraId="78C73005" w14:textId="77777777" w:rsidR="00696DB9" w:rsidRPr="00696DB9" w:rsidRDefault="00696DB9" w:rsidP="00CE71A5">
      <w:pPr>
        <w:spacing w:line="240" w:lineRule="auto"/>
        <w:rPr>
          <w:szCs w:val="22"/>
        </w:rPr>
      </w:pPr>
    </w:p>
    <w:p w14:paraId="2C4722CE" w14:textId="77F150B4" w:rsidR="00696DB9" w:rsidRPr="00696DB9" w:rsidRDefault="00696DB9" w:rsidP="00CE71A5">
      <w:pPr>
        <w:spacing w:line="240" w:lineRule="auto"/>
        <w:rPr>
          <w:szCs w:val="22"/>
        </w:rPr>
      </w:pPr>
      <w:r w:rsidRPr="00696DB9">
        <w:rPr>
          <w:szCs w:val="22"/>
        </w:rPr>
        <w:t>The vial contains 4</w:t>
      </w:r>
      <w:r w:rsidR="00B02181">
        <w:rPr>
          <w:szCs w:val="22"/>
        </w:rPr>
        <w:t>2</w:t>
      </w:r>
      <w:r w:rsidRPr="00696DB9">
        <w:rPr>
          <w:szCs w:val="22"/>
        </w:rPr>
        <w:t>0 mg trastuzumab.</w:t>
      </w:r>
    </w:p>
    <w:p w14:paraId="400EF886" w14:textId="77777777" w:rsidR="00696DB9" w:rsidRPr="006128F6" w:rsidRDefault="00696DB9" w:rsidP="00CE71A5">
      <w:pPr>
        <w:spacing w:line="240" w:lineRule="auto"/>
        <w:rPr>
          <w:szCs w:val="22"/>
        </w:rPr>
      </w:pPr>
      <w:r w:rsidRPr="00696DB9">
        <w:rPr>
          <w:szCs w:val="22"/>
        </w:rPr>
        <w:t>After reconstitution 1 mL concentrate contains 21</w:t>
      </w:r>
      <w:r w:rsidRPr="006128F6">
        <w:rPr>
          <w:szCs w:val="22"/>
        </w:rPr>
        <w:t> mg of trastuzumab.</w:t>
      </w:r>
    </w:p>
    <w:p w14:paraId="196115A8" w14:textId="77777777" w:rsidR="00696DB9" w:rsidRPr="006128F6" w:rsidRDefault="00696DB9" w:rsidP="00CE71A5">
      <w:pPr>
        <w:spacing w:line="240" w:lineRule="auto"/>
        <w:rPr>
          <w:szCs w:val="22"/>
        </w:rPr>
      </w:pPr>
    </w:p>
    <w:p w14:paraId="3C8893DD" w14:textId="77777777" w:rsidR="00696DB9" w:rsidRPr="006128F6" w:rsidRDefault="00696DB9" w:rsidP="00CE71A5">
      <w:pPr>
        <w:spacing w:line="240" w:lineRule="auto"/>
        <w:rPr>
          <w:szCs w:val="22"/>
        </w:rPr>
      </w:pPr>
    </w:p>
    <w:p w14:paraId="5E9D6A36" w14:textId="77777777" w:rsidR="00696DB9" w:rsidRPr="006128F6" w:rsidRDefault="00696DB9"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3.</w:t>
      </w:r>
      <w:r w:rsidRPr="006128F6">
        <w:rPr>
          <w:b/>
          <w:szCs w:val="22"/>
        </w:rPr>
        <w:tab/>
        <w:t>LIST OF EXCIPIENTS</w:t>
      </w:r>
    </w:p>
    <w:p w14:paraId="58008D28" w14:textId="77777777" w:rsidR="00696DB9" w:rsidRPr="006128F6" w:rsidRDefault="00696DB9" w:rsidP="00CE71A5">
      <w:pPr>
        <w:spacing w:line="240" w:lineRule="auto"/>
        <w:rPr>
          <w:szCs w:val="22"/>
        </w:rPr>
      </w:pPr>
    </w:p>
    <w:p w14:paraId="283414D2" w14:textId="21D25AC3" w:rsidR="00696DB9" w:rsidRPr="006128F6" w:rsidRDefault="00A4219B" w:rsidP="00CE71A5">
      <w:pPr>
        <w:tabs>
          <w:tab w:val="clear" w:pos="567"/>
        </w:tabs>
        <w:autoSpaceDE w:val="0"/>
        <w:autoSpaceDN w:val="0"/>
        <w:adjustRightInd w:val="0"/>
        <w:spacing w:line="240" w:lineRule="auto"/>
        <w:rPr>
          <w:szCs w:val="22"/>
        </w:rPr>
      </w:pPr>
      <w:r w:rsidRPr="00CE427E">
        <w:rPr>
          <w:rFonts w:eastAsia="Calibri"/>
          <w:color w:val="000000"/>
          <w:szCs w:val="22"/>
        </w:rPr>
        <w:t xml:space="preserve">Histidine, histidine monohydrochloride, trehalose </w:t>
      </w:r>
      <w:r w:rsidR="00074E07" w:rsidRPr="00CE427E">
        <w:rPr>
          <w:rFonts w:eastAsia="Calibri"/>
          <w:color w:val="000000"/>
          <w:szCs w:val="22"/>
        </w:rPr>
        <w:t>dihy</w:t>
      </w:r>
      <w:r w:rsidRPr="00CE427E">
        <w:rPr>
          <w:rFonts w:eastAsia="Calibri"/>
          <w:color w:val="000000"/>
          <w:szCs w:val="22"/>
        </w:rPr>
        <w:t>drate</w:t>
      </w:r>
      <w:r w:rsidR="00696DB9" w:rsidRPr="00CE427E">
        <w:rPr>
          <w:rFonts w:eastAsia="Calibri"/>
          <w:color w:val="000000"/>
          <w:szCs w:val="22"/>
        </w:rPr>
        <w:t>, polysorbate 20.</w:t>
      </w:r>
    </w:p>
    <w:p w14:paraId="710F753B" w14:textId="77777777" w:rsidR="00696DB9" w:rsidRPr="006128F6" w:rsidRDefault="00696DB9" w:rsidP="00CE71A5">
      <w:pPr>
        <w:spacing w:line="240" w:lineRule="auto"/>
        <w:rPr>
          <w:szCs w:val="22"/>
        </w:rPr>
      </w:pPr>
    </w:p>
    <w:p w14:paraId="79115A6E" w14:textId="77777777" w:rsidR="00696DB9" w:rsidRPr="006128F6" w:rsidRDefault="00696DB9" w:rsidP="00CE71A5">
      <w:pPr>
        <w:spacing w:line="240" w:lineRule="auto"/>
        <w:rPr>
          <w:szCs w:val="22"/>
        </w:rPr>
      </w:pPr>
    </w:p>
    <w:p w14:paraId="29C733DC" w14:textId="77777777" w:rsidR="00696DB9" w:rsidRPr="006128F6" w:rsidRDefault="00696DB9"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4.</w:t>
      </w:r>
      <w:r w:rsidRPr="006128F6">
        <w:rPr>
          <w:b/>
          <w:szCs w:val="22"/>
        </w:rPr>
        <w:tab/>
        <w:t>PHARMACEUTICAL FORM AND CONTENTS</w:t>
      </w:r>
    </w:p>
    <w:p w14:paraId="5A1D492D" w14:textId="77777777" w:rsidR="00696DB9" w:rsidRPr="006128F6" w:rsidRDefault="00696DB9" w:rsidP="00CE71A5">
      <w:pPr>
        <w:spacing w:line="240" w:lineRule="auto"/>
        <w:rPr>
          <w:szCs w:val="22"/>
        </w:rPr>
      </w:pPr>
    </w:p>
    <w:p w14:paraId="308D1D6A" w14:textId="77777777" w:rsidR="00696DB9" w:rsidRPr="006128F6" w:rsidRDefault="00696DB9" w:rsidP="00CE71A5">
      <w:pPr>
        <w:spacing w:line="240" w:lineRule="auto"/>
        <w:rPr>
          <w:szCs w:val="22"/>
        </w:rPr>
      </w:pPr>
      <w:r>
        <w:rPr>
          <w:szCs w:val="22"/>
          <w:highlight w:val="lightGray"/>
        </w:rPr>
        <w:t>Powder for concentrate for solution for infusion</w:t>
      </w:r>
    </w:p>
    <w:p w14:paraId="30AE2BB9" w14:textId="77777777" w:rsidR="00696DB9" w:rsidRPr="006128F6" w:rsidRDefault="00696DB9" w:rsidP="00CE71A5">
      <w:pPr>
        <w:spacing w:line="240" w:lineRule="auto"/>
        <w:rPr>
          <w:szCs w:val="22"/>
        </w:rPr>
      </w:pPr>
    </w:p>
    <w:p w14:paraId="24D0253C" w14:textId="77777777" w:rsidR="00696DB9" w:rsidRPr="006128F6" w:rsidRDefault="00696DB9" w:rsidP="00CE71A5">
      <w:pPr>
        <w:spacing w:line="240" w:lineRule="auto"/>
        <w:rPr>
          <w:szCs w:val="22"/>
        </w:rPr>
      </w:pPr>
    </w:p>
    <w:p w14:paraId="60313E25" w14:textId="77777777" w:rsidR="00696DB9" w:rsidRPr="006128F6" w:rsidRDefault="00696DB9"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5.</w:t>
      </w:r>
      <w:r w:rsidRPr="006128F6">
        <w:rPr>
          <w:b/>
          <w:szCs w:val="22"/>
        </w:rPr>
        <w:tab/>
        <w:t>METHOD AND ROUTE(S) OF ADMINISTRATION</w:t>
      </w:r>
    </w:p>
    <w:p w14:paraId="5C29F8FE" w14:textId="77777777" w:rsidR="00696DB9" w:rsidRPr="006128F6" w:rsidRDefault="00696DB9" w:rsidP="00CE71A5">
      <w:pPr>
        <w:spacing w:line="240" w:lineRule="auto"/>
        <w:rPr>
          <w:szCs w:val="22"/>
        </w:rPr>
      </w:pPr>
    </w:p>
    <w:p w14:paraId="51420329" w14:textId="77777777" w:rsidR="00696DB9" w:rsidRPr="006128F6" w:rsidRDefault="00696DB9" w:rsidP="00CE71A5">
      <w:pPr>
        <w:spacing w:line="240" w:lineRule="auto"/>
        <w:rPr>
          <w:szCs w:val="22"/>
        </w:rPr>
      </w:pPr>
      <w:r w:rsidRPr="006128F6">
        <w:rPr>
          <w:szCs w:val="22"/>
        </w:rPr>
        <w:t>For intravenous use.</w:t>
      </w:r>
    </w:p>
    <w:p w14:paraId="6C802265" w14:textId="77777777" w:rsidR="00696DB9" w:rsidRPr="006128F6" w:rsidRDefault="00696DB9" w:rsidP="00CE71A5">
      <w:pPr>
        <w:spacing w:line="240" w:lineRule="auto"/>
        <w:rPr>
          <w:szCs w:val="22"/>
        </w:rPr>
      </w:pPr>
      <w:r w:rsidRPr="006128F6">
        <w:rPr>
          <w:szCs w:val="22"/>
        </w:rPr>
        <w:t>Read the package leaflet before use.</w:t>
      </w:r>
    </w:p>
    <w:p w14:paraId="0AB4691E" w14:textId="77777777" w:rsidR="00696DB9" w:rsidRPr="006128F6" w:rsidRDefault="00696DB9" w:rsidP="00CE71A5">
      <w:pPr>
        <w:spacing w:line="240" w:lineRule="auto"/>
        <w:rPr>
          <w:szCs w:val="22"/>
        </w:rPr>
      </w:pPr>
    </w:p>
    <w:p w14:paraId="46315115" w14:textId="77777777" w:rsidR="00696DB9" w:rsidRPr="006128F6" w:rsidRDefault="00696DB9" w:rsidP="00CE71A5">
      <w:pPr>
        <w:spacing w:line="240" w:lineRule="auto"/>
        <w:rPr>
          <w:szCs w:val="22"/>
        </w:rPr>
      </w:pPr>
    </w:p>
    <w:p w14:paraId="6D005A68" w14:textId="77777777" w:rsidR="00696DB9" w:rsidRPr="006128F6" w:rsidRDefault="00696DB9"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6.</w:t>
      </w:r>
      <w:r w:rsidRPr="006128F6">
        <w:rPr>
          <w:b/>
          <w:szCs w:val="22"/>
        </w:rPr>
        <w:tab/>
        <w:t>SPECIAL WARNING THAT THE MEDICINAL PRODUCT MUST BE STORED OUT OF THE SIGHT AND REACH OF CHILDREN</w:t>
      </w:r>
    </w:p>
    <w:p w14:paraId="4199486F" w14:textId="77777777" w:rsidR="00696DB9" w:rsidRPr="006128F6" w:rsidRDefault="00696DB9" w:rsidP="00CE71A5">
      <w:pPr>
        <w:spacing w:line="240" w:lineRule="auto"/>
        <w:rPr>
          <w:szCs w:val="22"/>
        </w:rPr>
      </w:pPr>
    </w:p>
    <w:p w14:paraId="307C9F85" w14:textId="77777777" w:rsidR="00696DB9" w:rsidRPr="006128F6" w:rsidRDefault="00696DB9" w:rsidP="00CE71A5">
      <w:pPr>
        <w:spacing w:line="240" w:lineRule="auto"/>
        <w:outlineLvl w:val="0"/>
        <w:rPr>
          <w:szCs w:val="22"/>
        </w:rPr>
      </w:pPr>
      <w:r w:rsidRPr="006128F6">
        <w:rPr>
          <w:szCs w:val="22"/>
        </w:rPr>
        <w:t>Keep out of the sight and reach of children.</w:t>
      </w:r>
    </w:p>
    <w:p w14:paraId="380078F3" w14:textId="77777777" w:rsidR="00696DB9" w:rsidRPr="006128F6" w:rsidRDefault="00696DB9" w:rsidP="00CE71A5">
      <w:pPr>
        <w:spacing w:line="240" w:lineRule="auto"/>
        <w:rPr>
          <w:szCs w:val="22"/>
        </w:rPr>
      </w:pPr>
    </w:p>
    <w:p w14:paraId="052CCEA2" w14:textId="77777777" w:rsidR="00696DB9" w:rsidRPr="006128F6" w:rsidRDefault="00696DB9" w:rsidP="00CE71A5">
      <w:pPr>
        <w:spacing w:line="240" w:lineRule="auto"/>
        <w:rPr>
          <w:szCs w:val="22"/>
        </w:rPr>
      </w:pPr>
    </w:p>
    <w:p w14:paraId="22FFD3DA" w14:textId="77777777" w:rsidR="00696DB9" w:rsidRPr="006128F6" w:rsidRDefault="00696DB9"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7.</w:t>
      </w:r>
      <w:r w:rsidRPr="006128F6">
        <w:rPr>
          <w:b/>
          <w:szCs w:val="22"/>
        </w:rPr>
        <w:tab/>
        <w:t>OTHER SPECIAL WARNING(S), IF NECESSARY</w:t>
      </w:r>
    </w:p>
    <w:p w14:paraId="4B6F121C" w14:textId="77777777" w:rsidR="00696DB9" w:rsidRPr="006128F6" w:rsidRDefault="00696DB9" w:rsidP="00CE71A5">
      <w:pPr>
        <w:spacing w:line="240" w:lineRule="auto"/>
        <w:rPr>
          <w:szCs w:val="22"/>
        </w:rPr>
      </w:pPr>
    </w:p>
    <w:p w14:paraId="6C06B9B1" w14:textId="77777777" w:rsidR="00696DB9" w:rsidRPr="006128F6" w:rsidRDefault="00696DB9" w:rsidP="00CE71A5">
      <w:pPr>
        <w:spacing w:line="240" w:lineRule="auto"/>
        <w:rPr>
          <w:szCs w:val="22"/>
        </w:rPr>
      </w:pPr>
    </w:p>
    <w:p w14:paraId="590EAB3E" w14:textId="77777777" w:rsidR="00696DB9" w:rsidRPr="006128F6" w:rsidRDefault="00696DB9" w:rsidP="00CE71A5">
      <w:pPr>
        <w:pBdr>
          <w:top w:val="single" w:sz="4" w:space="1" w:color="auto"/>
          <w:left w:val="single" w:sz="4" w:space="4" w:color="auto"/>
          <w:bottom w:val="single" w:sz="4" w:space="1" w:color="auto"/>
          <w:right w:val="single" w:sz="4" w:space="4" w:color="auto"/>
        </w:pBdr>
        <w:spacing w:line="240" w:lineRule="auto"/>
        <w:ind w:left="567" w:hanging="567"/>
        <w:outlineLvl w:val="0"/>
      </w:pPr>
      <w:r w:rsidRPr="006128F6">
        <w:rPr>
          <w:b/>
        </w:rPr>
        <w:t>8.</w:t>
      </w:r>
      <w:r w:rsidRPr="006128F6">
        <w:rPr>
          <w:b/>
        </w:rPr>
        <w:tab/>
        <w:t>EXPIRY DATE</w:t>
      </w:r>
    </w:p>
    <w:p w14:paraId="22CC51C0" w14:textId="77777777" w:rsidR="00696DB9" w:rsidRPr="006128F6" w:rsidRDefault="00696DB9" w:rsidP="00CE71A5">
      <w:pPr>
        <w:spacing w:line="240" w:lineRule="auto"/>
      </w:pPr>
    </w:p>
    <w:p w14:paraId="1368FFA1" w14:textId="77777777" w:rsidR="00696DB9" w:rsidRPr="006128F6" w:rsidRDefault="00696DB9" w:rsidP="00CE71A5">
      <w:pPr>
        <w:spacing w:line="240" w:lineRule="auto"/>
      </w:pPr>
      <w:r w:rsidRPr="006128F6">
        <w:t>EXP</w:t>
      </w:r>
    </w:p>
    <w:p w14:paraId="3E2384E7" w14:textId="77777777" w:rsidR="00696DB9" w:rsidRPr="006128F6" w:rsidRDefault="00696DB9" w:rsidP="00CE71A5">
      <w:pPr>
        <w:spacing w:line="240" w:lineRule="auto"/>
        <w:rPr>
          <w:szCs w:val="22"/>
        </w:rPr>
      </w:pPr>
    </w:p>
    <w:p w14:paraId="73AE5B58" w14:textId="77777777" w:rsidR="00696DB9" w:rsidRPr="006128F6" w:rsidRDefault="00696DB9" w:rsidP="00CE71A5">
      <w:pPr>
        <w:spacing w:line="240" w:lineRule="auto"/>
        <w:rPr>
          <w:szCs w:val="22"/>
        </w:rPr>
      </w:pPr>
    </w:p>
    <w:p w14:paraId="02F33F7A" w14:textId="77777777" w:rsidR="00696DB9" w:rsidRPr="006128F6" w:rsidRDefault="00696DB9" w:rsidP="00CE71A5">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9.</w:t>
      </w:r>
      <w:r w:rsidRPr="006128F6">
        <w:rPr>
          <w:b/>
          <w:szCs w:val="22"/>
        </w:rPr>
        <w:tab/>
        <w:t>SPECIAL STORAGE CONDITIONS</w:t>
      </w:r>
    </w:p>
    <w:p w14:paraId="48D6CC37" w14:textId="77777777" w:rsidR="00696DB9" w:rsidRPr="006128F6" w:rsidRDefault="00696DB9" w:rsidP="00CE71A5">
      <w:pPr>
        <w:keepNext/>
        <w:spacing w:line="240" w:lineRule="auto"/>
        <w:rPr>
          <w:szCs w:val="22"/>
        </w:rPr>
      </w:pPr>
    </w:p>
    <w:p w14:paraId="736529DB" w14:textId="3F6808BF" w:rsidR="00696DB9" w:rsidRPr="006128F6" w:rsidRDefault="00696DB9" w:rsidP="00CE71A5">
      <w:pPr>
        <w:keepNext/>
        <w:tabs>
          <w:tab w:val="clear" w:pos="567"/>
        </w:tabs>
        <w:spacing w:line="240" w:lineRule="auto"/>
        <w:rPr>
          <w:szCs w:val="22"/>
        </w:rPr>
      </w:pPr>
      <w:r w:rsidRPr="006128F6">
        <w:rPr>
          <w:szCs w:val="22"/>
        </w:rPr>
        <w:t>Store in a refrigerator.</w:t>
      </w:r>
      <w:r>
        <w:rPr>
          <w:szCs w:val="22"/>
        </w:rPr>
        <w:t xml:space="preserve"> </w:t>
      </w:r>
      <w:r w:rsidR="00D248DE">
        <w:rPr>
          <w:color w:val="000000"/>
        </w:rPr>
        <w:t>Store in the original package in order to protect from light.</w:t>
      </w:r>
    </w:p>
    <w:p w14:paraId="0B03992B" w14:textId="77777777" w:rsidR="00696DB9" w:rsidRPr="006128F6" w:rsidRDefault="00696DB9" w:rsidP="00CE71A5">
      <w:pPr>
        <w:spacing w:line="240" w:lineRule="auto"/>
        <w:ind w:left="567" w:hanging="567"/>
        <w:rPr>
          <w:szCs w:val="22"/>
        </w:rPr>
      </w:pPr>
    </w:p>
    <w:p w14:paraId="2417BB99" w14:textId="77777777" w:rsidR="00696DB9" w:rsidRPr="006128F6" w:rsidRDefault="00696DB9" w:rsidP="00CE71A5">
      <w:pPr>
        <w:spacing w:line="240" w:lineRule="auto"/>
        <w:ind w:left="567" w:hanging="567"/>
        <w:rPr>
          <w:szCs w:val="22"/>
        </w:rPr>
      </w:pPr>
    </w:p>
    <w:p w14:paraId="3D84A02B" w14:textId="77777777" w:rsidR="00696DB9" w:rsidRPr="006128F6" w:rsidRDefault="00696DB9" w:rsidP="00CE71A5">
      <w:pPr>
        <w:keepNext/>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128F6">
        <w:rPr>
          <w:b/>
          <w:szCs w:val="22"/>
        </w:rPr>
        <w:lastRenderedPageBreak/>
        <w:t>10.</w:t>
      </w:r>
      <w:r w:rsidRPr="006128F6">
        <w:rPr>
          <w:b/>
          <w:szCs w:val="22"/>
        </w:rPr>
        <w:tab/>
        <w:t>SPECIAL PRECAUTIONS FOR DISPOSAL OF UNUSED MEDICINAL PRODUCTS OR WASTE MATERIALS DERIVED FROM SUCH MEDICINAL PRODUCTS, IF APPROPRIATE</w:t>
      </w:r>
    </w:p>
    <w:p w14:paraId="24016551" w14:textId="77777777" w:rsidR="00696DB9" w:rsidRPr="006128F6" w:rsidRDefault="00696DB9" w:rsidP="00CE71A5">
      <w:pPr>
        <w:keepNext/>
        <w:spacing w:line="240" w:lineRule="auto"/>
        <w:rPr>
          <w:szCs w:val="22"/>
        </w:rPr>
      </w:pPr>
    </w:p>
    <w:p w14:paraId="6498AA24" w14:textId="77777777" w:rsidR="00696DB9" w:rsidRPr="006128F6" w:rsidRDefault="00696DB9" w:rsidP="00CE71A5">
      <w:pPr>
        <w:spacing w:line="240" w:lineRule="auto"/>
        <w:rPr>
          <w:szCs w:val="22"/>
        </w:rPr>
      </w:pPr>
    </w:p>
    <w:p w14:paraId="4FC41F7D" w14:textId="77777777" w:rsidR="00696DB9" w:rsidRPr="006128F6" w:rsidRDefault="00696DB9"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128F6">
        <w:rPr>
          <w:b/>
          <w:szCs w:val="22"/>
        </w:rPr>
        <w:t>11.</w:t>
      </w:r>
      <w:r w:rsidRPr="006128F6">
        <w:rPr>
          <w:b/>
          <w:szCs w:val="22"/>
        </w:rPr>
        <w:tab/>
        <w:t>NAME AND ADDRESS OF THE MARKETING AUTHORISATION HOLDER</w:t>
      </w:r>
    </w:p>
    <w:p w14:paraId="31F8D447" w14:textId="77777777" w:rsidR="00696DB9" w:rsidRPr="006128F6" w:rsidRDefault="00696DB9" w:rsidP="00CE71A5">
      <w:pPr>
        <w:spacing w:line="240" w:lineRule="auto"/>
        <w:rPr>
          <w:szCs w:val="22"/>
        </w:rPr>
      </w:pPr>
    </w:p>
    <w:p w14:paraId="31F487C7" w14:textId="367452E1" w:rsidR="00696DB9" w:rsidRPr="00C25AB7" w:rsidRDefault="00696DB9" w:rsidP="00CE71A5">
      <w:pPr>
        <w:spacing w:line="240" w:lineRule="auto"/>
        <w:rPr>
          <w:lang w:val="de-DE"/>
        </w:rPr>
      </w:pPr>
      <w:r w:rsidRPr="00C25AB7">
        <w:rPr>
          <w:lang w:val="de-DE"/>
        </w:rPr>
        <w:t>Amgen Europe B.V.</w:t>
      </w:r>
    </w:p>
    <w:p w14:paraId="0D09AAEC" w14:textId="77777777" w:rsidR="00696DB9" w:rsidRPr="00C25AB7" w:rsidRDefault="00696DB9" w:rsidP="00CE71A5">
      <w:pPr>
        <w:spacing w:line="240" w:lineRule="auto"/>
        <w:rPr>
          <w:lang w:val="de-DE"/>
        </w:rPr>
      </w:pPr>
      <w:r w:rsidRPr="00C25AB7">
        <w:rPr>
          <w:lang w:val="de-DE"/>
        </w:rPr>
        <w:t>Minervum 7061,</w:t>
      </w:r>
    </w:p>
    <w:p w14:paraId="46EEDA1A" w14:textId="77777777" w:rsidR="00696DB9" w:rsidRPr="00EA21EE" w:rsidRDefault="00696DB9" w:rsidP="00CE71A5">
      <w:pPr>
        <w:spacing w:line="240" w:lineRule="auto"/>
        <w:rPr>
          <w:lang w:val="en-IN"/>
        </w:rPr>
      </w:pPr>
      <w:r w:rsidRPr="00EA21EE">
        <w:rPr>
          <w:lang w:val="en-IN"/>
        </w:rPr>
        <w:t>NL</w:t>
      </w:r>
      <w:r w:rsidRPr="00EA21EE">
        <w:rPr>
          <w:lang w:val="en-IN"/>
        </w:rPr>
        <w:noBreakHyphen/>
        <w:t>4817 ZK Breda,</w:t>
      </w:r>
    </w:p>
    <w:p w14:paraId="54320464" w14:textId="77777777" w:rsidR="00696DB9" w:rsidRPr="006128F6" w:rsidRDefault="00696DB9" w:rsidP="00CE71A5">
      <w:pPr>
        <w:spacing w:line="240" w:lineRule="auto"/>
        <w:rPr>
          <w:szCs w:val="22"/>
        </w:rPr>
      </w:pPr>
      <w:r w:rsidRPr="006128F6">
        <w:t>The Netherlands</w:t>
      </w:r>
      <w:r w:rsidRPr="006128F6">
        <w:rPr>
          <w:i/>
          <w:szCs w:val="22"/>
        </w:rPr>
        <w:t xml:space="preserve"> </w:t>
      </w:r>
    </w:p>
    <w:p w14:paraId="1DDF4E37" w14:textId="77777777" w:rsidR="00696DB9" w:rsidRPr="006128F6" w:rsidRDefault="00696DB9" w:rsidP="00CE71A5">
      <w:pPr>
        <w:spacing w:line="240" w:lineRule="auto"/>
        <w:rPr>
          <w:szCs w:val="22"/>
        </w:rPr>
      </w:pPr>
    </w:p>
    <w:p w14:paraId="1AC85E50" w14:textId="77777777" w:rsidR="00696DB9" w:rsidRPr="006128F6" w:rsidRDefault="00696DB9" w:rsidP="00CE71A5">
      <w:pPr>
        <w:spacing w:line="240" w:lineRule="auto"/>
        <w:rPr>
          <w:szCs w:val="22"/>
        </w:rPr>
      </w:pPr>
    </w:p>
    <w:p w14:paraId="13D6DDBC" w14:textId="77777777" w:rsidR="00696DB9" w:rsidRPr="006128F6" w:rsidRDefault="00696DB9"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12.</w:t>
      </w:r>
      <w:r w:rsidRPr="006128F6">
        <w:rPr>
          <w:b/>
          <w:szCs w:val="22"/>
        </w:rPr>
        <w:tab/>
        <w:t xml:space="preserve">MARKETING AUTHORISATION NUMBER(S) </w:t>
      </w:r>
    </w:p>
    <w:p w14:paraId="35053164" w14:textId="77777777" w:rsidR="00696DB9" w:rsidRPr="006128F6" w:rsidRDefault="00696DB9" w:rsidP="00CE71A5">
      <w:pPr>
        <w:spacing w:line="240" w:lineRule="auto"/>
        <w:rPr>
          <w:szCs w:val="22"/>
        </w:rPr>
      </w:pPr>
    </w:p>
    <w:p w14:paraId="55A11B95" w14:textId="77777777" w:rsidR="00403334" w:rsidRDefault="00403334" w:rsidP="00CE71A5">
      <w:pPr>
        <w:spacing w:line="240" w:lineRule="auto"/>
        <w:rPr>
          <w:rFonts w:cs="Verdana"/>
          <w:color w:val="000000"/>
        </w:rPr>
      </w:pPr>
      <w:r w:rsidRPr="008A47B3">
        <w:rPr>
          <w:rFonts w:cs="Verdana"/>
          <w:color w:val="000000"/>
        </w:rPr>
        <w:t>EU/1/18/1281/002</w:t>
      </w:r>
    </w:p>
    <w:p w14:paraId="19574FC4" w14:textId="77777777" w:rsidR="00696DB9" w:rsidRPr="006128F6" w:rsidRDefault="00696DB9" w:rsidP="00CE71A5">
      <w:pPr>
        <w:spacing w:line="240" w:lineRule="auto"/>
        <w:rPr>
          <w:szCs w:val="22"/>
        </w:rPr>
      </w:pPr>
    </w:p>
    <w:p w14:paraId="459BBEC9" w14:textId="77777777" w:rsidR="00696DB9" w:rsidRPr="006128F6" w:rsidRDefault="00696DB9" w:rsidP="00CE71A5">
      <w:pPr>
        <w:spacing w:line="240" w:lineRule="auto"/>
        <w:rPr>
          <w:szCs w:val="22"/>
        </w:rPr>
      </w:pPr>
    </w:p>
    <w:p w14:paraId="02F301C9" w14:textId="77777777" w:rsidR="00696DB9" w:rsidRPr="006128F6" w:rsidRDefault="00696DB9"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13.</w:t>
      </w:r>
      <w:r w:rsidRPr="006128F6">
        <w:rPr>
          <w:b/>
          <w:szCs w:val="22"/>
        </w:rPr>
        <w:tab/>
        <w:t>BATCH NUMBER</w:t>
      </w:r>
    </w:p>
    <w:p w14:paraId="3F982A8D" w14:textId="77777777" w:rsidR="00696DB9" w:rsidRPr="006128F6" w:rsidRDefault="00696DB9" w:rsidP="00CE71A5">
      <w:pPr>
        <w:spacing w:line="240" w:lineRule="auto"/>
        <w:rPr>
          <w:i/>
          <w:szCs w:val="22"/>
        </w:rPr>
      </w:pPr>
    </w:p>
    <w:p w14:paraId="4BA53559" w14:textId="77777777" w:rsidR="00696DB9" w:rsidRPr="006128F6" w:rsidRDefault="00696DB9" w:rsidP="00CE71A5">
      <w:pPr>
        <w:spacing w:line="240" w:lineRule="auto"/>
        <w:rPr>
          <w:szCs w:val="22"/>
        </w:rPr>
      </w:pPr>
      <w:r w:rsidRPr="006128F6">
        <w:rPr>
          <w:szCs w:val="22"/>
        </w:rPr>
        <w:t>Lot</w:t>
      </w:r>
    </w:p>
    <w:p w14:paraId="1BFC64CF" w14:textId="77777777" w:rsidR="00696DB9" w:rsidRPr="006128F6" w:rsidRDefault="00696DB9" w:rsidP="00CE71A5">
      <w:pPr>
        <w:spacing w:line="240" w:lineRule="auto"/>
        <w:rPr>
          <w:szCs w:val="22"/>
        </w:rPr>
      </w:pPr>
    </w:p>
    <w:p w14:paraId="3CB42BFF" w14:textId="77777777" w:rsidR="00696DB9" w:rsidRPr="006128F6" w:rsidRDefault="00696DB9" w:rsidP="00CE71A5">
      <w:pPr>
        <w:spacing w:line="240" w:lineRule="auto"/>
        <w:rPr>
          <w:szCs w:val="22"/>
        </w:rPr>
      </w:pPr>
    </w:p>
    <w:p w14:paraId="6708A476" w14:textId="77777777" w:rsidR="00696DB9" w:rsidRPr="006128F6" w:rsidRDefault="00696DB9" w:rsidP="00CE71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14.</w:t>
      </w:r>
      <w:r w:rsidRPr="006128F6">
        <w:rPr>
          <w:b/>
          <w:szCs w:val="22"/>
        </w:rPr>
        <w:tab/>
        <w:t>GENERAL CLASSIFICATION FOR SUPPLY</w:t>
      </w:r>
    </w:p>
    <w:p w14:paraId="519A2001" w14:textId="77777777" w:rsidR="00696DB9" w:rsidRPr="006128F6" w:rsidRDefault="00696DB9" w:rsidP="00CE71A5">
      <w:pPr>
        <w:spacing w:line="240" w:lineRule="auto"/>
        <w:rPr>
          <w:i/>
          <w:szCs w:val="22"/>
        </w:rPr>
      </w:pPr>
    </w:p>
    <w:p w14:paraId="20CA97BD" w14:textId="77777777" w:rsidR="00696DB9" w:rsidRPr="006128F6" w:rsidRDefault="00696DB9" w:rsidP="00CE71A5">
      <w:pPr>
        <w:spacing w:line="240" w:lineRule="auto"/>
        <w:rPr>
          <w:szCs w:val="22"/>
        </w:rPr>
      </w:pPr>
    </w:p>
    <w:p w14:paraId="172BEB2E" w14:textId="77777777" w:rsidR="00696DB9" w:rsidRPr="006128F6" w:rsidRDefault="00696DB9" w:rsidP="00CE71A5">
      <w:pPr>
        <w:pBdr>
          <w:top w:val="single" w:sz="4" w:space="2" w:color="auto"/>
          <w:left w:val="single" w:sz="4" w:space="4" w:color="auto"/>
          <w:bottom w:val="single" w:sz="4" w:space="1" w:color="auto"/>
          <w:right w:val="single" w:sz="4" w:space="4" w:color="auto"/>
        </w:pBdr>
        <w:spacing w:line="240" w:lineRule="auto"/>
        <w:ind w:left="567" w:hanging="567"/>
        <w:outlineLvl w:val="0"/>
        <w:rPr>
          <w:szCs w:val="22"/>
        </w:rPr>
      </w:pPr>
      <w:r w:rsidRPr="006128F6">
        <w:rPr>
          <w:b/>
          <w:szCs w:val="22"/>
        </w:rPr>
        <w:t>15.</w:t>
      </w:r>
      <w:r w:rsidRPr="006128F6">
        <w:rPr>
          <w:b/>
          <w:szCs w:val="22"/>
        </w:rPr>
        <w:tab/>
        <w:t>INSTRUCTIONS ON USE</w:t>
      </w:r>
    </w:p>
    <w:p w14:paraId="0AE9FC10" w14:textId="77777777" w:rsidR="00696DB9" w:rsidRPr="006128F6" w:rsidRDefault="00696DB9" w:rsidP="00CE71A5">
      <w:pPr>
        <w:spacing w:line="240" w:lineRule="auto"/>
        <w:rPr>
          <w:szCs w:val="22"/>
        </w:rPr>
      </w:pPr>
    </w:p>
    <w:p w14:paraId="4D7795B4" w14:textId="77777777" w:rsidR="00696DB9" w:rsidRPr="006128F6" w:rsidRDefault="00696DB9" w:rsidP="00CE71A5">
      <w:pPr>
        <w:spacing w:line="240" w:lineRule="auto"/>
        <w:rPr>
          <w:szCs w:val="22"/>
        </w:rPr>
      </w:pPr>
    </w:p>
    <w:p w14:paraId="7FB6F473" w14:textId="77777777" w:rsidR="00696DB9" w:rsidRPr="00D248DE" w:rsidRDefault="00696DB9" w:rsidP="00CE71A5">
      <w:pPr>
        <w:pBdr>
          <w:top w:val="single" w:sz="4" w:space="1" w:color="auto"/>
          <w:left w:val="single" w:sz="4" w:space="4" w:color="auto"/>
          <w:bottom w:val="single" w:sz="4" w:space="0" w:color="auto"/>
          <w:right w:val="single" w:sz="4" w:space="4" w:color="auto"/>
        </w:pBdr>
        <w:spacing w:line="240" w:lineRule="auto"/>
        <w:ind w:left="567" w:hanging="567"/>
        <w:rPr>
          <w:szCs w:val="22"/>
        </w:rPr>
      </w:pPr>
      <w:r w:rsidRPr="00D248DE">
        <w:rPr>
          <w:b/>
          <w:szCs w:val="22"/>
        </w:rPr>
        <w:t>16.</w:t>
      </w:r>
      <w:r w:rsidRPr="00D248DE">
        <w:rPr>
          <w:b/>
          <w:szCs w:val="22"/>
        </w:rPr>
        <w:tab/>
        <w:t>INFORMATION IN BRAILLE</w:t>
      </w:r>
    </w:p>
    <w:p w14:paraId="28CCECB8" w14:textId="77777777" w:rsidR="00696DB9" w:rsidRPr="00D248DE" w:rsidRDefault="00696DB9" w:rsidP="00CE71A5">
      <w:pPr>
        <w:spacing w:line="240" w:lineRule="auto"/>
        <w:rPr>
          <w:szCs w:val="22"/>
          <w:shd w:val="clear" w:color="auto" w:fill="CCCCCC"/>
        </w:rPr>
      </w:pPr>
    </w:p>
    <w:p w14:paraId="58A21BF2" w14:textId="77777777" w:rsidR="00696DB9" w:rsidRPr="00D248DE" w:rsidRDefault="00696DB9" w:rsidP="00CE71A5">
      <w:pPr>
        <w:spacing w:line="240" w:lineRule="auto"/>
        <w:rPr>
          <w:szCs w:val="22"/>
          <w:shd w:val="clear" w:color="auto" w:fill="CCCCCC"/>
        </w:rPr>
      </w:pPr>
    </w:p>
    <w:p w14:paraId="5E16E93B" w14:textId="77777777" w:rsidR="00696DB9" w:rsidRPr="00D248DE" w:rsidRDefault="00696DB9" w:rsidP="00CE71A5">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rPr>
      </w:pPr>
      <w:r w:rsidRPr="00D248DE">
        <w:rPr>
          <w:b/>
        </w:rPr>
        <w:t>17.</w:t>
      </w:r>
      <w:r w:rsidRPr="00D248DE">
        <w:rPr>
          <w:b/>
        </w:rPr>
        <w:tab/>
        <w:t>UNIQUE IDENTIFIER – 2D BARCODE</w:t>
      </w:r>
    </w:p>
    <w:p w14:paraId="2FFE5FDD" w14:textId="77777777" w:rsidR="00696DB9" w:rsidRPr="00D248DE" w:rsidRDefault="00696DB9" w:rsidP="00CE71A5">
      <w:pPr>
        <w:tabs>
          <w:tab w:val="clear" w:pos="567"/>
        </w:tabs>
        <w:spacing w:line="240" w:lineRule="auto"/>
      </w:pPr>
    </w:p>
    <w:p w14:paraId="4CB07C8C" w14:textId="77777777" w:rsidR="00696DB9" w:rsidRPr="00D248DE" w:rsidRDefault="00696DB9" w:rsidP="00CE71A5">
      <w:pPr>
        <w:tabs>
          <w:tab w:val="clear" w:pos="567"/>
        </w:tabs>
        <w:spacing w:line="240" w:lineRule="auto"/>
      </w:pPr>
    </w:p>
    <w:p w14:paraId="29A6E9D7" w14:textId="77777777" w:rsidR="00696DB9" w:rsidRPr="006128F6" w:rsidRDefault="00696DB9" w:rsidP="00CE71A5">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rPr>
      </w:pPr>
      <w:r w:rsidRPr="006128F6">
        <w:rPr>
          <w:b/>
        </w:rPr>
        <w:t>18.</w:t>
      </w:r>
      <w:r w:rsidRPr="006128F6">
        <w:rPr>
          <w:b/>
        </w:rPr>
        <w:tab/>
        <w:t>UNIQUE IDENTIFIER - HUMAN READABLE DATA</w:t>
      </w:r>
    </w:p>
    <w:p w14:paraId="0365B4ED" w14:textId="77777777" w:rsidR="00696DB9" w:rsidRPr="006128F6" w:rsidRDefault="00696DB9" w:rsidP="00CE71A5">
      <w:pPr>
        <w:tabs>
          <w:tab w:val="clear" w:pos="567"/>
        </w:tabs>
        <w:spacing w:line="240" w:lineRule="auto"/>
      </w:pPr>
    </w:p>
    <w:p w14:paraId="6FDA9713" w14:textId="77777777" w:rsidR="00696DB9" w:rsidRPr="006128F6" w:rsidRDefault="00696DB9" w:rsidP="00CE71A5">
      <w:pPr>
        <w:spacing w:line="240" w:lineRule="auto"/>
        <w:rPr>
          <w:szCs w:val="22"/>
        </w:rPr>
      </w:pPr>
    </w:p>
    <w:p w14:paraId="2FE2AFD6" w14:textId="77777777" w:rsidR="00696DB9" w:rsidRPr="006128F6" w:rsidRDefault="00696DB9" w:rsidP="00CE71A5">
      <w:pPr>
        <w:spacing w:line="240" w:lineRule="auto"/>
        <w:outlineLvl w:val="0"/>
        <w:rPr>
          <w:b/>
        </w:rPr>
      </w:pPr>
      <w:r w:rsidRPr="006128F6">
        <w:rPr>
          <w:b/>
        </w:rPr>
        <w:br w:type="page"/>
      </w:r>
    </w:p>
    <w:p w14:paraId="65EB3FAE" w14:textId="77777777" w:rsidR="00577F9F" w:rsidRPr="006128F6" w:rsidRDefault="00577F9F" w:rsidP="00CE71A5">
      <w:pPr>
        <w:spacing w:line="240" w:lineRule="auto"/>
        <w:outlineLvl w:val="0"/>
        <w:rPr>
          <w:b/>
        </w:rPr>
      </w:pPr>
    </w:p>
    <w:p w14:paraId="0CF6DD17" w14:textId="77777777" w:rsidR="00577F9F" w:rsidRPr="006128F6" w:rsidRDefault="00577F9F" w:rsidP="00CE71A5">
      <w:pPr>
        <w:spacing w:line="240" w:lineRule="auto"/>
        <w:outlineLvl w:val="0"/>
        <w:rPr>
          <w:b/>
        </w:rPr>
      </w:pPr>
    </w:p>
    <w:p w14:paraId="758C7DE4" w14:textId="77777777" w:rsidR="00577F9F" w:rsidRPr="006128F6" w:rsidRDefault="00577F9F" w:rsidP="00CE71A5">
      <w:pPr>
        <w:spacing w:line="240" w:lineRule="auto"/>
        <w:outlineLvl w:val="0"/>
        <w:rPr>
          <w:b/>
        </w:rPr>
      </w:pPr>
    </w:p>
    <w:p w14:paraId="29C6790F" w14:textId="77777777" w:rsidR="00577F9F" w:rsidRPr="006128F6" w:rsidRDefault="00577F9F" w:rsidP="00CE71A5">
      <w:pPr>
        <w:spacing w:line="240" w:lineRule="auto"/>
        <w:outlineLvl w:val="0"/>
        <w:rPr>
          <w:b/>
        </w:rPr>
      </w:pPr>
    </w:p>
    <w:p w14:paraId="3E1EF736" w14:textId="77777777" w:rsidR="00577F9F" w:rsidRPr="006128F6" w:rsidRDefault="00577F9F" w:rsidP="00CE71A5">
      <w:pPr>
        <w:spacing w:line="240" w:lineRule="auto"/>
        <w:outlineLvl w:val="0"/>
        <w:rPr>
          <w:b/>
        </w:rPr>
      </w:pPr>
    </w:p>
    <w:p w14:paraId="44FEA663" w14:textId="77777777" w:rsidR="00577F9F" w:rsidRPr="006128F6" w:rsidRDefault="00577F9F" w:rsidP="00CE71A5">
      <w:pPr>
        <w:spacing w:line="240" w:lineRule="auto"/>
        <w:outlineLvl w:val="0"/>
        <w:rPr>
          <w:b/>
        </w:rPr>
      </w:pPr>
    </w:p>
    <w:p w14:paraId="784200A6" w14:textId="77777777" w:rsidR="00577F9F" w:rsidRPr="006128F6" w:rsidRDefault="00577F9F" w:rsidP="00CE71A5">
      <w:pPr>
        <w:spacing w:line="240" w:lineRule="auto"/>
        <w:outlineLvl w:val="0"/>
        <w:rPr>
          <w:b/>
        </w:rPr>
      </w:pPr>
    </w:p>
    <w:p w14:paraId="171FD499" w14:textId="77777777" w:rsidR="00577F9F" w:rsidRPr="006128F6" w:rsidRDefault="00577F9F" w:rsidP="00CE71A5">
      <w:pPr>
        <w:spacing w:line="240" w:lineRule="auto"/>
        <w:outlineLvl w:val="0"/>
        <w:rPr>
          <w:b/>
        </w:rPr>
      </w:pPr>
    </w:p>
    <w:p w14:paraId="3B2BA176" w14:textId="77777777" w:rsidR="00577F9F" w:rsidRPr="006128F6" w:rsidRDefault="00577F9F" w:rsidP="00CE71A5">
      <w:pPr>
        <w:spacing w:line="240" w:lineRule="auto"/>
        <w:outlineLvl w:val="0"/>
        <w:rPr>
          <w:b/>
        </w:rPr>
      </w:pPr>
    </w:p>
    <w:p w14:paraId="13DE0855" w14:textId="77777777" w:rsidR="00577F9F" w:rsidRPr="006128F6" w:rsidRDefault="00577F9F" w:rsidP="00CE71A5">
      <w:pPr>
        <w:spacing w:line="240" w:lineRule="auto"/>
        <w:outlineLvl w:val="0"/>
        <w:rPr>
          <w:b/>
        </w:rPr>
      </w:pPr>
    </w:p>
    <w:p w14:paraId="47F25DE6" w14:textId="77777777" w:rsidR="00577F9F" w:rsidRPr="006128F6" w:rsidRDefault="00577F9F" w:rsidP="006128F6">
      <w:pPr>
        <w:spacing w:line="240" w:lineRule="auto"/>
        <w:outlineLvl w:val="0"/>
        <w:rPr>
          <w:b/>
        </w:rPr>
      </w:pPr>
    </w:p>
    <w:p w14:paraId="38092329" w14:textId="77777777" w:rsidR="00577F9F" w:rsidRPr="006128F6" w:rsidRDefault="00577F9F" w:rsidP="006128F6">
      <w:pPr>
        <w:spacing w:line="240" w:lineRule="auto"/>
        <w:outlineLvl w:val="0"/>
        <w:rPr>
          <w:b/>
        </w:rPr>
      </w:pPr>
    </w:p>
    <w:p w14:paraId="5196B73B" w14:textId="77777777" w:rsidR="00577F9F" w:rsidRPr="006128F6" w:rsidRDefault="00577F9F" w:rsidP="006128F6">
      <w:pPr>
        <w:spacing w:line="240" w:lineRule="auto"/>
        <w:outlineLvl w:val="0"/>
        <w:rPr>
          <w:b/>
        </w:rPr>
      </w:pPr>
    </w:p>
    <w:p w14:paraId="1E003C62" w14:textId="77777777" w:rsidR="00577F9F" w:rsidRPr="006128F6" w:rsidRDefault="00577F9F" w:rsidP="006128F6">
      <w:pPr>
        <w:spacing w:line="240" w:lineRule="auto"/>
        <w:outlineLvl w:val="0"/>
        <w:rPr>
          <w:b/>
        </w:rPr>
      </w:pPr>
    </w:p>
    <w:p w14:paraId="0A194F4D" w14:textId="77777777" w:rsidR="00577F9F" w:rsidRPr="006128F6" w:rsidRDefault="00577F9F" w:rsidP="006128F6">
      <w:pPr>
        <w:spacing w:line="240" w:lineRule="auto"/>
        <w:outlineLvl w:val="0"/>
        <w:rPr>
          <w:b/>
        </w:rPr>
      </w:pPr>
    </w:p>
    <w:p w14:paraId="0803EC55" w14:textId="77777777" w:rsidR="00577F9F" w:rsidRPr="006128F6" w:rsidRDefault="00577F9F" w:rsidP="006128F6">
      <w:pPr>
        <w:spacing w:line="240" w:lineRule="auto"/>
        <w:outlineLvl w:val="0"/>
        <w:rPr>
          <w:b/>
        </w:rPr>
      </w:pPr>
    </w:p>
    <w:p w14:paraId="198E2491" w14:textId="77777777" w:rsidR="00577F9F" w:rsidRPr="006128F6" w:rsidRDefault="00577F9F" w:rsidP="006128F6">
      <w:pPr>
        <w:spacing w:line="240" w:lineRule="auto"/>
        <w:outlineLvl w:val="0"/>
        <w:rPr>
          <w:b/>
        </w:rPr>
      </w:pPr>
    </w:p>
    <w:p w14:paraId="7D1D7E2D" w14:textId="77777777" w:rsidR="00577F9F" w:rsidRPr="006128F6" w:rsidRDefault="00577F9F" w:rsidP="006128F6">
      <w:pPr>
        <w:spacing w:line="240" w:lineRule="auto"/>
        <w:outlineLvl w:val="0"/>
        <w:rPr>
          <w:b/>
        </w:rPr>
      </w:pPr>
    </w:p>
    <w:p w14:paraId="6F7E8AB1" w14:textId="37F96AA4" w:rsidR="00577F9F" w:rsidRDefault="00577F9F" w:rsidP="006128F6">
      <w:pPr>
        <w:spacing w:line="240" w:lineRule="auto"/>
        <w:outlineLvl w:val="0"/>
        <w:rPr>
          <w:b/>
        </w:rPr>
      </w:pPr>
    </w:p>
    <w:p w14:paraId="767CD650" w14:textId="0207C4D4" w:rsidR="00113712" w:rsidRDefault="00113712" w:rsidP="006128F6">
      <w:pPr>
        <w:spacing w:line="240" w:lineRule="auto"/>
        <w:outlineLvl w:val="0"/>
        <w:rPr>
          <w:b/>
        </w:rPr>
      </w:pPr>
    </w:p>
    <w:p w14:paraId="7F16BC26" w14:textId="77777777" w:rsidR="00113712" w:rsidRPr="006128F6" w:rsidRDefault="00113712" w:rsidP="006128F6">
      <w:pPr>
        <w:spacing w:line="240" w:lineRule="auto"/>
        <w:outlineLvl w:val="0"/>
        <w:rPr>
          <w:b/>
        </w:rPr>
      </w:pPr>
    </w:p>
    <w:p w14:paraId="40CA8390" w14:textId="77777777" w:rsidR="00577F9F" w:rsidRPr="006128F6" w:rsidRDefault="00577F9F" w:rsidP="006128F6">
      <w:pPr>
        <w:spacing w:line="240" w:lineRule="auto"/>
        <w:outlineLvl w:val="0"/>
        <w:rPr>
          <w:b/>
        </w:rPr>
      </w:pPr>
    </w:p>
    <w:p w14:paraId="1E58CD71" w14:textId="77777777" w:rsidR="00577F9F" w:rsidRPr="006128F6" w:rsidRDefault="00577F9F" w:rsidP="006128F6">
      <w:pPr>
        <w:pStyle w:val="TitleA"/>
      </w:pPr>
      <w:r w:rsidRPr="006128F6">
        <w:t>B. PACKAGE LEAFLET</w:t>
      </w:r>
    </w:p>
    <w:p w14:paraId="4FCE30F5" w14:textId="77777777" w:rsidR="00577F9F" w:rsidRPr="006128F6" w:rsidRDefault="00577F9F" w:rsidP="006128F6">
      <w:pPr>
        <w:tabs>
          <w:tab w:val="clear" w:pos="567"/>
        </w:tabs>
        <w:spacing w:line="240" w:lineRule="auto"/>
        <w:jc w:val="center"/>
        <w:outlineLvl w:val="0"/>
      </w:pPr>
      <w:r w:rsidRPr="006128F6">
        <w:rPr>
          <w:szCs w:val="22"/>
        </w:rPr>
        <w:br w:type="page"/>
      </w:r>
      <w:r w:rsidRPr="006128F6">
        <w:rPr>
          <w:b/>
        </w:rPr>
        <w:lastRenderedPageBreak/>
        <w:t>Package leaflet: Information for the user</w:t>
      </w:r>
    </w:p>
    <w:p w14:paraId="3438F6BB" w14:textId="77777777" w:rsidR="00577F9F" w:rsidRPr="006128F6" w:rsidRDefault="00577F9F" w:rsidP="006128F6">
      <w:pPr>
        <w:numPr>
          <w:ilvl w:val="12"/>
          <w:numId w:val="0"/>
        </w:numPr>
        <w:shd w:val="clear" w:color="auto" w:fill="FFFFFF"/>
        <w:tabs>
          <w:tab w:val="clear" w:pos="567"/>
        </w:tabs>
        <w:spacing w:line="240" w:lineRule="auto"/>
        <w:jc w:val="center"/>
      </w:pPr>
    </w:p>
    <w:p w14:paraId="49410875" w14:textId="77777777" w:rsidR="004E2671" w:rsidRPr="006128F6" w:rsidRDefault="004E2671" w:rsidP="004E2671">
      <w:pPr>
        <w:tabs>
          <w:tab w:val="left" w:pos="993"/>
        </w:tabs>
        <w:spacing w:line="240" w:lineRule="auto"/>
        <w:jc w:val="center"/>
        <w:outlineLvl w:val="0"/>
        <w:rPr>
          <w:b/>
        </w:rPr>
      </w:pPr>
      <w:r w:rsidRPr="006128F6">
        <w:rPr>
          <w:b/>
        </w:rPr>
        <w:t>KANJINTI 150 mg powder for concentrate for solution for infusion</w:t>
      </w:r>
    </w:p>
    <w:p w14:paraId="5EEE5B93" w14:textId="32080A3E" w:rsidR="004E2671" w:rsidRPr="006128F6" w:rsidRDefault="004E2671" w:rsidP="004E2671">
      <w:pPr>
        <w:tabs>
          <w:tab w:val="left" w:pos="993"/>
        </w:tabs>
        <w:spacing w:line="240" w:lineRule="auto"/>
        <w:jc w:val="center"/>
        <w:outlineLvl w:val="0"/>
        <w:rPr>
          <w:b/>
        </w:rPr>
      </w:pPr>
      <w:r w:rsidRPr="006128F6">
        <w:rPr>
          <w:b/>
        </w:rPr>
        <w:t>KANJINTI 4</w:t>
      </w:r>
      <w:r w:rsidR="00B02181">
        <w:rPr>
          <w:b/>
        </w:rPr>
        <w:t>2</w:t>
      </w:r>
      <w:r w:rsidRPr="006128F6">
        <w:rPr>
          <w:b/>
        </w:rPr>
        <w:t>0 mg powder for concentrate for solution for infusion</w:t>
      </w:r>
    </w:p>
    <w:p w14:paraId="78BCB471" w14:textId="797DC995" w:rsidR="00577F9F" w:rsidRPr="006128F6" w:rsidRDefault="00C33F49" w:rsidP="006128F6">
      <w:pPr>
        <w:numPr>
          <w:ilvl w:val="12"/>
          <w:numId w:val="0"/>
        </w:numPr>
        <w:tabs>
          <w:tab w:val="clear" w:pos="567"/>
        </w:tabs>
        <w:spacing w:line="240" w:lineRule="auto"/>
        <w:jc w:val="center"/>
      </w:pPr>
      <w:r>
        <w:t>t</w:t>
      </w:r>
      <w:r w:rsidR="002B0325" w:rsidRPr="006128F6">
        <w:t>rastuzumab</w:t>
      </w:r>
    </w:p>
    <w:p w14:paraId="7A635439" w14:textId="77777777" w:rsidR="00577F9F" w:rsidRPr="006128F6" w:rsidRDefault="00577F9F" w:rsidP="006128F6">
      <w:pPr>
        <w:tabs>
          <w:tab w:val="clear" w:pos="567"/>
        </w:tabs>
        <w:spacing w:line="240" w:lineRule="auto"/>
      </w:pPr>
    </w:p>
    <w:p w14:paraId="289E9661" w14:textId="77777777" w:rsidR="00577F9F" w:rsidRPr="006128F6" w:rsidRDefault="00577F9F" w:rsidP="006128F6">
      <w:pPr>
        <w:tabs>
          <w:tab w:val="clear" w:pos="567"/>
        </w:tabs>
        <w:suppressAutoHyphens/>
        <w:spacing w:line="240" w:lineRule="auto"/>
      </w:pPr>
      <w:r w:rsidRPr="006128F6">
        <w:rPr>
          <w:b/>
        </w:rPr>
        <w:t>Read all of this leaflet carefully before you start using this medicine because it contains important information for you.</w:t>
      </w:r>
    </w:p>
    <w:p w14:paraId="66FBC773" w14:textId="77777777" w:rsidR="00577F9F" w:rsidRPr="006128F6" w:rsidRDefault="00577F9F" w:rsidP="006128F6">
      <w:pPr>
        <w:numPr>
          <w:ilvl w:val="0"/>
          <w:numId w:val="19"/>
        </w:numPr>
        <w:tabs>
          <w:tab w:val="clear" w:pos="567"/>
        </w:tabs>
        <w:spacing w:line="240" w:lineRule="auto"/>
        <w:ind w:left="567" w:right="-2" w:hanging="567"/>
      </w:pPr>
      <w:r w:rsidRPr="006128F6">
        <w:t xml:space="preserve">Keep this leaflet. You may need to read it again. </w:t>
      </w:r>
    </w:p>
    <w:p w14:paraId="641F7A2A" w14:textId="77777777" w:rsidR="00577F9F" w:rsidRPr="006128F6" w:rsidRDefault="00577F9F" w:rsidP="006128F6">
      <w:pPr>
        <w:numPr>
          <w:ilvl w:val="0"/>
          <w:numId w:val="19"/>
        </w:numPr>
        <w:tabs>
          <w:tab w:val="clear" w:pos="567"/>
        </w:tabs>
        <w:spacing w:line="240" w:lineRule="auto"/>
        <w:ind w:left="567" w:right="-2" w:hanging="567"/>
      </w:pPr>
      <w:r w:rsidRPr="006128F6">
        <w:t>If you have any further questions, ask your doctor</w:t>
      </w:r>
      <w:r w:rsidR="002B0325" w:rsidRPr="006128F6">
        <w:t xml:space="preserve"> </w:t>
      </w:r>
      <w:r w:rsidRPr="006128F6">
        <w:t>or</w:t>
      </w:r>
      <w:r w:rsidR="002B0325" w:rsidRPr="006128F6">
        <w:t xml:space="preserve"> </w:t>
      </w:r>
      <w:r w:rsidRPr="006128F6">
        <w:t>pharmacist</w:t>
      </w:r>
      <w:r w:rsidR="002B0325" w:rsidRPr="006128F6">
        <w:t>.</w:t>
      </w:r>
    </w:p>
    <w:p w14:paraId="269E92F9" w14:textId="77777777" w:rsidR="00577F9F" w:rsidRPr="006128F6" w:rsidRDefault="00577F9F" w:rsidP="006128F6">
      <w:pPr>
        <w:spacing w:line="240" w:lineRule="auto"/>
        <w:ind w:left="567" w:right="-2" w:hanging="567"/>
      </w:pPr>
      <w:r w:rsidRPr="006128F6">
        <w:t>-</w:t>
      </w:r>
      <w:r w:rsidRPr="006128F6">
        <w:tab/>
        <w:t>If you get any side effects, talk to your doctor,</w:t>
      </w:r>
      <w:r w:rsidR="002B0325" w:rsidRPr="006128F6">
        <w:t xml:space="preserve"> </w:t>
      </w:r>
      <w:r w:rsidRPr="006128F6">
        <w:t>pharmacist</w:t>
      </w:r>
      <w:r w:rsidR="002B0325" w:rsidRPr="006128F6">
        <w:t xml:space="preserve"> </w:t>
      </w:r>
      <w:r w:rsidRPr="006128F6">
        <w:t xml:space="preserve">or nurse. This includes any possible side effects not listed </w:t>
      </w:r>
      <w:r w:rsidR="002B0325" w:rsidRPr="006128F6">
        <w:t>in this leaflet. See section 4.</w:t>
      </w:r>
    </w:p>
    <w:p w14:paraId="2C791BA5" w14:textId="77777777" w:rsidR="00577F9F" w:rsidRPr="006128F6" w:rsidRDefault="00577F9F" w:rsidP="006128F6">
      <w:pPr>
        <w:tabs>
          <w:tab w:val="clear" w:pos="567"/>
        </w:tabs>
        <w:spacing w:line="240" w:lineRule="auto"/>
        <w:ind w:right="-2"/>
      </w:pPr>
    </w:p>
    <w:p w14:paraId="3D2663D4" w14:textId="77777777" w:rsidR="00577F9F" w:rsidRPr="006128F6" w:rsidRDefault="00577F9F" w:rsidP="006128F6">
      <w:pPr>
        <w:numPr>
          <w:ilvl w:val="12"/>
          <w:numId w:val="0"/>
        </w:numPr>
        <w:tabs>
          <w:tab w:val="clear" w:pos="567"/>
        </w:tabs>
        <w:spacing w:line="240" w:lineRule="auto"/>
        <w:ind w:right="-2"/>
        <w:rPr>
          <w:b/>
        </w:rPr>
      </w:pPr>
      <w:r w:rsidRPr="006128F6">
        <w:rPr>
          <w:b/>
        </w:rPr>
        <w:t>What is in this leaflet</w:t>
      </w:r>
    </w:p>
    <w:p w14:paraId="04D0A285" w14:textId="77777777" w:rsidR="00577F9F" w:rsidRPr="006128F6" w:rsidRDefault="00577F9F" w:rsidP="006128F6">
      <w:pPr>
        <w:numPr>
          <w:ilvl w:val="12"/>
          <w:numId w:val="0"/>
        </w:numPr>
        <w:tabs>
          <w:tab w:val="clear" w:pos="567"/>
        </w:tabs>
        <w:spacing w:line="240" w:lineRule="auto"/>
        <w:ind w:right="-2"/>
        <w:outlineLvl w:val="0"/>
      </w:pPr>
    </w:p>
    <w:p w14:paraId="52F78E60" w14:textId="762DB2B4" w:rsidR="00577F9F" w:rsidRPr="006128F6" w:rsidRDefault="00577F9F" w:rsidP="006128F6">
      <w:pPr>
        <w:numPr>
          <w:ilvl w:val="12"/>
          <w:numId w:val="0"/>
        </w:numPr>
        <w:spacing w:line="240" w:lineRule="auto"/>
        <w:ind w:left="567" w:hanging="567"/>
      </w:pPr>
      <w:r w:rsidRPr="006128F6">
        <w:t>1.</w:t>
      </w:r>
      <w:r w:rsidRPr="006128F6">
        <w:tab/>
        <w:t xml:space="preserve">What </w:t>
      </w:r>
      <w:r w:rsidR="008E0EE9" w:rsidRPr="006128F6">
        <w:t>KANJINTI</w:t>
      </w:r>
      <w:r w:rsidR="002B0325" w:rsidRPr="006128F6">
        <w:t xml:space="preserve"> </w:t>
      </w:r>
      <w:r w:rsidRPr="006128F6">
        <w:t xml:space="preserve">is and what it is used for </w:t>
      </w:r>
    </w:p>
    <w:p w14:paraId="7E1DCC57" w14:textId="3B5176E5" w:rsidR="00577F9F" w:rsidRPr="006128F6" w:rsidRDefault="00577F9F" w:rsidP="006128F6">
      <w:pPr>
        <w:numPr>
          <w:ilvl w:val="12"/>
          <w:numId w:val="0"/>
        </w:numPr>
        <w:spacing w:line="240" w:lineRule="auto"/>
        <w:ind w:left="567" w:hanging="567"/>
      </w:pPr>
      <w:r w:rsidRPr="006128F6">
        <w:t>2.</w:t>
      </w:r>
      <w:r w:rsidRPr="006128F6">
        <w:tab/>
        <w:t xml:space="preserve">What you need to know before you </w:t>
      </w:r>
      <w:r w:rsidR="002B0325" w:rsidRPr="006128F6">
        <w:t xml:space="preserve">are given </w:t>
      </w:r>
      <w:r w:rsidR="008E0EE9" w:rsidRPr="006128F6">
        <w:t>KANJINTI</w:t>
      </w:r>
      <w:r w:rsidRPr="006128F6">
        <w:t xml:space="preserve"> </w:t>
      </w:r>
    </w:p>
    <w:p w14:paraId="58353325" w14:textId="3B612D6D" w:rsidR="00577F9F" w:rsidRPr="006128F6" w:rsidRDefault="00577F9F" w:rsidP="006128F6">
      <w:pPr>
        <w:numPr>
          <w:ilvl w:val="12"/>
          <w:numId w:val="0"/>
        </w:numPr>
        <w:spacing w:line="240" w:lineRule="auto"/>
        <w:ind w:left="567" w:hanging="567"/>
      </w:pPr>
      <w:r w:rsidRPr="006128F6">
        <w:t>3.</w:t>
      </w:r>
      <w:r w:rsidRPr="006128F6">
        <w:tab/>
        <w:t>H</w:t>
      </w:r>
      <w:r w:rsidR="005D0325" w:rsidRPr="006128F6">
        <w:t xml:space="preserve">ow </w:t>
      </w:r>
      <w:r w:rsidR="008E0EE9" w:rsidRPr="006128F6">
        <w:t>KANJINTI</w:t>
      </w:r>
      <w:r w:rsidR="002B0325" w:rsidRPr="006128F6">
        <w:t xml:space="preserve"> is given</w:t>
      </w:r>
    </w:p>
    <w:p w14:paraId="0BF7F0EE" w14:textId="77777777" w:rsidR="00577F9F" w:rsidRPr="006128F6" w:rsidRDefault="00577F9F" w:rsidP="006128F6">
      <w:pPr>
        <w:numPr>
          <w:ilvl w:val="12"/>
          <w:numId w:val="0"/>
        </w:numPr>
        <w:spacing w:line="240" w:lineRule="auto"/>
        <w:ind w:left="567" w:hanging="567"/>
      </w:pPr>
      <w:r w:rsidRPr="006128F6">
        <w:t>4.</w:t>
      </w:r>
      <w:r w:rsidRPr="006128F6">
        <w:tab/>
        <w:t xml:space="preserve">Possible side effects </w:t>
      </w:r>
    </w:p>
    <w:p w14:paraId="41E28FCF" w14:textId="4F25DD6B" w:rsidR="00577F9F" w:rsidRPr="006128F6" w:rsidRDefault="00577F9F" w:rsidP="006128F6">
      <w:pPr>
        <w:numPr>
          <w:ilvl w:val="12"/>
          <w:numId w:val="0"/>
        </w:numPr>
        <w:spacing w:line="240" w:lineRule="auto"/>
        <w:ind w:left="567" w:hanging="567"/>
      </w:pPr>
      <w:r w:rsidRPr="006128F6">
        <w:t>5.</w:t>
      </w:r>
      <w:r w:rsidRPr="006128F6">
        <w:tab/>
        <w:t xml:space="preserve">How to store </w:t>
      </w:r>
      <w:r w:rsidR="008E0EE9" w:rsidRPr="006128F6">
        <w:t>KANJINTI</w:t>
      </w:r>
    </w:p>
    <w:p w14:paraId="2BB3DEA1" w14:textId="77777777" w:rsidR="00577F9F" w:rsidRPr="006128F6" w:rsidRDefault="00577F9F" w:rsidP="006128F6">
      <w:pPr>
        <w:numPr>
          <w:ilvl w:val="12"/>
          <w:numId w:val="0"/>
        </w:numPr>
        <w:spacing w:line="240" w:lineRule="auto"/>
        <w:ind w:left="567" w:hanging="567"/>
      </w:pPr>
      <w:r w:rsidRPr="006128F6">
        <w:t>6.</w:t>
      </w:r>
      <w:r w:rsidRPr="006128F6">
        <w:tab/>
        <w:t>Contents of the pack and other information</w:t>
      </w:r>
    </w:p>
    <w:p w14:paraId="2E708594" w14:textId="77777777" w:rsidR="00577F9F" w:rsidRPr="006128F6" w:rsidRDefault="00577F9F" w:rsidP="006128F6">
      <w:pPr>
        <w:numPr>
          <w:ilvl w:val="12"/>
          <w:numId w:val="0"/>
        </w:numPr>
        <w:tabs>
          <w:tab w:val="clear" w:pos="567"/>
        </w:tabs>
        <w:spacing w:line="240" w:lineRule="auto"/>
        <w:ind w:right="-2"/>
      </w:pPr>
    </w:p>
    <w:p w14:paraId="2DC1565C" w14:textId="77777777" w:rsidR="00577F9F" w:rsidRPr="006128F6" w:rsidRDefault="00577F9F" w:rsidP="006128F6">
      <w:pPr>
        <w:numPr>
          <w:ilvl w:val="12"/>
          <w:numId w:val="0"/>
        </w:numPr>
        <w:tabs>
          <w:tab w:val="clear" w:pos="567"/>
        </w:tabs>
        <w:spacing w:line="240" w:lineRule="auto"/>
        <w:rPr>
          <w:szCs w:val="22"/>
        </w:rPr>
      </w:pPr>
    </w:p>
    <w:p w14:paraId="6D1AC7DC" w14:textId="3D153442" w:rsidR="00577F9F" w:rsidRPr="006128F6" w:rsidRDefault="00577F9F" w:rsidP="005477BB">
      <w:pPr>
        <w:spacing w:line="240" w:lineRule="auto"/>
        <w:ind w:left="567" w:hanging="567"/>
        <w:rPr>
          <w:b/>
          <w:szCs w:val="22"/>
        </w:rPr>
      </w:pPr>
      <w:r w:rsidRPr="006128F6">
        <w:rPr>
          <w:b/>
          <w:szCs w:val="22"/>
        </w:rPr>
        <w:t>1.</w:t>
      </w:r>
      <w:r w:rsidRPr="006128F6">
        <w:rPr>
          <w:b/>
          <w:szCs w:val="22"/>
        </w:rPr>
        <w:tab/>
        <w:t xml:space="preserve">What </w:t>
      </w:r>
      <w:r w:rsidR="008E0EE9" w:rsidRPr="006128F6">
        <w:rPr>
          <w:b/>
          <w:szCs w:val="22"/>
        </w:rPr>
        <w:t>KANJINTI</w:t>
      </w:r>
      <w:r w:rsidRPr="006128F6">
        <w:rPr>
          <w:b/>
          <w:szCs w:val="22"/>
        </w:rPr>
        <w:t xml:space="preserve"> is and what it is used for</w:t>
      </w:r>
    </w:p>
    <w:p w14:paraId="377224DB" w14:textId="77777777" w:rsidR="00577F9F" w:rsidRPr="006128F6" w:rsidRDefault="00577F9F" w:rsidP="006128F6">
      <w:pPr>
        <w:numPr>
          <w:ilvl w:val="12"/>
          <w:numId w:val="0"/>
        </w:numPr>
        <w:tabs>
          <w:tab w:val="clear" w:pos="567"/>
        </w:tabs>
        <w:spacing w:line="240" w:lineRule="auto"/>
        <w:rPr>
          <w:szCs w:val="22"/>
        </w:rPr>
      </w:pPr>
    </w:p>
    <w:p w14:paraId="30FCA89F" w14:textId="656BA9AD" w:rsidR="00577F9F" w:rsidRPr="006128F6" w:rsidRDefault="008E0EE9" w:rsidP="006128F6">
      <w:pPr>
        <w:tabs>
          <w:tab w:val="clear" w:pos="567"/>
        </w:tabs>
        <w:spacing w:line="240" w:lineRule="auto"/>
        <w:ind w:right="-2"/>
        <w:rPr>
          <w:szCs w:val="22"/>
        </w:rPr>
      </w:pPr>
      <w:r w:rsidRPr="006128F6">
        <w:rPr>
          <w:szCs w:val="22"/>
        </w:rPr>
        <w:t>KANJINTI</w:t>
      </w:r>
      <w:r w:rsidR="007C2834" w:rsidRPr="006128F6">
        <w:rPr>
          <w:szCs w:val="22"/>
        </w:rPr>
        <w:t xml:space="preserve"> </w:t>
      </w:r>
      <w:r w:rsidR="002B0325" w:rsidRPr="006128F6">
        <w:rPr>
          <w:szCs w:val="22"/>
        </w:rPr>
        <w:t xml:space="preserve">contains the active substance trastuzumab, which is a monoclonal antibody. Monoclonal antibodies attach to specific proteins or antigens. Trastuzumab is designed to bind selectively to an antigen called human epidermal growth factor receptor 2 (HER2). HER2 is found in large amounts on the surface of some cancer cells where it stimulates their growth. When </w:t>
      </w:r>
      <w:r w:rsidR="00810608">
        <w:rPr>
          <w:szCs w:val="22"/>
        </w:rPr>
        <w:t>trastuzumab</w:t>
      </w:r>
      <w:r w:rsidR="007C2834" w:rsidRPr="006128F6">
        <w:rPr>
          <w:szCs w:val="22"/>
        </w:rPr>
        <w:t xml:space="preserve"> </w:t>
      </w:r>
      <w:r w:rsidR="002B0325" w:rsidRPr="006128F6">
        <w:rPr>
          <w:szCs w:val="22"/>
        </w:rPr>
        <w:t>binds to HER2 it stops the growth of such cells and causes them to die.</w:t>
      </w:r>
    </w:p>
    <w:p w14:paraId="67DDA50A" w14:textId="77777777" w:rsidR="00577F9F" w:rsidRPr="006128F6" w:rsidRDefault="00577F9F" w:rsidP="006128F6">
      <w:pPr>
        <w:tabs>
          <w:tab w:val="clear" w:pos="567"/>
        </w:tabs>
        <w:spacing w:line="240" w:lineRule="auto"/>
        <w:ind w:right="-2"/>
        <w:rPr>
          <w:szCs w:val="22"/>
        </w:rPr>
      </w:pPr>
    </w:p>
    <w:p w14:paraId="3D116333" w14:textId="1E4C8AB7" w:rsidR="002B0325" w:rsidRPr="006128F6" w:rsidRDefault="002B0325" w:rsidP="006128F6">
      <w:pPr>
        <w:tabs>
          <w:tab w:val="clear" w:pos="567"/>
        </w:tabs>
        <w:spacing w:line="240" w:lineRule="auto"/>
        <w:ind w:right="-2"/>
        <w:rPr>
          <w:szCs w:val="22"/>
        </w:rPr>
      </w:pPr>
      <w:r w:rsidRPr="006128F6">
        <w:rPr>
          <w:szCs w:val="22"/>
        </w:rPr>
        <w:t xml:space="preserve">Your doctor may prescribe </w:t>
      </w:r>
      <w:r w:rsidR="008E0EE9" w:rsidRPr="006128F6">
        <w:rPr>
          <w:szCs w:val="22"/>
        </w:rPr>
        <w:t>KANJINTI</w:t>
      </w:r>
      <w:r w:rsidR="007C2834" w:rsidRPr="006128F6">
        <w:rPr>
          <w:szCs w:val="22"/>
        </w:rPr>
        <w:t xml:space="preserve"> </w:t>
      </w:r>
      <w:r w:rsidRPr="006128F6">
        <w:rPr>
          <w:szCs w:val="22"/>
        </w:rPr>
        <w:t>for the treatment of breast and gastric cancer when:</w:t>
      </w:r>
    </w:p>
    <w:p w14:paraId="5F176AF3" w14:textId="77777777" w:rsidR="002B0325" w:rsidRPr="006128F6" w:rsidRDefault="002B0325" w:rsidP="006128F6">
      <w:pPr>
        <w:pStyle w:val="ListParagraph"/>
        <w:numPr>
          <w:ilvl w:val="1"/>
          <w:numId w:val="17"/>
        </w:numPr>
        <w:tabs>
          <w:tab w:val="clear" w:pos="567"/>
        </w:tabs>
        <w:spacing w:line="240" w:lineRule="auto"/>
        <w:ind w:left="567" w:hanging="567"/>
        <w:rPr>
          <w:szCs w:val="22"/>
        </w:rPr>
      </w:pPr>
      <w:r w:rsidRPr="006128F6">
        <w:rPr>
          <w:szCs w:val="22"/>
        </w:rPr>
        <w:t>You have early breast cancer, with high levels of a protein called HER2.</w:t>
      </w:r>
    </w:p>
    <w:p w14:paraId="206EDACC" w14:textId="1931C91A" w:rsidR="002B0325" w:rsidRPr="006128F6" w:rsidRDefault="002B0325" w:rsidP="006128F6">
      <w:pPr>
        <w:pStyle w:val="ListParagraph"/>
        <w:numPr>
          <w:ilvl w:val="1"/>
          <w:numId w:val="17"/>
        </w:numPr>
        <w:tabs>
          <w:tab w:val="clear" w:pos="567"/>
        </w:tabs>
        <w:spacing w:line="240" w:lineRule="auto"/>
        <w:ind w:left="567" w:hanging="567"/>
        <w:rPr>
          <w:szCs w:val="22"/>
        </w:rPr>
      </w:pPr>
      <w:r w:rsidRPr="006128F6">
        <w:rPr>
          <w:szCs w:val="22"/>
        </w:rPr>
        <w:t xml:space="preserve">You have metastatic breast cancer (breast cancer that has spread beyond the original tumour) with high levels of HER2. </w:t>
      </w:r>
      <w:r w:rsidR="008E0EE9" w:rsidRPr="006128F6">
        <w:rPr>
          <w:szCs w:val="22"/>
        </w:rPr>
        <w:t>KANJINTI</w:t>
      </w:r>
      <w:r w:rsidR="007C2834" w:rsidRPr="006128F6">
        <w:rPr>
          <w:szCs w:val="22"/>
        </w:rPr>
        <w:t xml:space="preserve"> </w:t>
      </w:r>
      <w:r w:rsidRPr="006128F6">
        <w:rPr>
          <w:szCs w:val="22"/>
        </w:rPr>
        <w:t>may be prescribed in combination with the chemotherapy medicine paclitaxel or docetaxel as first treatment for metastatic breast cancer or it may be prescribed alone if other treatments have proved unsuccessful. It is also used in combination with medicines called aromatase inhibitors with patients with high levels of HER2 and hormone</w:t>
      </w:r>
      <w:r w:rsidR="00F14465" w:rsidRPr="006128F6">
        <w:rPr>
          <w:szCs w:val="22"/>
        </w:rPr>
        <w:t>-</w:t>
      </w:r>
      <w:r w:rsidRPr="006128F6">
        <w:rPr>
          <w:szCs w:val="22"/>
        </w:rPr>
        <w:t>receptor</w:t>
      </w:r>
      <w:r w:rsidR="00F14465" w:rsidRPr="006128F6">
        <w:rPr>
          <w:szCs w:val="22"/>
        </w:rPr>
        <w:t xml:space="preserve"> </w:t>
      </w:r>
      <w:r w:rsidRPr="006128F6">
        <w:rPr>
          <w:szCs w:val="22"/>
        </w:rPr>
        <w:t>positive metastatic breast cancer (cancer that is sensitive to the presence of female sex hormones).</w:t>
      </w:r>
    </w:p>
    <w:p w14:paraId="57CC9AE0" w14:textId="69AB49E5" w:rsidR="002B0325" w:rsidRPr="006128F6" w:rsidRDefault="002B0325" w:rsidP="006128F6">
      <w:pPr>
        <w:pStyle w:val="ListParagraph"/>
        <w:numPr>
          <w:ilvl w:val="1"/>
          <w:numId w:val="17"/>
        </w:numPr>
        <w:tabs>
          <w:tab w:val="clear" w:pos="567"/>
        </w:tabs>
        <w:spacing w:line="240" w:lineRule="auto"/>
        <w:ind w:left="567" w:hanging="567"/>
        <w:rPr>
          <w:szCs w:val="22"/>
        </w:rPr>
      </w:pPr>
      <w:r w:rsidRPr="006128F6">
        <w:rPr>
          <w:szCs w:val="22"/>
        </w:rPr>
        <w:t>You have metastatic gastric cancer with high levels of HER2, when it is in combination with the other cancer medicines capecitabine or 5-fl</w:t>
      </w:r>
      <w:r w:rsidR="007208EE">
        <w:rPr>
          <w:szCs w:val="22"/>
        </w:rPr>
        <w:t>u</w:t>
      </w:r>
      <w:r w:rsidRPr="006128F6">
        <w:rPr>
          <w:szCs w:val="22"/>
        </w:rPr>
        <w:t>o</w:t>
      </w:r>
      <w:r w:rsidR="007208EE">
        <w:rPr>
          <w:szCs w:val="22"/>
        </w:rPr>
        <w:t>r</w:t>
      </w:r>
      <w:r w:rsidRPr="006128F6">
        <w:rPr>
          <w:szCs w:val="22"/>
        </w:rPr>
        <w:t>ouracil and cisplatin.</w:t>
      </w:r>
    </w:p>
    <w:p w14:paraId="5F5E6A40" w14:textId="4502CBB0" w:rsidR="00577F9F" w:rsidRDefault="00577F9F" w:rsidP="006128F6">
      <w:pPr>
        <w:tabs>
          <w:tab w:val="clear" w:pos="567"/>
        </w:tabs>
        <w:spacing w:line="240" w:lineRule="auto"/>
        <w:ind w:right="-2"/>
        <w:rPr>
          <w:szCs w:val="22"/>
        </w:rPr>
      </w:pPr>
    </w:p>
    <w:p w14:paraId="174D0238" w14:textId="77777777" w:rsidR="001F3376" w:rsidRPr="006128F6" w:rsidRDefault="001F3376" w:rsidP="006128F6">
      <w:pPr>
        <w:tabs>
          <w:tab w:val="clear" w:pos="567"/>
        </w:tabs>
        <w:spacing w:line="240" w:lineRule="auto"/>
        <w:ind w:right="-2"/>
        <w:rPr>
          <w:szCs w:val="22"/>
        </w:rPr>
      </w:pPr>
    </w:p>
    <w:p w14:paraId="441F0226" w14:textId="26646296" w:rsidR="00577F9F" w:rsidRPr="006128F6" w:rsidRDefault="00577F9F" w:rsidP="005477BB">
      <w:pPr>
        <w:spacing w:line="240" w:lineRule="auto"/>
        <w:ind w:left="567" w:hanging="567"/>
        <w:rPr>
          <w:b/>
          <w:szCs w:val="22"/>
        </w:rPr>
      </w:pPr>
      <w:r w:rsidRPr="006128F6">
        <w:rPr>
          <w:b/>
        </w:rPr>
        <w:t>2.</w:t>
      </w:r>
      <w:r w:rsidRPr="006128F6">
        <w:rPr>
          <w:b/>
        </w:rPr>
        <w:tab/>
        <w:t xml:space="preserve">What you need to know before you </w:t>
      </w:r>
      <w:r w:rsidR="002B0325" w:rsidRPr="006128F6">
        <w:rPr>
          <w:b/>
        </w:rPr>
        <w:t xml:space="preserve">are given </w:t>
      </w:r>
      <w:r w:rsidR="008E0EE9" w:rsidRPr="006128F6">
        <w:rPr>
          <w:b/>
        </w:rPr>
        <w:t>KANJINTI</w:t>
      </w:r>
    </w:p>
    <w:p w14:paraId="74A25108" w14:textId="77777777" w:rsidR="00577F9F" w:rsidRPr="00CE3C96" w:rsidRDefault="00577F9F" w:rsidP="006128F6">
      <w:pPr>
        <w:numPr>
          <w:ilvl w:val="12"/>
          <w:numId w:val="0"/>
        </w:numPr>
        <w:tabs>
          <w:tab w:val="clear" w:pos="567"/>
        </w:tabs>
        <w:spacing w:line="240" w:lineRule="auto"/>
        <w:outlineLvl w:val="0"/>
        <w:rPr>
          <w:szCs w:val="22"/>
        </w:rPr>
      </w:pPr>
    </w:p>
    <w:p w14:paraId="120B88F5" w14:textId="18A4E136" w:rsidR="00577F9F" w:rsidRPr="006128F6" w:rsidRDefault="00577F9F" w:rsidP="006128F6">
      <w:pPr>
        <w:numPr>
          <w:ilvl w:val="12"/>
          <w:numId w:val="0"/>
        </w:numPr>
        <w:tabs>
          <w:tab w:val="clear" w:pos="567"/>
        </w:tabs>
        <w:spacing w:line="240" w:lineRule="auto"/>
        <w:outlineLvl w:val="0"/>
        <w:rPr>
          <w:szCs w:val="22"/>
        </w:rPr>
      </w:pPr>
      <w:r w:rsidRPr="006128F6">
        <w:rPr>
          <w:b/>
          <w:szCs w:val="22"/>
        </w:rPr>
        <w:t>Do not use</w:t>
      </w:r>
      <w:r w:rsidR="00610287" w:rsidRPr="006128F6">
        <w:rPr>
          <w:b/>
          <w:szCs w:val="22"/>
        </w:rPr>
        <w:t xml:space="preserve"> </w:t>
      </w:r>
      <w:r w:rsidR="008E0EE9" w:rsidRPr="006128F6">
        <w:rPr>
          <w:b/>
          <w:szCs w:val="22"/>
        </w:rPr>
        <w:t>KANJINTI</w:t>
      </w:r>
      <w:r w:rsidR="002B0325" w:rsidRPr="006128F6">
        <w:rPr>
          <w:b/>
          <w:szCs w:val="22"/>
        </w:rPr>
        <w:t xml:space="preserve"> if:</w:t>
      </w:r>
    </w:p>
    <w:p w14:paraId="5F91EBF4" w14:textId="77777777" w:rsidR="002B0325" w:rsidRPr="006128F6" w:rsidRDefault="002B0325" w:rsidP="006128F6">
      <w:pPr>
        <w:pStyle w:val="ListParagraph"/>
        <w:numPr>
          <w:ilvl w:val="1"/>
          <w:numId w:val="17"/>
        </w:numPr>
        <w:tabs>
          <w:tab w:val="clear" w:pos="567"/>
        </w:tabs>
        <w:spacing w:line="240" w:lineRule="auto"/>
        <w:ind w:left="567" w:hanging="567"/>
        <w:rPr>
          <w:szCs w:val="22"/>
        </w:rPr>
      </w:pPr>
      <w:r w:rsidRPr="006128F6">
        <w:rPr>
          <w:szCs w:val="22"/>
        </w:rPr>
        <w:t>you are allergic to trastuzumab, to murine (mouse) proteins, or to any of the other ingredients of this medicine (listed in section 6).</w:t>
      </w:r>
    </w:p>
    <w:p w14:paraId="7C15DE62" w14:textId="77777777" w:rsidR="00577F9F" w:rsidRPr="006128F6" w:rsidRDefault="002B0325" w:rsidP="006128F6">
      <w:pPr>
        <w:pStyle w:val="ListParagraph"/>
        <w:numPr>
          <w:ilvl w:val="1"/>
          <w:numId w:val="17"/>
        </w:numPr>
        <w:tabs>
          <w:tab w:val="clear" w:pos="567"/>
        </w:tabs>
        <w:spacing w:line="240" w:lineRule="auto"/>
        <w:ind w:left="567" w:hanging="567"/>
        <w:rPr>
          <w:szCs w:val="22"/>
        </w:rPr>
      </w:pPr>
      <w:r w:rsidRPr="006128F6">
        <w:rPr>
          <w:szCs w:val="22"/>
        </w:rPr>
        <w:t>you have severe breathing problems at rest due to your cancer or if you need oxygen treatment.</w:t>
      </w:r>
    </w:p>
    <w:p w14:paraId="6E014145" w14:textId="77777777" w:rsidR="00577F9F" w:rsidRPr="006128F6" w:rsidRDefault="00577F9F" w:rsidP="006128F6">
      <w:pPr>
        <w:numPr>
          <w:ilvl w:val="12"/>
          <w:numId w:val="0"/>
        </w:numPr>
        <w:tabs>
          <w:tab w:val="clear" w:pos="567"/>
        </w:tabs>
        <w:spacing w:line="240" w:lineRule="auto"/>
        <w:rPr>
          <w:szCs w:val="22"/>
        </w:rPr>
      </w:pPr>
    </w:p>
    <w:p w14:paraId="4131F505" w14:textId="77777777" w:rsidR="002B0325" w:rsidRPr="006128F6" w:rsidRDefault="00577F9F" w:rsidP="006128F6">
      <w:pPr>
        <w:numPr>
          <w:ilvl w:val="12"/>
          <w:numId w:val="0"/>
        </w:numPr>
        <w:tabs>
          <w:tab w:val="clear" w:pos="567"/>
        </w:tabs>
        <w:spacing w:line="240" w:lineRule="auto"/>
        <w:outlineLvl w:val="0"/>
        <w:rPr>
          <w:b/>
        </w:rPr>
      </w:pPr>
      <w:r w:rsidRPr="006128F6">
        <w:rPr>
          <w:b/>
        </w:rPr>
        <w:t>Warnings and precautions</w:t>
      </w:r>
    </w:p>
    <w:p w14:paraId="4EA24AD4" w14:textId="77777777" w:rsidR="00577F9F" w:rsidRPr="006128F6" w:rsidRDefault="002B0325" w:rsidP="006128F6">
      <w:pPr>
        <w:numPr>
          <w:ilvl w:val="12"/>
          <w:numId w:val="0"/>
        </w:numPr>
        <w:tabs>
          <w:tab w:val="clear" w:pos="567"/>
        </w:tabs>
        <w:spacing w:line="240" w:lineRule="auto"/>
        <w:outlineLvl w:val="0"/>
      </w:pPr>
      <w:r w:rsidRPr="006128F6">
        <w:t>Your doctor will closely supervise your therapy.</w:t>
      </w:r>
      <w:r w:rsidR="00577F9F" w:rsidRPr="006128F6">
        <w:t xml:space="preserve"> </w:t>
      </w:r>
    </w:p>
    <w:p w14:paraId="3F1E8625" w14:textId="77777777" w:rsidR="009B5BC5" w:rsidRDefault="009B5BC5" w:rsidP="006128F6">
      <w:pPr>
        <w:numPr>
          <w:ilvl w:val="12"/>
          <w:numId w:val="0"/>
        </w:numPr>
        <w:tabs>
          <w:tab w:val="clear" w:pos="567"/>
        </w:tabs>
        <w:spacing w:line="240" w:lineRule="auto"/>
        <w:outlineLvl w:val="0"/>
        <w:rPr>
          <w:b/>
        </w:rPr>
      </w:pPr>
    </w:p>
    <w:p w14:paraId="431D74DE" w14:textId="77777777" w:rsidR="002B0325" w:rsidRPr="006128F6" w:rsidRDefault="002B0325" w:rsidP="006128F6">
      <w:pPr>
        <w:numPr>
          <w:ilvl w:val="12"/>
          <w:numId w:val="0"/>
        </w:numPr>
        <w:tabs>
          <w:tab w:val="clear" w:pos="567"/>
        </w:tabs>
        <w:spacing w:line="240" w:lineRule="auto"/>
        <w:outlineLvl w:val="0"/>
        <w:rPr>
          <w:b/>
        </w:rPr>
      </w:pPr>
      <w:r w:rsidRPr="006128F6">
        <w:rPr>
          <w:b/>
        </w:rPr>
        <w:t>Heart checks</w:t>
      </w:r>
    </w:p>
    <w:p w14:paraId="5C1937EC" w14:textId="4F6CEFB2" w:rsidR="002B0325" w:rsidRPr="006128F6" w:rsidRDefault="002B0325" w:rsidP="006128F6">
      <w:pPr>
        <w:numPr>
          <w:ilvl w:val="12"/>
          <w:numId w:val="0"/>
        </w:numPr>
        <w:tabs>
          <w:tab w:val="clear" w:pos="567"/>
        </w:tabs>
        <w:spacing w:line="240" w:lineRule="auto"/>
        <w:outlineLvl w:val="0"/>
      </w:pPr>
      <w:r w:rsidRPr="006128F6">
        <w:t xml:space="preserve">Treatment with </w:t>
      </w:r>
      <w:r w:rsidR="008E0EE9" w:rsidRPr="006128F6">
        <w:t>KANJINTI</w:t>
      </w:r>
      <w:r w:rsidR="007C2834" w:rsidRPr="006128F6">
        <w:t xml:space="preserve"> </w:t>
      </w:r>
      <w:r w:rsidRPr="006128F6">
        <w:t xml:space="preserve">alone or with a taxane may affect the heart, especially if you have ever used an anthracycline (taxanes and anthracyclines are two other kinds of medicine used to treat </w:t>
      </w:r>
      <w:r w:rsidRPr="006128F6">
        <w:lastRenderedPageBreak/>
        <w:t xml:space="preserve">cancer). The effects may be moderate to severe and could cause death. Therefore, your heart function will be checked before, during (every three months) and after (up to two to five years) treatment with </w:t>
      </w:r>
      <w:r w:rsidR="008E0EE9" w:rsidRPr="006128F6">
        <w:t>KANJINTI</w:t>
      </w:r>
      <w:r w:rsidRPr="006128F6">
        <w:t xml:space="preserve">. If you develop any signs of heart failure (inadequate pumping of blood by the heart), your heart function may be checked more frequently (every six to eight weeks), you may receive treatment for heart failure or you may have to stop </w:t>
      </w:r>
      <w:r w:rsidR="008E0EE9" w:rsidRPr="006128F6">
        <w:t>KANJINTI</w:t>
      </w:r>
      <w:r w:rsidR="007C2834" w:rsidRPr="006128F6">
        <w:t xml:space="preserve"> </w:t>
      </w:r>
      <w:r w:rsidRPr="006128F6">
        <w:t>treatment.</w:t>
      </w:r>
    </w:p>
    <w:p w14:paraId="4E833951" w14:textId="77777777" w:rsidR="002B0325" w:rsidRPr="006128F6" w:rsidRDefault="002B0325" w:rsidP="006128F6">
      <w:pPr>
        <w:numPr>
          <w:ilvl w:val="12"/>
          <w:numId w:val="0"/>
        </w:numPr>
        <w:tabs>
          <w:tab w:val="clear" w:pos="567"/>
        </w:tabs>
        <w:spacing w:line="240" w:lineRule="auto"/>
        <w:outlineLvl w:val="0"/>
      </w:pPr>
    </w:p>
    <w:p w14:paraId="1B3AB770" w14:textId="6EA86F10" w:rsidR="002B0325" w:rsidRPr="006128F6" w:rsidRDefault="002B0325" w:rsidP="006128F6">
      <w:pPr>
        <w:numPr>
          <w:ilvl w:val="12"/>
          <w:numId w:val="0"/>
        </w:numPr>
        <w:tabs>
          <w:tab w:val="clear" w:pos="567"/>
        </w:tabs>
        <w:spacing w:line="240" w:lineRule="auto"/>
        <w:outlineLvl w:val="0"/>
      </w:pPr>
      <w:r w:rsidRPr="006128F6">
        <w:t xml:space="preserve">Talk to your doctor, pharmacist or nurse before you are given </w:t>
      </w:r>
      <w:r w:rsidR="008E0EE9" w:rsidRPr="006128F6">
        <w:t>KANJINTI</w:t>
      </w:r>
      <w:r w:rsidR="007C2834" w:rsidRPr="006128F6">
        <w:t xml:space="preserve"> </w:t>
      </w:r>
      <w:r w:rsidRPr="006128F6">
        <w:t>if:</w:t>
      </w:r>
    </w:p>
    <w:p w14:paraId="369C0374" w14:textId="77777777" w:rsidR="002B0325" w:rsidRPr="006128F6" w:rsidRDefault="002B0325" w:rsidP="006128F6">
      <w:pPr>
        <w:numPr>
          <w:ilvl w:val="12"/>
          <w:numId w:val="0"/>
        </w:numPr>
        <w:tabs>
          <w:tab w:val="clear" w:pos="567"/>
        </w:tabs>
        <w:spacing w:line="240" w:lineRule="auto"/>
        <w:outlineLvl w:val="0"/>
      </w:pPr>
    </w:p>
    <w:p w14:paraId="1A3D42B9" w14:textId="77777777" w:rsidR="002B0325" w:rsidRPr="006128F6" w:rsidRDefault="002B0325" w:rsidP="006128F6">
      <w:pPr>
        <w:pStyle w:val="ListParagraph"/>
        <w:numPr>
          <w:ilvl w:val="1"/>
          <w:numId w:val="17"/>
        </w:numPr>
        <w:tabs>
          <w:tab w:val="clear" w:pos="567"/>
        </w:tabs>
        <w:spacing w:line="240" w:lineRule="auto"/>
        <w:ind w:left="567" w:hanging="567"/>
        <w:rPr>
          <w:szCs w:val="22"/>
        </w:rPr>
      </w:pPr>
      <w:r w:rsidRPr="006128F6">
        <w:rPr>
          <w:szCs w:val="22"/>
        </w:rPr>
        <w:t>you have had heart failure, coronary artery disease, heart valve disease (heart murmurs), high blood pressure, taken any high blood pressure medicine or are currently taking any high blood pressure medicine.</w:t>
      </w:r>
    </w:p>
    <w:p w14:paraId="3B3574EB" w14:textId="416F74A7" w:rsidR="002B0325" w:rsidRPr="006128F6" w:rsidRDefault="002B0325" w:rsidP="006128F6">
      <w:pPr>
        <w:pStyle w:val="ListParagraph"/>
        <w:numPr>
          <w:ilvl w:val="1"/>
          <w:numId w:val="17"/>
        </w:numPr>
        <w:tabs>
          <w:tab w:val="clear" w:pos="567"/>
        </w:tabs>
        <w:spacing w:line="240" w:lineRule="auto"/>
        <w:ind w:left="567" w:hanging="567"/>
        <w:rPr>
          <w:szCs w:val="22"/>
        </w:rPr>
      </w:pPr>
      <w:r w:rsidRPr="006128F6">
        <w:rPr>
          <w:szCs w:val="22"/>
        </w:rPr>
        <w:t xml:space="preserve">you have ever had or are currently using a medicine called doxorubicin or epirubicin (medicines used to treat cancer). These medicines (or any other anthracyclines) can damage heart muscle and increase the risk of heart problems with </w:t>
      </w:r>
      <w:r w:rsidR="008E0EE9" w:rsidRPr="006128F6">
        <w:rPr>
          <w:szCs w:val="22"/>
        </w:rPr>
        <w:t>KANJINTI</w:t>
      </w:r>
      <w:r w:rsidRPr="006128F6">
        <w:rPr>
          <w:szCs w:val="22"/>
        </w:rPr>
        <w:t>.</w:t>
      </w:r>
    </w:p>
    <w:p w14:paraId="0CD340AD" w14:textId="3AA3BF3A" w:rsidR="002B0325" w:rsidRPr="006128F6" w:rsidRDefault="002B0325" w:rsidP="006128F6">
      <w:pPr>
        <w:pStyle w:val="ListParagraph"/>
        <w:numPr>
          <w:ilvl w:val="1"/>
          <w:numId w:val="17"/>
        </w:numPr>
        <w:tabs>
          <w:tab w:val="clear" w:pos="567"/>
        </w:tabs>
        <w:spacing w:line="240" w:lineRule="auto"/>
        <w:ind w:left="567" w:hanging="567"/>
        <w:rPr>
          <w:szCs w:val="22"/>
        </w:rPr>
      </w:pPr>
      <w:r w:rsidRPr="006128F6">
        <w:rPr>
          <w:szCs w:val="22"/>
        </w:rPr>
        <w:t xml:space="preserve">you suffer from breathlessness, especially if you are currently using a taxane. </w:t>
      </w:r>
      <w:r w:rsidR="008E0EE9" w:rsidRPr="006128F6">
        <w:rPr>
          <w:szCs w:val="22"/>
        </w:rPr>
        <w:t>KANJINTI</w:t>
      </w:r>
      <w:r w:rsidR="007C2834" w:rsidRPr="006128F6">
        <w:rPr>
          <w:szCs w:val="22"/>
        </w:rPr>
        <w:t xml:space="preserve"> </w:t>
      </w:r>
      <w:r w:rsidRPr="006128F6">
        <w:rPr>
          <w:szCs w:val="22"/>
        </w:rPr>
        <w:t xml:space="preserve">can cause breathing difficulties, especially when it is first given. This could be more serious if you are already breathless. Very rarely, patients with severe breathing difficulties before treatment have died when they were given </w:t>
      </w:r>
      <w:r w:rsidR="00810608">
        <w:rPr>
          <w:szCs w:val="22"/>
        </w:rPr>
        <w:t>trastuzumab</w:t>
      </w:r>
      <w:r w:rsidRPr="006128F6">
        <w:rPr>
          <w:szCs w:val="22"/>
        </w:rPr>
        <w:t>.</w:t>
      </w:r>
    </w:p>
    <w:p w14:paraId="1F64F681" w14:textId="77777777" w:rsidR="002B0325" w:rsidRPr="006128F6" w:rsidRDefault="002B0325" w:rsidP="006128F6">
      <w:pPr>
        <w:pStyle w:val="ListParagraph"/>
        <w:numPr>
          <w:ilvl w:val="1"/>
          <w:numId w:val="17"/>
        </w:numPr>
        <w:tabs>
          <w:tab w:val="clear" w:pos="567"/>
        </w:tabs>
        <w:spacing w:line="240" w:lineRule="auto"/>
        <w:ind w:left="567" w:hanging="567"/>
        <w:rPr>
          <w:szCs w:val="22"/>
        </w:rPr>
      </w:pPr>
      <w:r w:rsidRPr="006128F6">
        <w:rPr>
          <w:szCs w:val="22"/>
        </w:rPr>
        <w:t>you have ever had any other treatment for cancer.</w:t>
      </w:r>
    </w:p>
    <w:p w14:paraId="7F517B8A" w14:textId="77777777" w:rsidR="002B0325" w:rsidRPr="006128F6" w:rsidRDefault="002B0325" w:rsidP="006128F6">
      <w:pPr>
        <w:tabs>
          <w:tab w:val="clear" w:pos="567"/>
        </w:tabs>
        <w:spacing w:line="240" w:lineRule="auto"/>
        <w:ind w:right="-2"/>
        <w:rPr>
          <w:szCs w:val="22"/>
        </w:rPr>
      </w:pPr>
    </w:p>
    <w:p w14:paraId="73FD64AD" w14:textId="7EEDD576" w:rsidR="002B0325" w:rsidRPr="006128F6" w:rsidRDefault="002B0325" w:rsidP="006128F6">
      <w:pPr>
        <w:tabs>
          <w:tab w:val="clear" w:pos="567"/>
        </w:tabs>
        <w:spacing w:line="240" w:lineRule="auto"/>
        <w:ind w:right="-2"/>
        <w:rPr>
          <w:szCs w:val="22"/>
        </w:rPr>
      </w:pPr>
      <w:r w:rsidRPr="006128F6">
        <w:rPr>
          <w:szCs w:val="22"/>
        </w:rPr>
        <w:t xml:space="preserve">If you receive </w:t>
      </w:r>
      <w:r w:rsidR="008E0EE9" w:rsidRPr="006128F6">
        <w:rPr>
          <w:szCs w:val="22"/>
        </w:rPr>
        <w:t>KANJINTI</w:t>
      </w:r>
      <w:r w:rsidR="007C2834" w:rsidRPr="006128F6">
        <w:rPr>
          <w:szCs w:val="22"/>
        </w:rPr>
        <w:t xml:space="preserve"> </w:t>
      </w:r>
      <w:r w:rsidRPr="006128F6">
        <w:rPr>
          <w:szCs w:val="22"/>
        </w:rPr>
        <w:t>with any other medicine to treat cancer, such as paclitaxel, docetaxel, an aromatase inhibitor, capecitabine, 5-fluorouracil, or cisplatin you should also read the patient information leaflets for these products.</w:t>
      </w:r>
    </w:p>
    <w:p w14:paraId="5B0C3150" w14:textId="77777777" w:rsidR="002B0325" w:rsidRPr="006128F6" w:rsidRDefault="002B0325" w:rsidP="006128F6">
      <w:pPr>
        <w:numPr>
          <w:ilvl w:val="12"/>
          <w:numId w:val="0"/>
        </w:numPr>
        <w:tabs>
          <w:tab w:val="clear" w:pos="567"/>
        </w:tabs>
        <w:spacing w:line="240" w:lineRule="auto"/>
        <w:outlineLvl w:val="0"/>
        <w:rPr>
          <w:szCs w:val="22"/>
        </w:rPr>
      </w:pPr>
    </w:p>
    <w:p w14:paraId="7DCCBCA0" w14:textId="77777777" w:rsidR="00577F9F" w:rsidRPr="006128F6" w:rsidRDefault="00577F9F" w:rsidP="006128F6">
      <w:pPr>
        <w:numPr>
          <w:ilvl w:val="12"/>
          <w:numId w:val="0"/>
        </w:numPr>
        <w:tabs>
          <w:tab w:val="clear" w:pos="567"/>
        </w:tabs>
        <w:spacing w:line="240" w:lineRule="auto"/>
        <w:rPr>
          <w:b/>
          <w:bCs/>
        </w:rPr>
      </w:pPr>
      <w:r w:rsidRPr="006128F6">
        <w:rPr>
          <w:b/>
          <w:bCs/>
        </w:rPr>
        <w:t>Children and adolescents</w:t>
      </w:r>
    </w:p>
    <w:p w14:paraId="326D3BEA" w14:textId="2B8007A2" w:rsidR="00577F9F" w:rsidRPr="006128F6" w:rsidRDefault="008E0EE9" w:rsidP="006128F6">
      <w:pPr>
        <w:numPr>
          <w:ilvl w:val="12"/>
          <w:numId w:val="0"/>
        </w:numPr>
        <w:tabs>
          <w:tab w:val="clear" w:pos="567"/>
        </w:tabs>
        <w:spacing w:line="240" w:lineRule="auto"/>
        <w:rPr>
          <w:bCs/>
        </w:rPr>
      </w:pPr>
      <w:r w:rsidRPr="006128F6">
        <w:rPr>
          <w:bCs/>
        </w:rPr>
        <w:t>KANJINTI</w:t>
      </w:r>
      <w:r w:rsidR="002B0325" w:rsidRPr="006128F6">
        <w:rPr>
          <w:bCs/>
        </w:rPr>
        <w:t xml:space="preserve"> is not recommended for anyone under the age of 18 years.</w:t>
      </w:r>
    </w:p>
    <w:p w14:paraId="23A0482A" w14:textId="77777777" w:rsidR="002B0325" w:rsidRPr="006128F6" w:rsidRDefault="002B0325" w:rsidP="006128F6">
      <w:pPr>
        <w:numPr>
          <w:ilvl w:val="12"/>
          <w:numId w:val="0"/>
        </w:numPr>
        <w:tabs>
          <w:tab w:val="clear" w:pos="567"/>
        </w:tabs>
        <w:spacing w:line="240" w:lineRule="auto"/>
        <w:ind w:right="-2"/>
        <w:rPr>
          <w:b/>
        </w:rPr>
      </w:pPr>
    </w:p>
    <w:p w14:paraId="56FD4A06" w14:textId="5C62C185" w:rsidR="00577F9F" w:rsidRPr="006128F6" w:rsidRDefault="002B0325" w:rsidP="006128F6">
      <w:pPr>
        <w:numPr>
          <w:ilvl w:val="12"/>
          <w:numId w:val="0"/>
        </w:numPr>
        <w:tabs>
          <w:tab w:val="clear" w:pos="567"/>
        </w:tabs>
        <w:spacing w:line="240" w:lineRule="auto"/>
        <w:ind w:right="-2"/>
      </w:pPr>
      <w:r w:rsidRPr="006128F6">
        <w:rPr>
          <w:b/>
        </w:rPr>
        <w:t xml:space="preserve">Other medicines and </w:t>
      </w:r>
      <w:r w:rsidR="008E0EE9" w:rsidRPr="006128F6">
        <w:rPr>
          <w:b/>
        </w:rPr>
        <w:t>KANJINTI</w:t>
      </w:r>
    </w:p>
    <w:p w14:paraId="4E0DAF0E" w14:textId="77777777" w:rsidR="002B0325" w:rsidRPr="006128F6" w:rsidRDefault="002B0325" w:rsidP="006128F6">
      <w:pPr>
        <w:numPr>
          <w:ilvl w:val="12"/>
          <w:numId w:val="0"/>
        </w:numPr>
        <w:tabs>
          <w:tab w:val="clear" w:pos="567"/>
        </w:tabs>
        <w:spacing w:line="240" w:lineRule="auto"/>
        <w:ind w:right="-2"/>
        <w:rPr>
          <w:szCs w:val="22"/>
        </w:rPr>
      </w:pPr>
      <w:r w:rsidRPr="006128F6">
        <w:rPr>
          <w:szCs w:val="22"/>
        </w:rPr>
        <w:t>Tell your doctor, pharmacist or nurse if you are taking, have recen</w:t>
      </w:r>
      <w:r w:rsidR="00AB2FB3" w:rsidRPr="006128F6">
        <w:rPr>
          <w:szCs w:val="22"/>
        </w:rPr>
        <w:t xml:space="preserve">tly taken or may take any other </w:t>
      </w:r>
      <w:r w:rsidRPr="006128F6">
        <w:rPr>
          <w:szCs w:val="22"/>
        </w:rPr>
        <w:t>medicines.</w:t>
      </w:r>
    </w:p>
    <w:p w14:paraId="7E0194FB" w14:textId="77777777" w:rsidR="00AB2FB3" w:rsidRPr="006128F6" w:rsidRDefault="00AB2FB3" w:rsidP="006128F6">
      <w:pPr>
        <w:numPr>
          <w:ilvl w:val="12"/>
          <w:numId w:val="0"/>
        </w:numPr>
        <w:tabs>
          <w:tab w:val="clear" w:pos="567"/>
        </w:tabs>
        <w:spacing w:line="240" w:lineRule="auto"/>
        <w:ind w:right="-2"/>
        <w:rPr>
          <w:szCs w:val="22"/>
        </w:rPr>
      </w:pPr>
    </w:p>
    <w:p w14:paraId="1DBD6CC7" w14:textId="25535CE8" w:rsidR="00577F9F" w:rsidRPr="006128F6" w:rsidRDefault="002B0325" w:rsidP="006128F6">
      <w:pPr>
        <w:numPr>
          <w:ilvl w:val="12"/>
          <w:numId w:val="0"/>
        </w:numPr>
        <w:tabs>
          <w:tab w:val="clear" w:pos="567"/>
        </w:tabs>
        <w:spacing w:line="240" w:lineRule="auto"/>
        <w:ind w:right="-2"/>
        <w:rPr>
          <w:szCs w:val="22"/>
        </w:rPr>
      </w:pPr>
      <w:r w:rsidRPr="006128F6">
        <w:rPr>
          <w:szCs w:val="22"/>
        </w:rPr>
        <w:t xml:space="preserve">It may take up to 7 months for </w:t>
      </w:r>
      <w:r w:rsidR="001A59DE">
        <w:rPr>
          <w:szCs w:val="22"/>
        </w:rPr>
        <w:t>KANJINTI</w:t>
      </w:r>
      <w:r w:rsidR="007C2834" w:rsidRPr="006128F6">
        <w:rPr>
          <w:szCs w:val="22"/>
        </w:rPr>
        <w:t xml:space="preserve"> </w:t>
      </w:r>
      <w:r w:rsidRPr="006128F6">
        <w:rPr>
          <w:szCs w:val="22"/>
        </w:rPr>
        <w:t>to be removed from the body. Therefore</w:t>
      </w:r>
      <w:r w:rsidR="003F5C29">
        <w:rPr>
          <w:szCs w:val="22"/>
        </w:rPr>
        <w:t>,</w:t>
      </w:r>
      <w:r w:rsidRPr="006128F6">
        <w:rPr>
          <w:szCs w:val="22"/>
        </w:rPr>
        <w:t xml:space="preserve"> you should tell your</w:t>
      </w:r>
      <w:r w:rsidR="00AB2FB3" w:rsidRPr="006128F6">
        <w:rPr>
          <w:szCs w:val="22"/>
        </w:rPr>
        <w:t xml:space="preserve"> </w:t>
      </w:r>
      <w:r w:rsidRPr="006128F6">
        <w:rPr>
          <w:szCs w:val="22"/>
        </w:rPr>
        <w:t xml:space="preserve">doctor, pharmacist or nurse that you have had </w:t>
      </w:r>
      <w:r w:rsidR="00510B30" w:rsidRPr="006128F6">
        <w:rPr>
          <w:szCs w:val="22"/>
        </w:rPr>
        <w:t>KANJINTI</w:t>
      </w:r>
      <w:r w:rsidR="00510B30" w:rsidRPr="006128F6" w:rsidDel="00510B30">
        <w:rPr>
          <w:szCs w:val="22"/>
        </w:rPr>
        <w:t xml:space="preserve"> </w:t>
      </w:r>
      <w:r w:rsidRPr="006128F6">
        <w:rPr>
          <w:szCs w:val="22"/>
        </w:rPr>
        <w:t>if you start any new medicine in the 7 months</w:t>
      </w:r>
      <w:r w:rsidR="00AB2FB3" w:rsidRPr="006128F6">
        <w:rPr>
          <w:szCs w:val="22"/>
        </w:rPr>
        <w:t xml:space="preserve"> </w:t>
      </w:r>
      <w:r w:rsidRPr="006128F6">
        <w:rPr>
          <w:szCs w:val="22"/>
        </w:rPr>
        <w:t>after stopping treatment.</w:t>
      </w:r>
    </w:p>
    <w:p w14:paraId="0702D10F" w14:textId="77777777" w:rsidR="00577F9F" w:rsidRPr="006128F6" w:rsidRDefault="00577F9F" w:rsidP="006128F6">
      <w:pPr>
        <w:numPr>
          <w:ilvl w:val="12"/>
          <w:numId w:val="0"/>
        </w:numPr>
        <w:tabs>
          <w:tab w:val="clear" w:pos="567"/>
        </w:tabs>
        <w:spacing w:line="240" w:lineRule="auto"/>
        <w:ind w:right="-2"/>
        <w:rPr>
          <w:szCs w:val="22"/>
        </w:rPr>
      </w:pPr>
    </w:p>
    <w:p w14:paraId="121AD9DC" w14:textId="77777777" w:rsidR="00577F9F" w:rsidRPr="006128F6" w:rsidRDefault="00577F9F" w:rsidP="006128F6">
      <w:pPr>
        <w:numPr>
          <w:ilvl w:val="12"/>
          <w:numId w:val="0"/>
        </w:numPr>
        <w:tabs>
          <w:tab w:val="clear" w:pos="567"/>
        </w:tabs>
        <w:spacing w:line="240" w:lineRule="auto"/>
        <w:ind w:right="-2"/>
        <w:outlineLvl w:val="0"/>
        <w:rPr>
          <w:b/>
          <w:szCs w:val="22"/>
        </w:rPr>
      </w:pPr>
      <w:r w:rsidRPr="006128F6">
        <w:rPr>
          <w:b/>
          <w:szCs w:val="22"/>
        </w:rPr>
        <w:t>Pregnancy</w:t>
      </w:r>
    </w:p>
    <w:p w14:paraId="2B24833F" w14:textId="77777777" w:rsidR="00AB2FB3" w:rsidRPr="006128F6" w:rsidRDefault="00AB2FB3" w:rsidP="006128F6">
      <w:pPr>
        <w:pStyle w:val="ListParagraph"/>
        <w:numPr>
          <w:ilvl w:val="1"/>
          <w:numId w:val="17"/>
        </w:numPr>
        <w:tabs>
          <w:tab w:val="clear" w:pos="567"/>
        </w:tabs>
        <w:spacing w:line="240" w:lineRule="auto"/>
        <w:ind w:left="567" w:hanging="567"/>
        <w:rPr>
          <w:szCs w:val="22"/>
        </w:rPr>
      </w:pPr>
      <w:r w:rsidRPr="006128F6">
        <w:rPr>
          <w:szCs w:val="22"/>
        </w:rPr>
        <w:t>If you are pregnant, think you may be pregnant or are planning to have a baby, ask your doctor, pharmacist or nurse for advice before taking this medicine.</w:t>
      </w:r>
    </w:p>
    <w:p w14:paraId="32CBD5D0" w14:textId="02B8287E" w:rsidR="00AB2FB3" w:rsidRPr="006128F6" w:rsidRDefault="00AB2FB3" w:rsidP="006128F6">
      <w:pPr>
        <w:pStyle w:val="ListParagraph"/>
        <w:numPr>
          <w:ilvl w:val="1"/>
          <w:numId w:val="17"/>
        </w:numPr>
        <w:tabs>
          <w:tab w:val="clear" w:pos="567"/>
        </w:tabs>
        <w:spacing w:line="240" w:lineRule="auto"/>
        <w:ind w:left="567" w:hanging="567"/>
        <w:rPr>
          <w:szCs w:val="22"/>
        </w:rPr>
      </w:pPr>
      <w:r w:rsidRPr="006128F6">
        <w:rPr>
          <w:szCs w:val="22"/>
        </w:rPr>
        <w:t xml:space="preserve">You should use effective contraception during treatment with </w:t>
      </w:r>
      <w:r w:rsidR="008E0EE9" w:rsidRPr="006128F6">
        <w:rPr>
          <w:szCs w:val="22"/>
        </w:rPr>
        <w:t>KANJINTI</w:t>
      </w:r>
      <w:r w:rsidR="007C2834" w:rsidRPr="006128F6">
        <w:rPr>
          <w:szCs w:val="22"/>
        </w:rPr>
        <w:t xml:space="preserve"> </w:t>
      </w:r>
      <w:r w:rsidRPr="006128F6">
        <w:rPr>
          <w:szCs w:val="22"/>
        </w:rPr>
        <w:t xml:space="preserve">and for at least 7 months after </w:t>
      </w:r>
      <w:r w:rsidR="00510B30" w:rsidRPr="006128F6">
        <w:rPr>
          <w:szCs w:val="22"/>
        </w:rPr>
        <w:t>KANJINTI</w:t>
      </w:r>
      <w:r w:rsidR="00510B30" w:rsidRPr="006128F6" w:rsidDel="00510B30">
        <w:rPr>
          <w:szCs w:val="22"/>
        </w:rPr>
        <w:t xml:space="preserve"> </w:t>
      </w:r>
      <w:r w:rsidRPr="006128F6">
        <w:rPr>
          <w:szCs w:val="22"/>
        </w:rPr>
        <w:t>treatment has ended.</w:t>
      </w:r>
    </w:p>
    <w:p w14:paraId="50D662CE" w14:textId="22532F52" w:rsidR="00577F9F" w:rsidRPr="006128F6" w:rsidRDefault="00AB2FB3" w:rsidP="006128F6">
      <w:pPr>
        <w:pStyle w:val="ListParagraph"/>
        <w:numPr>
          <w:ilvl w:val="1"/>
          <w:numId w:val="17"/>
        </w:numPr>
        <w:tabs>
          <w:tab w:val="clear" w:pos="567"/>
        </w:tabs>
        <w:spacing w:line="240" w:lineRule="auto"/>
        <w:ind w:left="567" w:hanging="567"/>
        <w:rPr>
          <w:szCs w:val="22"/>
        </w:rPr>
      </w:pPr>
      <w:r w:rsidRPr="006128F6">
        <w:rPr>
          <w:szCs w:val="22"/>
        </w:rPr>
        <w:t xml:space="preserve">Your doctor will advise you of the risks and benefits of taking </w:t>
      </w:r>
      <w:r w:rsidR="008E0EE9" w:rsidRPr="006128F6">
        <w:rPr>
          <w:szCs w:val="22"/>
        </w:rPr>
        <w:t>KANJINTI</w:t>
      </w:r>
      <w:r w:rsidR="007C2834" w:rsidRPr="006128F6">
        <w:rPr>
          <w:szCs w:val="22"/>
        </w:rPr>
        <w:t xml:space="preserve"> </w:t>
      </w:r>
      <w:r w:rsidRPr="006128F6">
        <w:rPr>
          <w:szCs w:val="22"/>
        </w:rPr>
        <w:t>during pregnancy. In rare cases, a reduction in the amount of (amniotic) fluid that surrounds the developing baby within the womb has been observed in pregnant women receiving</w:t>
      </w:r>
      <w:r w:rsidR="007C2834" w:rsidRPr="006128F6">
        <w:rPr>
          <w:szCs w:val="22"/>
        </w:rPr>
        <w:t xml:space="preserve"> trastuzumab</w:t>
      </w:r>
      <w:r w:rsidRPr="006128F6">
        <w:rPr>
          <w:szCs w:val="22"/>
        </w:rPr>
        <w:t>. This condition may be harmful to your baby in the womb and has been associated with the lungs not developing fully resulting in foetal death.</w:t>
      </w:r>
    </w:p>
    <w:p w14:paraId="4B99554C" w14:textId="77777777" w:rsidR="00577F9F" w:rsidRPr="006128F6" w:rsidRDefault="00577F9F" w:rsidP="006128F6">
      <w:pPr>
        <w:numPr>
          <w:ilvl w:val="12"/>
          <w:numId w:val="0"/>
        </w:numPr>
        <w:tabs>
          <w:tab w:val="clear" w:pos="567"/>
        </w:tabs>
        <w:spacing w:line="240" w:lineRule="auto"/>
        <w:rPr>
          <w:szCs w:val="22"/>
        </w:rPr>
      </w:pPr>
    </w:p>
    <w:p w14:paraId="546A23FE" w14:textId="77777777" w:rsidR="00653F0C" w:rsidRPr="006128F6" w:rsidRDefault="00653F0C" w:rsidP="006128F6">
      <w:pPr>
        <w:numPr>
          <w:ilvl w:val="12"/>
          <w:numId w:val="0"/>
        </w:numPr>
        <w:tabs>
          <w:tab w:val="clear" w:pos="567"/>
        </w:tabs>
        <w:spacing w:line="240" w:lineRule="auto"/>
        <w:rPr>
          <w:b/>
          <w:szCs w:val="22"/>
        </w:rPr>
      </w:pPr>
      <w:r w:rsidRPr="006128F6">
        <w:rPr>
          <w:b/>
          <w:szCs w:val="22"/>
        </w:rPr>
        <w:t>Breast-feeding</w:t>
      </w:r>
    </w:p>
    <w:p w14:paraId="06F3A9E2" w14:textId="24810F5B" w:rsidR="00653F0C" w:rsidRPr="006128F6" w:rsidRDefault="00653F0C" w:rsidP="006128F6">
      <w:pPr>
        <w:numPr>
          <w:ilvl w:val="12"/>
          <w:numId w:val="0"/>
        </w:numPr>
        <w:tabs>
          <w:tab w:val="clear" w:pos="567"/>
        </w:tabs>
        <w:spacing w:line="240" w:lineRule="auto"/>
        <w:rPr>
          <w:szCs w:val="22"/>
        </w:rPr>
      </w:pPr>
      <w:r w:rsidRPr="006128F6">
        <w:rPr>
          <w:szCs w:val="22"/>
        </w:rPr>
        <w:t xml:space="preserve">Do not breast-feed your baby during </w:t>
      </w:r>
      <w:r w:rsidR="008E0EE9" w:rsidRPr="006128F6">
        <w:rPr>
          <w:szCs w:val="22"/>
        </w:rPr>
        <w:t>KANJINTI</w:t>
      </w:r>
      <w:r w:rsidR="007C2834" w:rsidRPr="006128F6">
        <w:rPr>
          <w:szCs w:val="22"/>
        </w:rPr>
        <w:t xml:space="preserve"> </w:t>
      </w:r>
      <w:r w:rsidRPr="006128F6">
        <w:rPr>
          <w:szCs w:val="22"/>
        </w:rPr>
        <w:t>therapy and for 7 months after the last dose</w:t>
      </w:r>
      <w:r w:rsidR="005B189C">
        <w:rPr>
          <w:szCs w:val="22"/>
        </w:rPr>
        <w:t>,</w:t>
      </w:r>
      <w:r w:rsidRPr="006128F6">
        <w:rPr>
          <w:szCs w:val="22"/>
        </w:rPr>
        <w:t xml:space="preserve"> as </w:t>
      </w:r>
      <w:r w:rsidR="00510B30" w:rsidRPr="006128F6">
        <w:rPr>
          <w:szCs w:val="22"/>
        </w:rPr>
        <w:t>KANJINTI</w:t>
      </w:r>
      <w:r w:rsidR="00510B30" w:rsidRPr="006128F6" w:rsidDel="00510B30">
        <w:rPr>
          <w:szCs w:val="22"/>
        </w:rPr>
        <w:t xml:space="preserve"> </w:t>
      </w:r>
      <w:r w:rsidRPr="006128F6">
        <w:rPr>
          <w:szCs w:val="22"/>
        </w:rPr>
        <w:t>may pass to your baby through your breast milk.</w:t>
      </w:r>
    </w:p>
    <w:p w14:paraId="4CC8F813" w14:textId="77777777" w:rsidR="00653F0C" w:rsidRPr="006128F6" w:rsidRDefault="00653F0C" w:rsidP="006128F6">
      <w:pPr>
        <w:numPr>
          <w:ilvl w:val="12"/>
          <w:numId w:val="0"/>
        </w:numPr>
        <w:tabs>
          <w:tab w:val="clear" w:pos="567"/>
        </w:tabs>
        <w:spacing w:line="240" w:lineRule="auto"/>
        <w:rPr>
          <w:szCs w:val="22"/>
        </w:rPr>
      </w:pPr>
    </w:p>
    <w:p w14:paraId="54E1DADA" w14:textId="77777777" w:rsidR="00653F0C" w:rsidRPr="006128F6" w:rsidRDefault="00653F0C" w:rsidP="006128F6">
      <w:pPr>
        <w:numPr>
          <w:ilvl w:val="12"/>
          <w:numId w:val="0"/>
        </w:numPr>
        <w:tabs>
          <w:tab w:val="clear" w:pos="567"/>
        </w:tabs>
        <w:spacing w:line="240" w:lineRule="auto"/>
        <w:rPr>
          <w:szCs w:val="22"/>
        </w:rPr>
      </w:pPr>
      <w:r w:rsidRPr="006128F6">
        <w:rPr>
          <w:szCs w:val="22"/>
        </w:rPr>
        <w:t>Ask your doctor or pharmacist for advice before taking any medicine.</w:t>
      </w:r>
    </w:p>
    <w:p w14:paraId="7795B0E3" w14:textId="77777777" w:rsidR="00653F0C" w:rsidRPr="006128F6" w:rsidRDefault="00653F0C" w:rsidP="006128F6">
      <w:pPr>
        <w:numPr>
          <w:ilvl w:val="12"/>
          <w:numId w:val="0"/>
        </w:numPr>
        <w:tabs>
          <w:tab w:val="clear" w:pos="567"/>
        </w:tabs>
        <w:spacing w:line="240" w:lineRule="auto"/>
        <w:ind w:right="-2"/>
        <w:outlineLvl w:val="0"/>
        <w:rPr>
          <w:b/>
          <w:szCs w:val="22"/>
        </w:rPr>
      </w:pPr>
    </w:p>
    <w:p w14:paraId="44AFF08C" w14:textId="77777777" w:rsidR="00577F9F" w:rsidRPr="006128F6" w:rsidRDefault="00577F9F" w:rsidP="006128F6">
      <w:pPr>
        <w:keepNext/>
        <w:numPr>
          <w:ilvl w:val="12"/>
          <w:numId w:val="0"/>
        </w:numPr>
        <w:tabs>
          <w:tab w:val="clear" w:pos="567"/>
        </w:tabs>
        <w:spacing w:line="240" w:lineRule="auto"/>
        <w:outlineLvl w:val="0"/>
        <w:rPr>
          <w:szCs w:val="22"/>
        </w:rPr>
      </w:pPr>
      <w:r w:rsidRPr="006128F6">
        <w:rPr>
          <w:b/>
          <w:szCs w:val="22"/>
        </w:rPr>
        <w:t>Driving and using machines</w:t>
      </w:r>
    </w:p>
    <w:p w14:paraId="2CABFCE8" w14:textId="6032EC17" w:rsidR="00577F9F" w:rsidRPr="006128F6" w:rsidRDefault="008E0EE9" w:rsidP="006128F6">
      <w:pPr>
        <w:numPr>
          <w:ilvl w:val="12"/>
          <w:numId w:val="0"/>
        </w:numPr>
        <w:tabs>
          <w:tab w:val="clear" w:pos="567"/>
        </w:tabs>
        <w:spacing w:line="240" w:lineRule="auto"/>
        <w:ind w:right="-2"/>
        <w:rPr>
          <w:szCs w:val="22"/>
        </w:rPr>
      </w:pPr>
      <w:r w:rsidRPr="006128F6">
        <w:rPr>
          <w:szCs w:val="22"/>
        </w:rPr>
        <w:t>KANJINTI</w:t>
      </w:r>
      <w:r w:rsidR="007C2834" w:rsidRPr="006128F6">
        <w:rPr>
          <w:szCs w:val="22"/>
        </w:rPr>
        <w:t xml:space="preserve"> </w:t>
      </w:r>
      <w:r w:rsidR="00D8588A">
        <w:rPr>
          <w:szCs w:val="22"/>
        </w:rPr>
        <w:t>may</w:t>
      </w:r>
      <w:r w:rsidR="00D8588A" w:rsidRPr="006128F6">
        <w:rPr>
          <w:szCs w:val="22"/>
        </w:rPr>
        <w:t xml:space="preserve"> </w:t>
      </w:r>
      <w:r w:rsidR="00A57654" w:rsidRPr="006128F6">
        <w:rPr>
          <w:szCs w:val="22"/>
        </w:rPr>
        <w:t xml:space="preserve">affect your ability to drive a car or </w:t>
      </w:r>
      <w:r w:rsidR="00AF7903">
        <w:rPr>
          <w:szCs w:val="22"/>
        </w:rPr>
        <w:t>use</w:t>
      </w:r>
      <w:r w:rsidR="00AF7903" w:rsidRPr="006128F6">
        <w:rPr>
          <w:szCs w:val="22"/>
        </w:rPr>
        <w:t xml:space="preserve"> </w:t>
      </w:r>
      <w:r w:rsidR="00A57654" w:rsidRPr="006128F6">
        <w:rPr>
          <w:szCs w:val="22"/>
        </w:rPr>
        <w:t xml:space="preserve">machines. </w:t>
      </w:r>
      <w:r w:rsidR="00D8588A">
        <w:rPr>
          <w:szCs w:val="22"/>
        </w:rPr>
        <w:t>I</w:t>
      </w:r>
      <w:r w:rsidR="00A57654" w:rsidRPr="006128F6">
        <w:rPr>
          <w:szCs w:val="22"/>
        </w:rPr>
        <w:t xml:space="preserve">f during treatment you experience symptoms, such as </w:t>
      </w:r>
      <w:r w:rsidR="00236DF3">
        <w:rPr>
          <w:szCs w:val="22"/>
        </w:rPr>
        <w:t xml:space="preserve">dizziness, sleepiness, </w:t>
      </w:r>
      <w:r w:rsidR="00A57654" w:rsidRPr="006128F6">
        <w:rPr>
          <w:szCs w:val="22"/>
        </w:rPr>
        <w:t>chills or fever, you should not drive or use machines until these symptoms disappear.</w:t>
      </w:r>
    </w:p>
    <w:p w14:paraId="5D122626" w14:textId="77777777" w:rsidR="00577F9F" w:rsidRPr="006128F6" w:rsidRDefault="00577F9F" w:rsidP="006128F6">
      <w:pPr>
        <w:numPr>
          <w:ilvl w:val="12"/>
          <w:numId w:val="0"/>
        </w:numPr>
        <w:tabs>
          <w:tab w:val="clear" w:pos="567"/>
        </w:tabs>
        <w:spacing w:line="240" w:lineRule="auto"/>
        <w:ind w:right="-2"/>
        <w:rPr>
          <w:szCs w:val="22"/>
        </w:rPr>
      </w:pPr>
    </w:p>
    <w:p w14:paraId="2EECB2F9" w14:textId="286DA088" w:rsidR="00236DF3" w:rsidRDefault="004E4B56" w:rsidP="005477BB">
      <w:pPr>
        <w:tabs>
          <w:tab w:val="left" w:pos="709"/>
        </w:tabs>
        <w:spacing w:line="240" w:lineRule="auto"/>
      </w:pPr>
      <w:r>
        <w:rPr>
          <w:b/>
        </w:rPr>
        <w:lastRenderedPageBreak/>
        <w:t>S</w:t>
      </w:r>
      <w:r w:rsidR="00236DF3" w:rsidRPr="00F902B4">
        <w:rPr>
          <w:b/>
        </w:rPr>
        <w:t>odium</w:t>
      </w:r>
    </w:p>
    <w:p w14:paraId="499AD8B7" w14:textId="0F34D2C6" w:rsidR="00236DF3" w:rsidRDefault="00BA0830" w:rsidP="005477BB">
      <w:pPr>
        <w:tabs>
          <w:tab w:val="left" w:pos="709"/>
        </w:tabs>
        <w:spacing w:line="240" w:lineRule="auto"/>
        <w:rPr>
          <w:rFonts w:eastAsia="SimSun"/>
        </w:rPr>
      </w:pPr>
      <w:r>
        <w:t xml:space="preserve">This medicine </w:t>
      </w:r>
      <w:r w:rsidR="00236DF3">
        <w:t>contains less than 1 mmol sodium</w:t>
      </w:r>
      <w:r w:rsidR="00BB7A50">
        <w:t xml:space="preserve"> (23</w:t>
      </w:r>
      <w:r w:rsidR="00727CED">
        <w:t> </w:t>
      </w:r>
      <w:r w:rsidR="00BB7A50">
        <w:t>mg)</w:t>
      </w:r>
      <w:r w:rsidR="00236DF3">
        <w:t xml:space="preserve"> per dose, </w:t>
      </w:r>
      <w:r w:rsidR="00BB7A50">
        <w:t xml:space="preserve">that is to say </w:t>
      </w:r>
      <w:r w:rsidR="00236DF3">
        <w:t xml:space="preserve">essentially </w:t>
      </w:r>
      <w:r w:rsidR="00B5281B">
        <w:t>‘</w:t>
      </w:r>
      <w:r w:rsidR="00236DF3">
        <w:t>sodium</w:t>
      </w:r>
      <w:r w:rsidR="00236DF3">
        <w:noBreakHyphen/>
        <w:t>free</w:t>
      </w:r>
      <w:r w:rsidR="00B5281B">
        <w:t>’</w:t>
      </w:r>
      <w:r w:rsidR="00236DF3">
        <w:t>.</w:t>
      </w:r>
    </w:p>
    <w:p w14:paraId="1C4E5FCA" w14:textId="5478D1A6" w:rsidR="00A57654" w:rsidRDefault="00A57654" w:rsidP="006128F6">
      <w:pPr>
        <w:numPr>
          <w:ilvl w:val="12"/>
          <w:numId w:val="0"/>
        </w:numPr>
        <w:tabs>
          <w:tab w:val="clear" w:pos="567"/>
        </w:tabs>
        <w:spacing w:line="240" w:lineRule="auto"/>
        <w:ind w:right="-2"/>
        <w:rPr>
          <w:szCs w:val="22"/>
        </w:rPr>
      </w:pPr>
    </w:p>
    <w:p w14:paraId="3A0FC018" w14:textId="77777777" w:rsidR="00236DF3" w:rsidRPr="006128F6" w:rsidRDefault="00236DF3" w:rsidP="006128F6">
      <w:pPr>
        <w:numPr>
          <w:ilvl w:val="12"/>
          <w:numId w:val="0"/>
        </w:numPr>
        <w:tabs>
          <w:tab w:val="clear" w:pos="567"/>
        </w:tabs>
        <w:spacing w:line="240" w:lineRule="auto"/>
        <w:ind w:right="-2"/>
        <w:rPr>
          <w:szCs w:val="22"/>
        </w:rPr>
      </w:pPr>
    </w:p>
    <w:p w14:paraId="05BD9603" w14:textId="1A1873AF" w:rsidR="00577F9F" w:rsidRPr="006128F6" w:rsidRDefault="00577F9F" w:rsidP="005477BB">
      <w:pPr>
        <w:spacing w:line="240" w:lineRule="auto"/>
        <w:ind w:left="567" w:hanging="567"/>
        <w:rPr>
          <w:b/>
          <w:szCs w:val="22"/>
        </w:rPr>
      </w:pPr>
      <w:r w:rsidRPr="006128F6">
        <w:rPr>
          <w:b/>
          <w:szCs w:val="22"/>
        </w:rPr>
        <w:t>3.</w:t>
      </w:r>
      <w:r w:rsidRPr="006128F6">
        <w:rPr>
          <w:b/>
          <w:szCs w:val="22"/>
        </w:rPr>
        <w:tab/>
        <w:t>H</w:t>
      </w:r>
      <w:r w:rsidRPr="006128F6">
        <w:rPr>
          <w:b/>
        </w:rPr>
        <w:t xml:space="preserve">ow </w:t>
      </w:r>
      <w:r w:rsidR="008E0EE9" w:rsidRPr="006128F6">
        <w:rPr>
          <w:b/>
        </w:rPr>
        <w:t>KANJINTI</w:t>
      </w:r>
      <w:r w:rsidR="00A57654" w:rsidRPr="006128F6">
        <w:rPr>
          <w:b/>
        </w:rPr>
        <w:t xml:space="preserve"> is given</w:t>
      </w:r>
    </w:p>
    <w:p w14:paraId="5530AB75" w14:textId="77777777" w:rsidR="00577F9F" w:rsidRPr="006128F6" w:rsidRDefault="00577F9F" w:rsidP="006128F6">
      <w:pPr>
        <w:numPr>
          <w:ilvl w:val="12"/>
          <w:numId w:val="0"/>
        </w:numPr>
        <w:tabs>
          <w:tab w:val="clear" w:pos="567"/>
        </w:tabs>
        <w:spacing w:line="240" w:lineRule="auto"/>
        <w:ind w:right="-2"/>
        <w:rPr>
          <w:szCs w:val="22"/>
        </w:rPr>
      </w:pPr>
    </w:p>
    <w:p w14:paraId="472E9473" w14:textId="361544C5" w:rsidR="00A57654" w:rsidRPr="006128F6" w:rsidRDefault="00A57654" w:rsidP="006128F6">
      <w:pPr>
        <w:numPr>
          <w:ilvl w:val="12"/>
          <w:numId w:val="0"/>
        </w:numPr>
        <w:tabs>
          <w:tab w:val="clear" w:pos="567"/>
        </w:tabs>
        <w:spacing w:line="240" w:lineRule="auto"/>
        <w:ind w:right="-2"/>
      </w:pPr>
      <w:r w:rsidRPr="006128F6">
        <w:t xml:space="preserve">Before starting the treatment your doctor will determine the amount of HER2 in your tumour. Only patients with a large amount of HER2 will be treated with </w:t>
      </w:r>
      <w:r w:rsidR="008E0EE9" w:rsidRPr="006128F6">
        <w:t>KANJINTI</w:t>
      </w:r>
      <w:r w:rsidRPr="006128F6">
        <w:t xml:space="preserve">. </w:t>
      </w:r>
      <w:r w:rsidR="008E0EE9" w:rsidRPr="006128F6">
        <w:t>KANJINTI</w:t>
      </w:r>
      <w:r w:rsidR="00C81C4D" w:rsidRPr="006128F6">
        <w:t xml:space="preserve"> </w:t>
      </w:r>
      <w:r w:rsidRPr="006128F6">
        <w:t xml:space="preserve">should only be given by a doctor or nurse. Your doctor will prescribe a dose and treatment regimen that is right for you. The dose of </w:t>
      </w:r>
      <w:r w:rsidR="008E0EE9" w:rsidRPr="006128F6">
        <w:t>KANJINTI</w:t>
      </w:r>
      <w:r w:rsidR="00C81C4D" w:rsidRPr="006128F6">
        <w:t xml:space="preserve"> </w:t>
      </w:r>
      <w:r w:rsidRPr="006128F6">
        <w:t>depends on your body weight.</w:t>
      </w:r>
    </w:p>
    <w:p w14:paraId="2F1C2308" w14:textId="77777777" w:rsidR="00D55CB3" w:rsidRDefault="00D55CB3" w:rsidP="006128F6">
      <w:pPr>
        <w:numPr>
          <w:ilvl w:val="12"/>
          <w:numId w:val="0"/>
        </w:numPr>
        <w:tabs>
          <w:tab w:val="clear" w:pos="567"/>
        </w:tabs>
        <w:spacing w:line="240" w:lineRule="auto"/>
        <w:ind w:right="-2"/>
      </w:pPr>
    </w:p>
    <w:p w14:paraId="1FA18D17" w14:textId="25767D03" w:rsidR="00A57654" w:rsidRPr="006128F6" w:rsidRDefault="00A57654" w:rsidP="006128F6">
      <w:pPr>
        <w:numPr>
          <w:ilvl w:val="12"/>
          <w:numId w:val="0"/>
        </w:numPr>
        <w:tabs>
          <w:tab w:val="clear" w:pos="567"/>
        </w:tabs>
        <w:spacing w:line="240" w:lineRule="auto"/>
        <w:ind w:right="-2"/>
      </w:pPr>
      <w:r w:rsidRPr="006128F6">
        <w:t xml:space="preserve">It is important to check the product labels to ensure that the correct formulation is being given as prescribed. </w:t>
      </w:r>
      <w:r w:rsidR="008E0EE9" w:rsidRPr="006128F6">
        <w:t>KANJINTI</w:t>
      </w:r>
      <w:r w:rsidR="00C81C4D" w:rsidRPr="006128F6">
        <w:t xml:space="preserve"> </w:t>
      </w:r>
      <w:r w:rsidRPr="006128F6">
        <w:t>intravenous formulation is not for subcutaneous use and should be given as an intravenous infusion only.</w:t>
      </w:r>
    </w:p>
    <w:p w14:paraId="13AE6607" w14:textId="77777777" w:rsidR="00A57654" w:rsidRPr="006128F6" w:rsidRDefault="00A57654" w:rsidP="006128F6">
      <w:pPr>
        <w:numPr>
          <w:ilvl w:val="12"/>
          <w:numId w:val="0"/>
        </w:numPr>
        <w:tabs>
          <w:tab w:val="clear" w:pos="567"/>
        </w:tabs>
        <w:spacing w:line="240" w:lineRule="auto"/>
        <w:ind w:right="-2"/>
      </w:pPr>
    </w:p>
    <w:p w14:paraId="248CD6A3" w14:textId="0DAA13A4" w:rsidR="00A57654" w:rsidRPr="006128F6" w:rsidRDefault="008E0EE9" w:rsidP="006128F6">
      <w:pPr>
        <w:numPr>
          <w:ilvl w:val="12"/>
          <w:numId w:val="0"/>
        </w:numPr>
        <w:tabs>
          <w:tab w:val="clear" w:pos="567"/>
        </w:tabs>
        <w:spacing w:line="240" w:lineRule="auto"/>
        <w:ind w:right="-2"/>
      </w:pPr>
      <w:r w:rsidRPr="006128F6">
        <w:t>KANJINTI</w:t>
      </w:r>
      <w:r w:rsidR="00A57654" w:rsidRPr="006128F6">
        <w:t xml:space="preserve"> intravenous formulation is given as an intravenous infusion (“drip”) directly into your veins. The first dose of your treatment is given over 90 minutes and you will be observed by a health professional while it is being given in case you have any side effects. If the first dose is well tolerated the next doses may be given over 30 minutes (see section 2 under “Warnings and precautions”). The number of infusions you receive will depend on how you respond to the treatment. Your doctor will discuss this with you.</w:t>
      </w:r>
    </w:p>
    <w:p w14:paraId="4A12F89E" w14:textId="77777777" w:rsidR="00A57654" w:rsidRPr="006128F6" w:rsidRDefault="00A57654" w:rsidP="006128F6">
      <w:pPr>
        <w:numPr>
          <w:ilvl w:val="12"/>
          <w:numId w:val="0"/>
        </w:numPr>
        <w:tabs>
          <w:tab w:val="clear" w:pos="567"/>
        </w:tabs>
        <w:spacing w:line="240" w:lineRule="auto"/>
        <w:ind w:right="-2"/>
      </w:pPr>
    </w:p>
    <w:p w14:paraId="54D8913A" w14:textId="6BDAF75A" w:rsidR="00A57654" w:rsidRPr="006128F6" w:rsidRDefault="00A57654" w:rsidP="006128F6">
      <w:pPr>
        <w:numPr>
          <w:ilvl w:val="12"/>
          <w:numId w:val="0"/>
        </w:numPr>
        <w:tabs>
          <w:tab w:val="clear" w:pos="567"/>
        </w:tabs>
        <w:spacing w:line="240" w:lineRule="auto"/>
        <w:ind w:right="-2"/>
      </w:pPr>
      <w:r w:rsidRPr="006128F6">
        <w:t xml:space="preserve">In order to prevent medication errors it is important to check the vial labels to ensure that the medicine being prepared and given is </w:t>
      </w:r>
      <w:r w:rsidR="008E0EE9" w:rsidRPr="006128F6">
        <w:t>KANJINTI</w:t>
      </w:r>
      <w:r w:rsidR="00C81C4D" w:rsidRPr="006128F6">
        <w:t xml:space="preserve"> </w:t>
      </w:r>
      <w:r w:rsidRPr="006128F6">
        <w:t>(trastuzumab) and not</w:t>
      </w:r>
      <w:r w:rsidR="0049102A">
        <w:t xml:space="preserve"> another</w:t>
      </w:r>
      <w:r w:rsidRPr="006128F6">
        <w:t xml:space="preserve"> trastuzumab</w:t>
      </w:r>
      <w:r w:rsidR="0049102A" w:rsidRPr="00CE427E">
        <w:rPr>
          <w:rFonts w:eastAsia="Calibri"/>
          <w:color w:val="000000"/>
          <w:szCs w:val="22"/>
        </w:rPr>
        <w:t>-containing product (e.g. trastuzumab</w:t>
      </w:r>
      <w:r w:rsidRPr="006128F6">
        <w:t xml:space="preserve"> emtansine</w:t>
      </w:r>
      <w:r w:rsidR="0049102A">
        <w:t xml:space="preserve"> or trastuzumab deruxtecan)</w:t>
      </w:r>
      <w:r w:rsidRPr="006128F6">
        <w:t>.</w:t>
      </w:r>
    </w:p>
    <w:p w14:paraId="2879B3D2" w14:textId="77777777" w:rsidR="00F63E73" w:rsidRPr="00A00EF2" w:rsidRDefault="00F63E73" w:rsidP="00F63E73">
      <w:pPr>
        <w:numPr>
          <w:ilvl w:val="12"/>
          <w:numId w:val="0"/>
        </w:numPr>
        <w:tabs>
          <w:tab w:val="clear" w:pos="567"/>
        </w:tabs>
        <w:spacing w:line="240" w:lineRule="auto"/>
        <w:ind w:right="-2"/>
      </w:pPr>
    </w:p>
    <w:p w14:paraId="60B5DAB1" w14:textId="24BB7697" w:rsidR="00F63E73" w:rsidRPr="00A00EF2" w:rsidRDefault="00F63E73" w:rsidP="00F63E73">
      <w:pPr>
        <w:numPr>
          <w:ilvl w:val="12"/>
          <w:numId w:val="0"/>
        </w:numPr>
        <w:tabs>
          <w:tab w:val="clear" w:pos="567"/>
        </w:tabs>
        <w:spacing w:line="240" w:lineRule="auto"/>
        <w:ind w:right="-2"/>
      </w:pPr>
      <w:r w:rsidRPr="00A00EF2">
        <w:t>For early breast cancer, metastatic breast cancer and metastatic gastric cancer, KANJINTI is given every 3 weeks. KANJINTI may also be given once a week for metastatic breast cancer</w:t>
      </w:r>
      <w:r w:rsidR="001A1EB9">
        <w:t>.</w:t>
      </w:r>
    </w:p>
    <w:p w14:paraId="2058BFDD" w14:textId="77777777" w:rsidR="006B4561" w:rsidRPr="00CE427E" w:rsidRDefault="006B4561" w:rsidP="006B4561">
      <w:pPr>
        <w:keepNext/>
        <w:tabs>
          <w:tab w:val="clear" w:pos="567"/>
        </w:tabs>
        <w:autoSpaceDE w:val="0"/>
        <w:autoSpaceDN w:val="0"/>
        <w:adjustRightInd w:val="0"/>
        <w:spacing w:line="240" w:lineRule="auto"/>
        <w:rPr>
          <w:rFonts w:eastAsia="Calibri"/>
          <w:iCs/>
          <w:color w:val="000000"/>
          <w:szCs w:val="22"/>
          <w:u w:val="single"/>
        </w:rPr>
      </w:pPr>
    </w:p>
    <w:p w14:paraId="73E2887E" w14:textId="7D805688" w:rsidR="00A57654" w:rsidRPr="006128F6" w:rsidRDefault="00A57654" w:rsidP="00395B00">
      <w:pPr>
        <w:keepNext/>
        <w:numPr>
          <w:ilvl w:val="12"/>
          <w:numId w:val="0"/>
        </w:numPr>
        <w:tabs>
          <w:tab w:val="clear" w:pos="567"/>
        </w:tabs>
        <w:spacing w:line="240" w:lineRule="auto"/>
        <w:rPr>
          <w:b/>
        </w:rPr>
      </w:pPr>
      <w:r w:rsidRPr="006128F6">
        <w:rPr>
          <w:b/>
        </w:rPr>
        <w:t xml:space="preserve">If you stop using </w:t>
      </w:r>
      <w:r w:rsidR="008E0EE9" w:rsidRPr="006128F6">
        <w:rPr>
          <w:b/>
        </w:rPr>
        <w:t>KANJINTI</w:t>
      </w:r>
    </w:p>
    <w:p w14:paraId="549B4CF9" w14:textId="77777777" w:rsidR="00A57654" w:rsidRPr="006128F6" w:rsidRDefault="00A57654" w:rsidP="00395B00">
      <w:pPr>
        <w:keepNext/>
        <w:numPr>
          <w:ilvl w:val="12"/>
          <w:numId w:val="0"/>
        </w:numPr>
        <w:tabs>
          <w:tab w:val="clear" w:pos="567"/>
        </w:tabs>
        <w:spacing w:line="240" w:lineRule="auto"/>
      </w:pPr>
      <w:r w:rsidRPr="006128F6">
        <w:t>Do not stop using this medicine without talking to your doctor first. All doses should be taken at the right time every week or every three weeks (depending on your dosing schedule). This helps your medicine work as well as it can.</w:t>
      </w:r>
    </w:p>
    <w:p w14:paraId="64E4C864" w14:textId="77777777" w:rsidR="00A57654" w:rsidRPr="006128F6" w:rsidRDefault="00A57654" w:rsidP="006128F6">
      <w:pPr>
        <w:numPr>
          <w:ilvl w:val="12"/>
          <w:numId w:val="0"/>
        </w:numPr>
        <w:tabs>
          <w:tab w:val="clear" w:pos="567"/>
        </w:tabs>
        <w:spacing w:line="240" w:lineRule="auto"/>
        <w:ind w:right="-2"/>
      </w:pPr>
    </w:p>
    <w:p w14:paraId="37E89FA9" w14:textId="5ECF2C28" w:rsidR="00A57654" w:rsidRPr="006128F6" w:rsidRDefault="00A57654" w:rsidP="006128F6">
      <w:pPr>
        <w:numPr>
          <w:ilvl w:val="12"/>
          <w:numId w:val="0"/>
        </w:numPr>
        <w:tabs>
          <w:tab w:val="clear" w:pos="567"/>
        </w:tabs>
        <w:spacing w:line="240" w:lineRule="auto"/>
        <w:ind w:right="-2"/>
      </w:pPr>
      <w:r w:rsidRPr="006128F6">
        <w:t xml:space="preserve">It may take up to 7 months for </w:t>
      </w:r>
      <w:r w:rsidR="001A59DE">
        <w:t>KANJINTI</w:t>
      </w:r>
      <w:r w:rsidR="00D87BC7" w:rsidRPr="006128F6">
        <w:t xml:space="preserve"> </w:t>
      </w:r>
      <w:r w:rsidRPr="006128F6">
        <w:t>to be removed from your body. Therefore your doctor may decide to continue to check your heart functions, even after you finish treatment.</w:t>
      </w:r>
    </w:p>
    <w:p w14:paraId="7241EF7B" w14:textId="77777777" w:rsidR="00A57654" w:rsidRPr="006128F6" w:rsidRDefault="00A57654" w:rsidP="006128F6">
      <w:pPr>
        <w:numPr>
          <w:ilvl w:val="12"/>
          <w:numId w:val="0"/>
        </w:numPr>
        <w:tabs>
          <w:tab w:val="clear" w:pos="567"/>
        </w:tabs>
        <w:spacing w:line="240" w:lineRule="auto"/>
        <w:ind w:right="-2"/>
      </w:pPr>
    </w:p>
    <w:p w14:paraId="668D40C3" w14:textId="77777777" w:rsidR="00577F9F" w:rsidRPr="006128F6" w:rsidRDefault="00A57654" w:rsidP="006128F6">
      <w:pPr>
        <w:numPr>
          <w:ilvl w:val="12"/>
          <w:numId w:val="0"/>
        </w:numPr>
        <w:tabs>
          <w:tab w:val="clear" w:pos="567"/>
        </w:tabs>
        <w:spacing w:line="240" w:lineRule="auto"/>
        <w:ind w:right="-2"/>
      </w:pPr>
      <w:r w:rsidRPr="006128F6">
        <w:t>If you have any further questions on the use of this medicine, ask your doctor, pharmacist or nurse.</w:t>
      </w:r>
    </w:p>
    <w:p w14:paraId="53FA5513" w14:textId="77777777" w:rsidR="00577F9F" w:rsidRPr="006128F6" w:rsidRDefault="00577F9F" w:rsidP="006128F6">
      <w:pPr>
        <w:numPr>
          <w:ilvl w:val="12"/>
          <w:numId w:val="0"/>
        </w:numPr>
        <w:tabs>
          <w:tab w:val="clear" w:pos="567"/>
        </w:tabs>
        <w:spacing w:line="240" w:lineRule="auto"/>
        <w:ind w:right="-2"/>
      </w:pPr>
    </w:p>
    <w:p w14:paraId="459EAABF" w14:textId="77777777" w:rsidR="00577F9F" w:rsidRPr="006128F6" w:rsidRDefault="00577F9F" w:rsidP="006128F6">
      <w:pPr>
        <w:numPr>
          <w:ilvl w:val="12"/>
          <w:numId w:val="0"/>
        </w:numPr>
        <w:tabs>
          <w:tab w:val="clear" w:pos="567"/>
        </w:tabs>
        <w:spacing w:line="240" w:lineRule="auto"/>
      </w:pPr>
    </w:p>
    <w:p w14:paraId="730929FD" w14:textId="77777777" w:rsidR="00577F9F" w:rsidRPr="006128F6" w:rsidRDefault="00577F9F" w:rsidP="006128F6">
      <w:pPr>
        <w:numPr>
          <w:ilvl w:val="12"/>
          <w:numId w:val="0"/>
        </w:numPr>
        <w:tabs>
          <w:tab w:val="clear" w:pos="567"/>
        </w:tabs>
        <w:spacing w:line="240" w:lineRule="auto"/>
        <w:ind w:left="567" w:right="-2" w:hanging="567"/>
      </w:pPr>
      <w:r w:rsidRPr="006128F6">
        <w:rPr>
          <w:b/>
        </w:rPr>
        <w:t>4.</w:t>
      </w:r>
      <w:r w:rsidRPr="006128F6">
        <w:rPr>
          <w:b/>
        </w:rPr>
        <w:tab/>
        <w:t>Possible side effects</w:t>
      </w:r>
    </w:p>
    <w:p w14:paraId="419CCF7D" w14:textId="77777777" w:rsidR="00577F9F" w:rsidRPr="006128F6" w:rsidRDefault="00577F9F" w:rsidP="006128F6">
      <w:pPr>
        <w:numPr>
          <w:ilvl w:val="12"/>
          <w:numId w:val="0"/>
        </w:numPr>
        <w:tabs>
          <w:tab w:val="clear" w:pos="567"/>
        </w:tabs>
        <w:spacing w:line="240" w:lineRule="auto"/>
      </w:pPr>
    </w:p>
    <w:p w14:paraId="37D0BC90" w14:textId="5CAFC3A5" w:rsidR="00A57654" w:rsidRPr="006128F6" w:rsidRDefault="00577F9F" w:rsidP="006128F6">
      <w:pPr>
        <w:numPr>
          <w:ilvl w:val="12"/>
          <w:numId w:val="0"/>
        </w:numPr>
        <w:tabs>
          <w:tab w:val="clear" w:pos="567"/>
        </w:tabs>
        <w:spacing w:line="240" w:lineRule="auto"/>
        <w:ind w:right="-29"/>
        <w:rPr>
          <w:szCs w:val="22"/>
        </w:rPr>
      </w:pPr>
      <w:r w:rsidRPr="006128F6">
        <w:rPr>
          <w:szCs w:val="22"/>
        </w:rPr>
        <w:t xml:space="preserve">Like all medicines, </w:t>
      </w:r>
      <w:r w:rsidR="008E0EE9" w:rsidRPr="006128F6">
        <w:rPr>
          <w:szCs w:val="22"/>
        </w:rPr>
        <w:t>KANJINTI</w:t>
      </w:r>
      <w:r w:rsidR="00A57654" w:rsidRPr="006128F6">
        <w:rPr>
          <w:szCs w:val="22"/>
        </w:rPr>
        <w:t xml:space="preserve"> </w:t>
      </w:r>
      <w:r w:rsidRPr="006128F6">
        <w:rPr>
          <w:szCs w:val="22"/>
        </w:rPr>
        <w:t>can cause side effects, although not everybody gets them.</w:t>
      </w:r>
      <w:r w:rsidR="00A57654" w:rsidRPr="006128F6">
        <w:rPr>
          <w:szCs w:val="22"/>
        </w:rPr>
        <w:t xml:space="preserve"> Some of these side effects may be serious and may lead to hospitalisation.</w:t>
      </w:r>
    </w:p>
    <w:p w14:paraId="5DDEA518" w14:textId="77777777" w:rsidR="00A57654" w:rsidRPr="006128F6" w:rsidRDefault="00A57654" w:rsidP="006128F6">
      <w:pPr>
        <w:numPr>
          <w:ilvl w:val="12"/>
          <w:numId w:val="0"/>
        </w:numPr>
        <w:tabs>
          <w:tab w:val="clear" w:pos="567"/>
        </w:tabs>
        <w:spacing w:line="240" w:lineRule="auto"/>
        <w:ind w:right="-29"/>
        <w:rPr>
          <w:szCs w:val="22"/>
        </w:rPr>
      </w:pPr>
    </w:p>
    <w:p w14:paraId="4170802E" w14:textId="152455FD" w:rsidR="00A57654" w:rsidRPr="006128F6" w:rsidRDefault="00A57654" w:rsidP="006128F6">
      <w:pPr>
        <w:numPr>
          <w:ilvl w:val="12"/>
          <w:numId w:val="0"/>
        </w:numPr>
        <w:tabs>
          <w:tab w:val="clear" w:pos="567"/>
        </w:tabs>
        <w:spacing w:line="240" w:lineRule="auto"/>
        <w:ind w:right="-29"/>
        <w:rPr>
          <w:szCs w:val="22"/>
        </w:rPr>
      </w:pPr>
      <w:r w:rsidRPr="006128F6">
        <w:rPr>
          <w:szCs w:val="22"/>
        </w:rPr>
        <w:t xml:space="preserve">During a </w:t>
      </w:r>
      <w:r w:rsidR="008E0EE9" w:rsidRPr="006128F6">
        <w:rPr>
          <w:szCs w:val="22"/>
        </w:rPr>
        <w:t>KANJINTI</w:t>
      </w:r>
      <w:r w:rsidR="00D87BC7" w:rsidRPr="006128F6">
        <w:rPr>
          <w:szCs w:val="22"/>
        </w:rPr>
        <w:t xml:space="preserve"> </w:t>
      </w:r>
      <w:r w:rsidRPr="006128F6">
        <w:rPr>
          <w:szCs w:val="22"/>
        </w:rPr>
        <w:t>infusion, chills, fever and other flu like symptoms may occur. These are very common (may affect more than 1 in 10 people). Other infusion-related symptoms are: feeling sick (nausea), vomiting, pain, increased muscle tension and shaking, headache, dizziness, breathing difficulties, high or low blood pressure, heart rhythm disturbances (palpitations, heart fluttering or irregular heart beat), swelling of the face and lips, rash and feeling tired. Some of these symptoms can be serious and some patients have died (see section 2 under “Warnings and precautions”).</w:t>
      </w:r>
    </w:p>
    <w:p w14:paraId="13F24539" w14:textId="77777777" w:rsidR="00A57654" w:rsidRPr="006128F6" w:rsidRDefault="00A57654" w:rsidP="006128F6">
      <w:pPr>
        <w:numPr>
          <w:ilvl w:val="12"/>
          <w:numId w:val="0"/>
        </w:numPr>
        <w:tabs>
          <w:tab w:val="clear" w:pos="567"/>
        </w:tabs>
        <w:spacing w:line="240" w:lineRule="auto"/>
        <w:ind w:right="-29"/>
        <w:rPr>
          <w:szCs w:val="22"/>
        </w:rPr>
      </w:pPr>
    </w:p>
    <w:p w14:paraId="50564D62" w14:textId="77777777" w:rsidR="00A57654" w:rsidRPr="006128F6" w:rsidRDefault="00A57654" w:rsidP="006128F6">
      <w:pPr>
        <w:numPr>
          <w:ilvl w:val="12"/>
          <w:numId w:val="0"/>
        </w:numPr>
        <w:tabs>
          <w:tab w:val="clear" w:pos="567"/>
        </w:tabs>
        <w:spacing w:line="240" w:lineRule="auto"/>
        <w:ind w:right="-29"/>
        <w:rPr>
          <w:szCs w:val="22"/>
        </w:rPr>
      </w:pPr>
      <w:r w:rsidRPr="006128F6">
        <w:rPr>
          <w:szCs w:val="22"/>
        </w:rPr>
        <w:t xml:space="preserve">These effects mainly occur with the first intravenous infusion (“drip” into your vein) and during the first few hours after the start of the infusion. They are usually temporary. You will be observed by a health care professional during the infusion and for at least six hours after the start of the first infusion and for two hours after the start of other infusions. If you develop a reaction, they will slow down or </w:t>
      </w:r>
      <w:r w:rsidRPr="006128F6">
        <w:rPr>
          <w:szCs w:val="22"/>
        </w:rPr>
        <w:lastRenderedPageBreak/>
        <w:t>stop the infusion and may give you treatment to counteract the side effects. The infusion may be continued after the symptoms improve.</w:t>
      </w:r>
    </w:p>
    <w:p w14:paraId="19E392DA" w14:textId="77777777" w:rsidR="00A57654" w:rsidRPr="006128F6" w:rsidRDefault="00A57654" w:rsidP="006128F6">
      <w:pPr>
        <w:numPr>
          <w:ilvl w:val="12"/>
          <w:numId w:val="0"/>
        </w:numPr>
        <w:tabs>
          <w:tab w:val="clear" w:pos="567"/>
        </w:tabs>
        <w:spacing w:line="240" w:lineRule="auto"/>
        <w:ind w:right="-29"/>
        <w:rPr>
          <w:szCs w:val="22"/>
        </w:rPr>
      </w:pPr>
    </w:p>
    <w:p w14:paraId="4A857E66" w14:textId="77777777" w:rsidR="00A57654" w:rsidRPr="006128F6" w:rsidRDefault="00A57654" w:rsidP="006128F6">
      <w:pPr>
        <w:numPr>
          <w:ilvl w:val="12"/>
          <w:numId w:val="0"/>
        </w:numPr>
        <w:tabs>
          <w:tab w:val="clear" w:pos="567"/>
        </w:tabs>
        <w:spacing w:line="240" w:lineRule="auto"/>
        <w:ind w:right="-29"/>
        <w:rPr>
          <w:szCs w:val="22"/>
        </w:rPr>
      </w:pPr>
      <w:r w:rsidRPr="006128F6">
        <w:rPr>
          <w:szCs w:val="22"/>
        </w:rPr>
        <w:t>Occasionally, symptoms start later than six hours after the infusion begins. If this happens to you, contact your doctor immediately. Sometimes, symptoms may improve and then get worse later.</w:t>
      </w:r>
    </w:p>
    <w:p w14:paraId="7E4EFAA6" w14:textId="76C4B5B4" w:rsidR="00A57654" w:rsidRDefault="00A57654" w:rsidP="006128F6">
      <w:pPr>
        <w:numPr>
          <w:ilvl w:val="12"/>
          <w:numId w:val="0"/>
        </w:numPr>
        <w:tabs>
          <w:tab w:val="clear" w:pos="567"/>
        </w:tabs>
        <w:spacing w:line="240" w:lineRule="auto"/>
        <w:ind w:right="-29"/>
        <w:rPr>
          <w:szCs w:val="22"/>
        </w:rPr>
      </w:pPr>
    </w:p>
    <w:p w14:paraId="737BB6C5" w14:textId="50617C96" w:rsidR="006173C1" w:rsidRDefault="006173C1" w:rsidP="006128F6">
      <w:pPr>
        <w:numPr>
          <w:ilvl w:val="12"/>
          <w:numId w:val="0"/>
        </w:numPr>
        <w:tabs>
          <w:tab w:val="clear" w:pos="567"/>
        </w:tabs>
        <w:spacing w:line="240" w:lineRule="auto"/>
        <w:ind w:right="-29"/>
        <w:rPr>
          <w:b/>
          <w:szCs w:val="22"/>
        </w:rPr>
      </w:pPr>
      <w:r w:rsidRPr="00D46C1D">
        <w:rPr>
          <w:b/>
          <w:szCs w:val="22"/>
        </w:rPr>
        <w:t>Serious side effects</w:t>
      </w:r>
    </w:p>
    <w:p w14:paraId="63AD86D8" w14:textId="31EAFBC7" w:rsidR="006173C1" w:rsidRDefault="00A57654" w:rsidP="006128F6">
      <w:pPr>
        <w:numPr>
          <w:ilvl w:val="12"/>
          <w:numId w:val="0"/>
        </w:numPr>
        <w:tabs>
          <w:tab w:val="clear" w:pos="567"/>
        </w:tabs>
        <w:spacing w:line="240" w:lineRule="auto"/>
        <w:ind w:right="-29"/>
        <w:rPr>
          <w:szCs w:val="22"/>
        </w:rPr>
      </w:pPr>
      <w:r w:rsidRPr="006128F6">
        <w:rPr>
          <w:szCs w:val="22"/>
        </w:rPr>
        <w:t xml:space="preserve">Other side effects can occur at any time during treatment with </w:t>
      </w:r>
      <w:r w:rsidR="006173C1">
        <w:rPr>
          <w:szCs w:val="22"/>
        </w:rPr>
        <w:t>trastuzumab</w:t>
      </w:r>
      <w:r w:rsidRPr="006128F6">
        <w:rPr>
          <w:szCs w:val="22"/>
        </w:rPr>
        <w:t xml:space="preserve">, not just related to an infusion. </w:t>
      </w:r>
      <w:r w:rsidR="006173C1" w:rsidRPr="00C25AB7">
        <w:rPr>
          <w:b/>
          <w:szCs w:val="22"/>
        </w:rPr>
        <w:t>Tell a doctor or nurse straight away, if you notice any of the following side effects</w:t>
      </w:r>
      <w:r w:rsidR="006173C1">
        <w:rPr>
          <w:szCs w:val="22"/>
        </w:rPr>
        <w:t>:</w:t>
      </w:r>
    </w:p>
    <w:p w14:paraId="7C358390" w14:textId="77777777" w:rsidR="006173C1" w:rsidRDefault="006173C1" w:rsidP="006128F6">
      <w:pPr>
        <w:numPr>
          <w:ilvl w:val="12"/>
          <w:numId w:val="0"/>
        </w:numPr>
        <w:tabs>
          <w:tab w:val="clear" w:pos="567"/>
        </w:tabs>
        <w:spacing w:line="240" w:lineRule="auto"/>
        <w:ind w:right="-29"/>
        <w:rPr>
          <w:szCs w:val="22"/>
        </w:rPr>
      </w:pPr>
    </w:p>
    <w:p w14:paraId="36F2AC37" w14:textId="741A0194" w:rsidR="00A57654" w:rsidRPr="006173C1" w:rsidRDefault="00A57654" w:rsidP="00726F19">
      <w:pPr>
        <w:pStyle w:val="ListParagraph"/>
        <w:numPr>
          <w:ilvl w:val="0"/>
          <w:numId w:val="27"/>
        </w:numPr>
        <w:tabs>
          <w:tab w:val="clear" w:pos="567"/>
        </w:tabs>
        <w:spacing w:line="240" w:lineRule="auto"/>
        <w:ind w:left="567" w:right="-29" w:hanging="567"/>
        <w:rPr>
          <w:szCs w:val="22"/>
        </w:rPr>
      </w:pPr>
      <w:r w:rsidRPr="006173C1">
        <w:rPr>
          <w:szCs w:val="22"/>
        </w:rPr>
        <w:t>Heart problems can sometimes occur during treatment and occasionally after treatment has stopped and can be serious. They include weakening of the heart muscle possibly leading to heart failure, inflammation of the lining around the heart and heart rhythm disturbances. This can lead to symptoms such as</w:t>
      </w:r>
      <w:r w:rsidR="006173C1">
        <w:rPr>
          <w:szCs w:val="22"/>
        </w:rPr>
        <w:t xml:space="preserve"> </w:t>
      </w:r>
      <w:r w:rsidR="006173C1" w:rsidRPr="006128F6">
        <w:rPr>
          <w:szCs w:val="22"/>
        </w:rPr>
        <w:t>breathlessness (including breathlessness at night),</w:t>
      </w:r>
      <w:r w:rsidR="006173C1">
        <w:rPr>
          <w:szCs w:val="22"/>
        </w:rPr>
        <w:t xml:space="preserve"> </w:t>
      </w:r>
      <w:r w:rsidR="006173C1" w:rsidRPr="006128F6">
        <w:rPr>
          <w:szCs w:val="22"/>
        </w:rPr>
        <w:t>cough,</w:t>
      </w:r>
      <w:r w:rsidR="006173C1">
        <w:rPr>
          <w:szCs w:val="22"/>
        </w:rPr>
        <w:t xml:space="preserve"> </w:t>
      </w:r>
      <w:r w:rsidR="006173C1" w:rsidRPr="006128F6">
        <w:rPr>
          <w:szCs w:val="22"/>
        </w:rPr>
        <w:t>fluid retention (swelling) in the legs or arms,</w:t>
      </w:r>
      <w:r w:rsidR="006173C1">
        <w:rPr>
          <w:szCs w:val="22"/>
        </w:rPr>
        <w:t xml:space="preserve"> </w:t>
      </w:r>
      <w:r w:rsidR="006173C1" w:rsidRPr="006128F6">
        <w:rPr>
          <w:szCs w:val="22"/>
        </w:rPr>
        <w:t>palpitations (heart fluttering or irregular heart beat)</w:t>
      </w:r>
      <w:r w:rsidR="006173C1">
        <w:rPr>
          <w:szCs w:val="22"/>
        </w:rPr>
        <w:t xml:space="preserve"> (see </w:t>
      </w:r>
      <w:r w:rsidR="00236DF3">
        <w:rPr>
          <w:szCs w:val="22"/>
        </w:rPr>
        <w:t xml:space="preserve">section </w:t>
      </w:r>
      <w:r w:rsidR="006173C1">
        <w:rPr>
          <w:szCs w:val="22"/>
        </w:rPr>
        <w:t>2.</w:t>
      </w:r>
      <w:r w:rsidR="00CD5CD3">
        <w:rPr>
          <w:szCs w:val="22"/>
        </w:rPr>
        <w:t> </w:t>
      </w:r>
      <w:r w:rsidR="006173C1">
        <w:rPr>
          <w:szCs w:val="22"/>
        </w:rPr>
        <w:t>Heart checks).</w:t>
      </w:r>
    </w:p>
    <w:p w14:paraId="16C581D7" w14:textId="77777777" w:rsidR="00A57654" w:rsidRPr="006128F6" w:rsidRDefault="00A57654" w:rsidP="006128F6">
      <w:pPr>
        <w:numPr>
          <w:ilvl w:val="12"/>
          <w:numId w:val="0"/>
        </w:numPr>
        <w:tabs>
          <w:tab w:val="clear" w:pos="567"/>
        </w:tabs>
        <w:spacing w:line="240" w:lineRule="auto"/>
        <w:ind w:right="-29"/>
        <w:rPr>
          <w:szCs w:val="22"/>
        </w:rPr>
      </w:pPr>
    </w:p>
    <w:p w14:paraId="2DDEF2AF" w14:textId="2AEF66A1" w:rsidR="00A57654" w:rsidRDefault="00A57654" w:rsidP="006128F6">
      <w:pPr>
        <w:numPr>
          <w:ilvl w:val="12"/>
          <w:numId w:val="0"/>
        </w:numPr>
        <w:tabs>
          <w:tab w:val="clear" w:pos="567"/>
        </w:tabs>
        <w:spacing w:line="240" w:lineRule="auto"/>
        <w:ind w:right="-29"/>
        <w:rPr>
          <w:szCs w:val="22"/>
        </w:rPr>
      </w:pPr>
      <w:r w:rsidRPr="006128F6">
        <w:rPr>
          <w:szCs w:val="22"/>
        </w:rPr>
        <w:t>Your doctor will monitor your heart regularly during and after treatment but you should tell your doctor immediately if you notice any of the above symptoms.</w:t>
      </w:r>
    </w:p>
    <w:p w14:paraId="3D40EA5B" w14:textId="77777777" w:rsidR="006173C1" w:rsidRPr="006128F6" w:rsidRDefault="006173C1" w:rsidP="006128F6">
      <w:pPr>
        <w:numPr>
          <w:ilvl w:val="12"/>
          <w:numId w:val="0"/>
        </w:numPr>
        <w:tabs>
          <w:tab w:val="clear" w:pos="567"/>
        </w:tabs>
        <w:spacing w:line="240" w:lineRule="auto"/>
        <w:ind w:right="-29"/>
        <w:rPr>
          <w:szCs w:val="22"/>
        </w:rPr>
      </w:pPr>
    </w:p>
    <w:p w14:paraId="283109D8" w14:textId="35178A8D" w:rsidR="00267685" w:rsidRPr="00D46C1D" w:rsidRDefault="00CC0D12" w:rsidP="00267685">
      <w:pPr>
        <w:pStyle w:val="ListParagraph"/>
        <w:numPr>
          <w:ilvl w:val="0"/>
          <w:numId w:val="17"/>
        </w:numPr>
        <w:tabs>
          <w:tab w:val="clear" w:pos="567"/>
        </w:tabs>
        <w:spacing w:line="240" w:lineRule="auto"/>
        <w:ind w:left="567" w:right="-29" w:hanging="567"/>
        <w:rPr>
          <w:szCs w:val="22"/>
        </w:rPr>
      </w:pPr>
      <w:r>
        <w:rPr>
          <w:szCs w:val="22"/>
        </w:rPr>
        <w:t>T</w:t>
      </w:r>
      <w:r w:rsidR="00267685" w:rsidRPr="00D46C1D">
        <w:rPr>
          <w:szCs w:val="22"/>
        </w:rPr>
        <w:t>umour lysis syndrome (a group of metabolic complications occurring after cancer treatment characteri</w:t>
      </w:r>
      <w:r w:rsidR="00261EB1">
        <w:rPr>
          <w:szCs w:val="22"/>
        </w:rPr>
        <w:t>s</w:t>
      </w:r>
      <w:r w:rsidR="00267685" w:rsidRPr="00D46C1D">
        <w:rPr>
          <w:szCs w:val="22"/>
        </w:rPr>
        <w:t xml:space="preserve">ed by high blood levels of potassium and phosphate, and low blood levels of calcium). Symptoms may include kidney problems (weakness, shortness of breath, fatigue and confusion), heart problems (fluttering of the heart </w:t>
      </w:r>
      <w:r w:rsidR="00F64BFE">
        <w:rPr>
          <w:szCs w:val="22"/>
        </w:rPr>
        <w:t>or</w:t>
      </w:r>
      <w:r w:rsidR="00267685" w:rsidRPr="00D46C1D">
        <w:rPr>
          <w:szCs w:val="22"/>
        </w:rPr>
        <w:t xml:space="preserve"> a faster or slower heartbeat), seizures, vomiting or diarrhoea and tingling in the mouth, hands or feet</w:t>
      </w:r>
      <w:r w:rsidR="00267685">
        <w:rPr>
          <w:szCs w:val="22"/>
        </w:rPr>
        <w:t>.</w:t>
      </w:r>
    </w:p>
    <w:p w14:paraId="5D10FE29" w14:textId="77777777" w:rsidR="00A57654" w:rsidRPr="006128F6" w:rsidRDefault="00A57654" w:rsidP="006128F6">
      <w:pPr>
        <w:numPr>
          <w:ilvl w:val="12"/>
          <w:numId w:val="0"/>
        </w:numPr>
        <w:tabs>
          <w:tab w:val="clear" w:pos="567"/>
        </w:tabs>
        <w:spacing w:line="240" w:lineRule="auto"/>
        <w:ind w:right="-29"/>
        <w:rPr>
          <w:szCs w:val="22"/>
        </w:rPr>
      </w:pPr>
    </w:p>
    <w:p w14:paraId="6FF35BE2" w14:textId="6B1C63D8" w:rsidR="00A57654" w:rsidRPr="006128F6" w:rsidRDefault="00A57654" w:rsidP="006128F6">
      <w:pPr>
        <w:numPr>
          <w:ilvl w:val="12"/>
          <w:numId w:val="0"/>
        </w:numPr>
        <w:tabs>
          <w:tab w:val="clear" w:pos="567"/>
        </w:tabs>
        <w:spacing w:line="240" w:lineRule="auto"/>
        <w:ind w:right="-29"/>
        <w:rPr>
          <w:szCs w:val="22"/>
        </w:rPr>
      </w:pPr>
      <w:r w:rsidRPr="006128F6">
        <w:rPr>
          <w:szCs w:val="22"/>
        </w:rPr>
        <w:t xml:space="preserve">If you experience any of the above symptoms when your treatment with </w:t>
      </w:r>
      <w:r w:rsidR="008E0EE9" w:rsidRPr="006128F6">
        <w:rPr>
          <w:szCs w:val="22"/>
        </w:rPr>
        <w:t>KANJINTI</w:t>
      </w:r>
      <w:r w:rsidR="00D87BC7" w:rsidRPr="006128F6">
        <w:rPr>
          <w:szCs w:val="22"/>
        </w:rPr>
        <w:t xml:space="preserve"> </w:t>
      </w:r>
      <w:r w:rsidRPr="006128F6">
        <w:rPr>
          <w:szCs w:val="22"/>
        </w:rPr>
        <w:t xml:space="preserve">has finished, you should see your doctor and tell them that you have previously been treated with </w:t>
      </w:r>
      <w:r w:rsidR="00510B30" w:rsidRPr="006128F6">
        <w:rPr>
          <w:szCs w:val="22"/>
        </w:rPr>
        <w:t>KANJINTI</w:t>
      </w:r>
      <w:r w:rsidRPr="006128F6">
        <w:rPr>
          <w:szCs w:val="22"/>
        </w:rPr>
        <w:t>.</w:t>
      </w:r>
    </w:p>
    <w:p w14:paraId="1D433484" w14:textId="77777777" w:rsidR="00D46C1D" w:rsidRPr="006128F6" w:rsidRDefault="00D46C1D" w:rsidP="006128F6">
      <w:pPr>
        <w:numPr>
          <w:ilvl w:val="12"/>
          <w:numId w:val="0"/>
        </w:numPr>
        <w:tabs>
          <w:tab w:val="clear" w:pos="567"/>
        </w:tabs>
        <w:spacing w:line="240" w:lineRule="auto"/>
        <w:ind w:right="-29"/>
        <w:rPr>
          <w:szCs w:val="22"/>
        </w:rPr>
      </w:pPr>
    </w:p>
    <w:p w14:paraId="02FDCC84" w14:textId="7875F0FD" w:rsidR="005B189C" w:rsidRDefault="005B189C" w:rsidP="00D46C1D">
      <w:pPr>
        <w:keepNext/>
        <w:numPr>
          <w:ilvl w:val="12"/>
          <w:numId w:val="0"/>
        </w:numPr>
        <w:tabs>
          <w:tab w:val="clear" w:pos="567"/>
        </w:tabs>
        <w:spacing w:line="240" w:lineRule="auto"/>
        <w:ind w:right="-29"/>
        <w:rPr>
          <w:b/>
          <w:szCs w:val="22"/>
        </w:rPr>
      </w:pPr>
      <w:r>
        <w:rPr>
          <w:b/>
          <w:szCs w:val="22"/>
        </w:rPr>
        <w:t>Other side effects</w:t>
      </w:r>
    </w:p>
    <w:p w14:paraId="5FAB00EF" w14:textId="77777777" w:rsidR="005B189C" w:rsidRDefault="005B189C" w:rsidP="00D46C1D">
      <w:pPr>
        <w:keepNext/>
        <w:numPr>
          <w:ilvl w:val="12"/>
          <w:numId w:val="0"/>
        </w:numPr>
        <w:tabs>
          <w:tab w:val="clear" w:pos="567"/>
        </w:tabs>
        <w:spacing w:line="240" w:lineRule="auto"/>
        <w:ind w:right="-29"/>
        <w:rPr>
          <w:b/>
          <w:szCs w:val="22"/>
        </w:rPr>
      </w:pPr>
    </w:p>
    <w:p w14:paraId="64D620C5" w14:textId="5E3A7094" w:rsidR="00A57654" w:rsidRPr="006128F6" w:rsidRDefault="00A57654" w:rsidP="00D46C1D">
      <w:pPr>
        <w:keepNext/>
        <w:numPr>
          <w:ilvl w:val="12"/>
          <w:numId w:val="0"/>
        </w:numPr>
        <w:tabs>
          <w:tab w:val="clear" w:pos="567"/>
        </w:tabs>
        <w:spacing w:line="240" w:lineRule="auto"/>
        <w:ind w:right="-29"/>
        <w:rPr>
          <w:szCs w:val="22"/>
        </w:rPr>
      </w:pPr>
      <w:r w:rsidRPr="006128F6">
        <w:rPr>
          <w:b/>
          <w:szCs w:val="22"/>
        </w:rPr>
        <w:t>Very common side effects</w:t>
      </w:r>
      <w:r w:rsidRPr="006128F6">
        <w:rPr>
          <w:szCs w:val="22"/>
        </w:rPr>
        <w:t xml:space="preserve"> </w:t>
      </w:r>
      <w:r w:rsidR="00C33F49">
        <w:rPr>
          <w:szCs w:val="22"/>
        </w:rPr>
        <w:t>(</w:t>
      </w:r>
      <w:r w:rsidRPr="006128F6">
        <w:rPr>
          <w:szCs w:val="22"/>
        </w:rPr>
        <w:t>may affect more than 1 in 10 people</w:t>
      </w:r>
      <w:r w:rsidR="00C33F49">
        <w:rPr>
          <w:szCs w:val="22"/>
        </w:rPr>
        <w:t>)</w:t>
      </w:r>
      <w:r w:rsidR="00DB7ABC" w:rsidRPr="006128F6">
        <w:rPr>
          <w:szCs w:val="22"/>
        </w:rPr>
        <w:t>:</w:t>
      </w:r>
    </w:p>
    <w:p w14:paraId="6A816F17" w14:textId="77777777" w:rsidR="00A57654" w:rsidRPr="006128F6" w:rsidRDefault="00A57654" w:rsidP="00D46C1D">
      <w:pPr>
        <w:pStyle w:val="ListParagraph"/>
        <w:keepNext/>
        <w:numPr>
          <w:ilvl w:val="1"/>
          <w:numId w:val="17"/>
        </w:numPr>
        <w:tabs>
          <w:tab w:val="clear" w:pos="567"/>
        </w:tabs>
        <w:spacing w:line="240" w:lineRule="auto"/>
        <w:ind w:left="567" w:hanging="567"/>
        <w:rPr>
          <w:szCs w:val="22"/>
        </w:rPr>
      </w:pPr>
      <w:r w:rsidRPr="006128F6">
        <w:rPr>
          <w:szCs w:val="22"/>
        </w:rPr>
        <w:t>infections</w:t>
      </w:r>
    </w:p>
    <w:p w14:paraId="028FB959" w14:textId="77777777" w:rsidR="00A57654" w:rsidRPr="006128F6" w:rsidRDefault="00A57654" w:rsidP="00D46C1D">
      <w:pPr>
        <w:pStyle w:val="ListParagraph"/>
        <w:keepNext/>
        <w:numPr>
          <w:ilvl w:val="1"/>
          <w:numId w:val="17"/>
        </w:numPr>
        <w:tabs>
          <w:tab w:val="clear" w:pos="567"/>
        </w:tabs>
        <w:spacing w:line="240" w:lineRule="auto"/>
        <w:ind w:left="567" w:hanging="567"/>
        <w:rPr>
          <w:szCs w:val="22"/>
        </w:rPr>
      </w:pPr>
      <w:r w:rsidRPr="006128F6">
        <w:rPr>
          <w:szCs w:val="22"/>
        </w:rPr>
        <w:t>diarrhoea</w:t>
      </w:r>
    </w:p>
    <w:p w14:paraId="5EC645B3" w14:textId="77777777" w:rsidR="00A57654" w:rsidRPr="006128F6" w:rsidRDefault="00A57654" w:rsidP="00D46C1D">
      <w:pPr>
        <w:pStyle w:val="ListParagraph"/>
        <w:keepNext/>
        <w:numPr>
          <w:ilvl w:val="1"/>
          <w:numId w:val="17"/>
        </w:numPr>
        <w:tabs>
          <w:tab w:val="clear" w:pos="567"/>
        </w:tabs>
        <w:spacing w:line="240" w:lineRule="auto"/>
        <w:ind w:left="567" w:hanging="567"/>
        <w:rPr>
          <w:szCs w:val="22"/>
        </w:rPr>
      </w:pPr>
      <w:r w:rsidRPr="006128F6">
        <w:rPr>
          <w:szCs w:val="22"/>
        </w:rPr>
        <w:t>constipation</w:t>
      </w:r>
    </w:p>
    <w:p w14:paraId="776CD0F9" w14:textId="77777777" w:rsidR="00A57654" w:rsidRPr="006128F6" w:rsidRDefault="00A57654" w:rsidP="006128F6">
      <w:pPr>
        <w:pStyle w:val="ListParagraph"/>
        <w:numPr>
          <w:ilvl w:val="1"/>
          <w:numId w:val="17"/>
        </w:numPr>
        <w:tabs>
          <w:tab w:val="clear" w:pos="567"/>
        </w:tabs>
        <w:spacing w:line="240" w:lineRule="auto"/>
        <w:ind w:left="567" w:hanging="567"/>
        <w:rPr>
          <w:szCs w:val="22"/>
        </w:rPr>
      </w:pPr>
      <w:r w:rsidRPr="006128F6">
        <w:rPr>
          <w:szCs w:val="22"/>
        </w:rPr>
        <w:t>heartburn (dyspepsia)</w:t>
      </w:r>
    </w:p>
    <w:p w14:paraId="2499D559" w14:textId="39D56F0E" w:rsidR="00A57654" w:rsidRPr="006128F6" w:rsidRDefault="006173C1" w:rsidP="006128F6">
      <w:pPr>
        <w:pStyle w:val="ListParagraph"/>
        <w:numPr>
          <w:ilvl w:val="1"/>
          <w:numId w:val="17"/>
        </w:numPr>
        <w:tabs>
          <w:tab w:val="clear" w:pos="567"/>
        </w:tabs>
        <w:spacing w:line="240" w:lineRule="auto"/>
        <w:ind w:left="567" w:hanging="567"/>
        <w:rPr>
          <w:szCs w:val="22"/>
        </w:rPr>
      </w:pPr>
      <w:r>
        <w:rPr>
          <w:szCs w:val="22"/>
        </w:rPr>
        <w:t>fatigue</w:t>
      </w:r>
    </w:p>
    <w:p w14:paraId="3C9A7898" w14:textId="77777777" w:rsidR="00A57654" w:rsidRPr="006128F6" w:rsidRDefault="00A57654" w:rsidP="006128F6">
      <w:pPr>
        <w:pStyle w:val="ListParagraph"/>
        <w:numPr>
          <w:ilvl w:val="1"/>
          <w:numId w:val="17"/>
        </w:numPr>
        <w:tabs>
          <w:tab w:val="clear" w:pos="567"/>
        </w:tabs>
        <w:spacing w:line="240" w:lineRule="auto"/>
        <w:ind w:left="567" w:hanging="567"/>
        <w:rPr>
          <w:szCs w:val="22"/>
        </w:rPr>
      </w:pPr>
      <w:r w:rsidRPr="006128F6">
        <w:rPr>
          <w:szCs w:val="22"/>
        </w:rPr>
        <w:t>skin rashes</w:t>
      </w:r>
    </w:p>
    <w:p w14:paraId="0D114114" w14:textId="77777777" w:rsidR="00A57654" w:rsidRPr="006128F6" w:rsidRDefault="00A57654" w:rsidP="006128F6">
      <w:pPr>
        <w:pStyle w:val="ListParagraph"/>
        <w:numPr>
          <w:ilvl w:val="1"/>
          <w:numId w:val="17"/>
        </w:numPr>
        <w:tabs>
          <w:tab w:val="clear" w:pos="567"/>
        </w:tabs>
        <w:spacing w:line="240" w:lineRule="auto"/>
        <w:ind w:left="567" w:hanging="567"/>
        <w:rPr>
          <w:szCs w:val="22"/>
        </w:rPr>
      </w:pPr>
      <w:r w:rsidRPr="006128F6">
        <w:rPr>
          <w:szCs w:val="22"/>
        </w:rPr>
        <w:t>chest pain</w:t>
      </w:r>
    </w:p>
    <w:p w14:paraId="69FA5848" w14:textId="77777777" w:rsidR="00A57654" w:rsidRPr="006128F6" w:rsidRDefault="00A57654" w:rsidP="006128F6">
      <w:pPr>
        <w:pStyle w:val="ListParagraph"/>
        <w:numPr>
          <w:ilvl w:val="1"/>
          <w:numId w:val="17"/>
        </w:numPr>
        <w:tabs>
          <w:tab w:val="clear" w:pos="567"/>
        </w:tabs>
        <w:spacing w:line="240" w:lineRule="auto"/>
        <w:ind w:left="567" w:hanging="567"/>
        <w:rPr>
          <w:szCs w:val="22"/>
        </w:rPr>
      </w:pPr>
      <w:r w:rsidRPr="006128F6">
        <w:rPr>
          <w:szCs w:val="22"/>
        </w:rPr>
        <w:t>abdominal pain</w:t>
      </w:r>
    </w:p>
    <w:p w14:paraId="4419AEF4" w14:textId="77777777" w:rsidR="00A57654" w:rsidRPr="006128F6" w:rsidRDefault="00A57654" w:rsidP="006128F6">
      <w:pPr>
        <w:pStyle w:val="ListParagraph"/>
        <w:numPr>
          <w:ilvl w:val="1"/>
          <w:numId w:val="17"/>
        </w:numPr>
        <w:tabs>
          <w:tab w:val="clear" w:pos="567"/>
        </w:tabs>
        <w:spacing w:line="240" w:lineRule="auto"/>
        <w:ind w:left="567" w:hanging="567"/>
        <w:rPr>
          <w:szCs w:val="22"/>
        </w:rPr>
      </w:pPr>
      <w:r w:rsidRPr="006128F6">
        <w:rPr>
          <w:szCs w:val="22"/>
        </w:rPr>
        <w:t>joint pain</w:t>
      </w:r>
    </w:p>
    <w:p w14:paraId="28599697" w14:textId="77777777" w:rsidR="00A57654" w:rsidRPr="006128F6" w:rsidRDefault="00A57654" w:rsidP="006128F6">
      <w:pPr>
        <w:pStyle w:val="ListParagraph"/>
        <w:numPr>
          <w:ilvl w:val="1"/>
          <w:numId w:val="17"/>
        </w:numPr>
        <w:tabs>
          <w:tab w:val="clear" w:pos="567"/>
        </w:tabs>
        <w:spacing w:line="240" w:lineRule="auto"/>
        <w:ind w:left="567" w:hanging="567"/>
        <w:rPr>
          <w:szCs w:val="22"/>
        </w:rPr>
      </w:pPr>
      <w:r w:rsidRPr="006128F6">
        <w:rPr>
          <w:szCs w:val="22"/>
        </w:rPr>
        <w:t>low counts of red blood cells and white blood cells (which help fight infection) sometimes with fever</w:t>
      </w:r>
    </w:p>
    <w:p w14:paraId="0FF2F16E" w14:textId="77777777" w:rsidR="00A57654" w:rsidRPr="006128F6" w:rsidRDefault="00A57654" w:rsidP="006128F6">
      <w:pPr>
        <w:pStyle w:val="ListParagraph"/>
        <w:numPr>
          <w:ilvl w:val="1"/>
          <w:numId w:val="17"/>
        </w:numPr>
        <w:tabs>
          <w:tab w:val="clear" w:pos="567"/>
        </w:tabs>
        <w:spacing w:line="240" w:lineRule="auto"/>
        <w:ind w:left="567" w:hanging="567"/>
        <w:rPr>
          <w:szCs w:val="22"/>
        </w:rPr>
      </w:pPr>
      <w:r w:rsidRPr="006128F6">
        <w:rPr>
          <w:szCs w:val="22"/>
        </w:rPr>
        <w:t>muscle pain</w:t>
      </w:r>
    </w:p>
    <w:p w14:paraId="7624C2E1" w14:textId="77777777" w:rsidR="00A57654" w:rsidRPr="006128F6" w:rsidRDefault="00A57654" w:rsidP="006128F6">
      <w:pPr>
        <w:pStyle w:val="ListParagraph"/>
        <w:numPr>
          <w:ilvl w:val="1"/>
          <w:numId w:val="17"/>
        </w:numPr>
        <w:tabs>
          <w:tab w:val="clear" w:pos="567"/>
        </w:tabs>
        <w:spacing w:line="240" w:lineRule="auto"/>
        <w:ind w:left="567" w:hanging="567"/>
        <w:rPr>
          <w:szCs w:val="22"/>
        </w:rPr>
      </w:pPr>
      <w:r w:rsidRPr="006128F6">
        <w:rPr>
          <w:szCs w:val="22"/>
        </w:rPr>
        <w:t>conjunctivitis</w:t>
      </w:r>
    </w:p>
    <w:p w14:paraId="7B551B3C" w14:textId="77777777" w:rsidR="00A57654" w:rsidRPr="006128F6" w:rsidRDefault="00A57654" w:rsidP="006128F6">
      <w:pPr>
        <w:pStyle w:val="ListParagraph"/>
        <w:numPr>
          <w:ilvl w:val="1"/>
          <w:numId w:val="17"/>
        </w:numPr>
        <w:tabs>
          <w:tab w:val="clear" w:pos="567"/>
        </w:tabs>
        <w:spacing w:line="240" w:lineRule="auto"/>
        <w:ind w:left="567" w:hanging="567"/>
        <w:rPr>
          <w:szCs w:val="22"/>
        </w:rPr>
      </w:pPr>
      <w:r w:rsidRPr="006128F6">
        <w:rPr>
          <w:szCs w:val="22"/>
        </w:rPr>
        <w:t>watery eyes</w:t>
      </w:r>
    </w:p>
    <w:p w14:paraId="0B02C369" w14:textId="77777777" w:rsidR="00A57654" w:rsidRPr="006128F6" w:rsidRDefault="00A57654" w:rsidP="006128F6">
      <w:pPr>
        <w:pStyle w:val="ListParagraph"/>
        <w:numPr>
          <w:ilvl w:val="1"/>
          <w:numId w:val="17"/>
        </w:numPr>
        <w:tabs>
          <w:tab w:val="clear" w:pos="567"/>
        </w:tabs>
        <w:spacing w:line="240" w:lineRule="auto"/>
        <w:ind w:left="567" w:hanging="567"/>
        <w:rPr>
          <w:szCs w:val="22"/>
        </w:rPr>
      </w:pPr>
      <w:r w:rsidRPr="006128F6">
        <w:rPr>
          <w:szCs w:val="22"/>
        </w:rPr>
        <w:t>nose bleeds</w:t>
      </w:r>
    </w:p>
    <w:p w14:paraId="040F5B4E" w14:textId="77777777" w:rsidR="00A57654" w:rsidRPr="006128F6" w:rsidRDefault="00A57654" w:rsidP="006128F6">
      <w:pPr>
        <w:pStyle w:val="ListParagraph"/>
        <w:numPr>
          <w:ilvl w:val="1"/>
          <w:numId w:val="17"/>
        </w:numPr>
        <w:tabs>
          <w:tab w:val="clear" w:pos="567"/>
        </w:tabs>
        <w:spacing w:line="240" w:lineRule="auto"/>
        <w:ind w:left="567" w:hanging="567"/>
        <w:rPr>
          <w:szCs w:val="22"/>
        </w:rPr>
      </w:pPr>
      <w:r w:rsidRPr="006128F6">
        <w:rPr>
          <w:szCs w:val="22"/>
        </w:rPr>
        <w:t>runny nose</w:t>
      </w:r>
    </w:p>
    <w:p w14:paraId="5C2E6FBD" w14:textId="77777777" w:rsidR="00A57654" w:rsidRPr="006128F6" w:rsidRDefault="00A57654" w:rsidP="006128F6">
      <w:pPr>
        <w:pStyle w:val="ListParagraph"/>
        <w:numPr>
          <w:ilvl w:val="1"/>
          <w:numId w:val="17"/>
        </w:numPr>
        <w:tabs>
          <w:tab w:val="clear" w:pos="567"/>
        </w:tabs>
        <w:spacing w:line="240" w:lineRule="auto"/>
        <w:ind w:left="567" w:hanging="567"/>
        <w:rPr>
          <w:szCs w:val="22"/>
        </w:rPr>
      </w:pPr>
      <w:r w:rsidRPr="006128F6">
        <w:rPr>
          <w:szCs w:val="22"/>
        </w:rPr>
        <w:t>hair loss</w:t>
      </w:r>
    </w:p>
    <w:p w14:paraId="7C818C89" w14:textId="77777777" w:rsidR="00A57654" w:rsidRPr="006128F6" w:rsidRDefault="00A57654" w:rsidP="006128F6">
      <w:pPr>
        <w:pStyle w:val="ListParagraph"/>
        <w:numPr>
          <w:ilvl w:val="1"/>
          <w:numId w:val="17"/>
        </w:numPr>
        <w:tabs>
          <w:tab w:val="clear" w:pos="567"/>
        </w:tabs>
        <w:spacing w:line="240" w:lineRule="auto"/>
        <w:ind w:left="567" w:hanging="567"/>
        <w:rPr>
          <w:szCs w:val="22"/>
        </w:rPr>
      </w:pPr>
      <w:r w:rsidRPr="006128F6">
        <w:rPr>
          <w:szCs w:val="22"/>
        </w:rPr>
        <w:t>tremor</w:t>
      </w:r>
    </w:p>
    <w:p w14:paraId="10F94CAC" w14:textId="77777777" w:rsidR="00A57654" w:rsidRPr="006128F6" w:rsidRDefault="00A57654" w:rsidP="006128F6">
      <w:pPr>
        <w:pStyle w:val="ListParagraph"/>
        <w:numPr>
          <w:ilvl w:val="1"/>
          <w:numId w:val="17"/>
        </w:numPr>
        <w:tabs>
          <w:tab w:val="clear" w:pos="567"/>
        </w:tabs>
        <w:spacing w:line="240" w:lineRule="auto"/>
        <w:ind w:left="567" w:hanging="567"/>
        <w:rPr>
          <w:szCs w:val="22"/>
        </w:rPr>
      </w:pPr>
      <w:r w:rsidRPr="006128F6">
        <w:rPr>
          <w:szCs w:val="22"/>
        </w:rPr>
        <w:t>hot flush</w:t>
      </w:r>
    </w:p>
    <w:p w14:paraId="46FF2159" w14:textId="77777777" w:rsidR="00A57654" w:rsidRPr="006128F6" w:rsidRDefault="00A57654" w:rsidP="006128F6">
      <w:pPr>
        <w:pStyle w:val="ListParagraph"/>
        <w:numPr>
          <w:ilvl w:val="1"/>
          <w:numId w:val="17"/>
        </w:numPr>
        <w:tabs>
          <w:tab w:val="clear" w:pos="567"/>
        </w:tabs>
        <w:spacing w:line="240" w:lineRule="auto"/>
        <w:ind w:left="567" w:hanging="567"/>
        <w:rPr>
          <w:szCs w:val="22"/>
        </w:rPr>
      </w:pPr>
      <w:r w:rsidRPr="006128F6">
        <w:rPr>
          <w:szCs w:val="22"/>
        </w:rPr>
        <w:t>dizziness</w:t>
      </w:r>
    </w:p>
    <w:p w14:paraId="44AF3C62" w14:textId="77777777" w:rsidR="00A57654" w:rsidRPr="006128F6" w:rsidRDefault="00A57654" w:rsidP="006128F6">
      <w:pPr>
        <w:pStyle w:val="ListParagraph"/>
        <w:numPr>
          <w:ilvl w:val="1"/>
          <w:numId w:val="17"/>
        </w:numPr>
        <w:tabs>
          <w:tab w:val="clear" w:pos="567"/>
        </w:tabs>
        <w:spacing w:line="240" w:lineRule="auto"/>
        <w:ind w:left="567" w:hanging="567"/>
        <w:rPr>
          <w:szCs w:val="22"/>
        </w:rPr>
      </w:pPr>
      <w:r w:rsidRPr="006128F6">
        <w:rPr>
          <w:szCs w:val="22"/>
        </w:rPr>
        <w:t>nail disorders</w:t>
      </w:r>
    </w:p>
    <w:p w14:paraId="11AC4868" w14:textId="77777777" w:rsidR="00A57654" w:rsidRPr="006128F6" w:rsidRDefault="00A57654" w:rsidP="006128F6">
      <w:pPr>
        <w:pStyle w:val="ListParagraph"/>
        <w:numPr>
          <w:ilvl w:val="1"/>
          <w:numId w:val="17"/>
        </w:numPr>
        <w:tabs>
          <w:tab w:val="clear" w:pos="567"/>
        </w:tabs>
        <w:spacing w:line="240" w:lineRule="auto"/>
        <w:ind w:left="567" w:hanging="567"/>
        <w:rPr>
          <w:szCs w:val="22"/>
        </w:rPr>
      </w:pPr>
      <w:r w:rsidRPr="006128F6">
        <w:rPr>
          <w:szCs w:val="22"/>
        </w:rPr>
        <w:t>weight loss</w:t>
      </w:r>
    </w:p>
    <w:p w14:paraId="1962783A" w14:textId="77777777" w:rsidR="00577F9F" w:rsidRPr="006128F6" w:rsidRDefault="00A57654" w:rsidP="006128F6">
      <w:pPr>
        <w:pStyle w:val="ListParagraph"/>
        <w:numPr>
          <w:ilvl w:val="1"/>
          <w:numId w:val="17"/>
        </w:numPr>
        <w:tabs>
          <w:tab w:val="clear" w:pos="567"/>
        </w:tabs>
        <w:spacing w:line="240" w:lineRule="auto"/>
        <w:ind w:left="567" w:hanging="567"/>
        <w:rPr>
          <w:szCs w:val="22"/>
        </w:rPr>
      </w:pPr>
      <w:r w:rsidRPr="006128F6">
        <w:rPr>
          <w:szCs w:val="22"/>
        </w:rPr>
        <w:t>loss of appetite</w:t>
      </w:r>
    </w:p>
    <w:p w14:paraId="71AB169E" w14:textId="77777777" w:rsidR="00A57654" w:rsidRPr="006128F6" w:rsidRDefault="00A57654" w:rsidP="006128F6">
      <w:pPr>
        <w:pStyle w:val="ListParagraph"/>
        <w:numPr>
          <w:ilvl w:val="1"/>
          <w:numId w:val="17"/>
        </w:numPr>
        <w:tabs>
          <w:tab w:val="clear" w:pos="567"/>
        </w:tabs>
        <w:spacing w:line="240" w:lineRule="auto"/>
        <w:ind w:left="567" w:hanging="567"/>
        <w:rPr>
          <w:szCs w:val="22"/>
        </w:rPr>
      </w:pPr>
      <w:r w:rsidRPr="006128F6">
        <w:rPr>
          <w:szCs w:val="22"/>
        </w:rPr>
        <w:t>inability to sleep (insomnia)</w:t>
      </w:r>
    </w:p>
    <w:p w14:paraId="4B8FAB87" w14:textId="77777777" w:rsidR="00A57654" w:rsidRPr="006128F6" w:rsidRDefault="00A57654" w:rsidP="006128F6">
      <w:pPr>
        <w:pStyle w:val="ListParagraph"/>
        <w:numPr>
          <w:ilvl w:val="1"/>
          <w:numId w:val="17"/>
        </w:numPr>
        <w:tabs>
          <w:tab w:val="clear" w:pos="567"/>
        </w:tabs>
        <w:spacing w:line="240" w:lineRule="auto"/>
        <w:ind w:left="567" w:hanging="567"/>
        <w:rPr>
          <w:szCs w:val="22"/>
        </w:rPr>
      </w:pPr>
      <w:r w:rsidRPr="006128F6">
        <w:rPr>
          <w:szCs w:val="22"/>
        </w:rPr>
        <w:t>altered taste</w:t>
      </w:r>
    </w:p>
    <w:p w14:paraId="61B424E5" w14:textId="77777777" w:rsidR="00A57654" w:rsidRPr="006128F6" w:rsidRDefault="00A57654" w:rsidP="006128F6">
      <w:pPr>
        <w:pStyle w:val="ListParagraph"/>
        <w:numPr>
          <w:ilvl w:val="1"/>
          <w:numId w:val="17"/>
        </w:numPr>
        <w:tabs>
          <w:tab w:val="clear" w:pos="567"/>
        </w:tabs>
        <w:spacing w:line="240" w:lineRule="auto"/>
        <w:ind w:left="567" w:hanging="567"/>
        <w:rPr>
          <w:szCs w:val="22"/>
        </w:rPr>
      </w:pPr>
      <w:r w:rsidRPr="006128F6">
        <w:rPr>
          <w:szCs w:val="22"/>
        </w:rPr>
        <w:lastRenderedPageBreak/>
        <w:t>low platelet count</w:t>
      </w:r>
    </w:p>
    <w:p w14:paraId="56F850A3" w14:textId="77777777" w:rsidR="00A57654" w:rsidRPr="006128F6" w:rsidRDefault="00A57654" w:rsidP="006128F6">
      <w:pPr>
        <w:pStyle w:val="ListParagraph"/>
        <w:numPr>
          <w:ilvl w:val="1"/>
          <w:numId w:val="17"/>
        </w:numPr>
        <w:tabs>
          <w:tab w:val="clear" w:pos="567"/>
        </w:tabs>
        <w:spacing w:line="240" w:lineRule="auto"/>
        <w:ind w:left="567" w:hanging="567"/>
        <w:rPr>
          <w:szCs w:val="22"/>
        </w:rPr>
      </w:pPr>
      <w:r w:rsidRPr="006128F6">
        <w:rPr>
          <w:szCs w:val="22"/>
        </w:rPr>
        <w:t>bruising</w:t>
      </w:r>
    </w:p>
    <w:p w14:paraId="0F3A6931" w14:textId="54404B87" w:rsidR="00A57654" w:rsidRPr="006128F6" w:rsidRDefault="00A57654" w:rsidP="006128F6">
      <w:pPr>
        <w:pStyle w:val="ListParagraph"/>
        <w:numPr>
          <w:ilvl w:val="1"/>
          <w:numId w:val="17"/>
        </w:numPr>
        <w:tabs>
          <w:tab w:val="clear" w:pos="567"/>
        </w:tabs>
        <w:spacing w:line="240" w:lineRule="auto"/>
        <w:ind w:left="567" w:hanging="567"/>
        <w:rPr>
          <w:szCs w:val="22"/>
        </w:rPr>
      </w:pPr>
      <w:r w:rsidRPr="006128F6">
        <w:rPr>
          <w:szCs w:val="22"/>
        </w:rPr>
        <w:t>numbness or tingling of the fingers and toes</w:t>
      </w:r>
      <w:r w:rsidR="0049102A">
        <w:rPr>
          <w:szCs w:val="22"/>
        </w:rPr>
        <w:t>, which occasionally may extend to the rest of the limb</w:t>
      </w:r>
    </w:p>
    <w:p w14:paraId="4EE22676" w14:textId="77777777" w:rsidR="00A57654" w:rsidRPr="006128F6" w:rsidRDefault="00A57654" w:rsidP="006128F6">
      <w:pPr>
        <w:pStyle w:val="ListParagraph"/>
        <w:numPr>
          <w:ilvl w:val="1"/>
          <w:numId w:val="17"/>
        </w:numPr>
        <w:tabs>
          <w:tab w:val="clear" w:pos="567"/>
        </w:tabs>
        <w:spacing w:line="240" w:lineRule="auto"/>
        <w:ind w:left="567" w:hanging="567"/>
        <w:rPr>
          <w:szCs w:val="22"/>
        </w:rPr>
      </w:pPr>
      <w:r w:rsidRPr="006128F6">
        <w:rPr>
          <w:szCs w:val="22"/>
        </w:rPr>
        <w:t>redness, swelling or sores in your mouth and/or throat</w:t>
      </w:r>
    </w:p>
    <w:p w14:paraId="54EA5668" w14:textId="77777777" w:rsidR="00A57654" w:rsidRPr="006128F6" w:rsidRDefault="00A57654" w:rsidP="006128F6">
      <w:pPr>
        <w:pStyle w:val="ListParagraph"/>
        <w:numPr>
          <w:ilvl w:val="1"/>
          <w:numId w:val="17"/>
        </w:numPr>
        <w:tabs>
          <w:tab w:val="clear" w:pos="567"/>
        </w:tabs>
        <w:spacing w:line="240" w:lineRule="auto"/>
        <w:ind w:left="567" w:hanging="567"/>
        <w:rPr>
          <w:szCs w:val="22"/>
        </w:rPr>
      </w:pPr>
      <w:r w:rsidRPr="006128F6">
        <w:rPr>
          <w:szCs w:val="22"/>
        </w:rPr>
        <w:t>pain, swelling, redness or tingling of hands and/or feet</w:t>
      </w:r>
    </w:p>
    <w:p w14:paraId="3D01AFF2" w14:textId="77777777" w:rsidR="00A57654" w:rsidRPr="006128F6" w:rsidRDefault="00A57654" w:rsidP="006128F6">
      <w:pPr>
        <w:pStyle w:val="ListParagraph"/>
        <w:numPr>
          <w:ilvl w:val="1"/>
          <w:numId w:val="17"/>
        </w:numPr>
        <w:tabs>
          <w:tab w:val="clear" w:pos="567"/>
        </w:tabs>
        <w:spacing w:line="240" w:lineRule="auto"/>
        <w:ind w:left="567" w:hanging="567"/>
        <w:rPr>
          <w:szCs w:val="22"/>
        </w:rPr>
      </w:pPr>
      <w:r w:rsidRPr="006128F6">
        <w:rPr>
          <w:szCs w:val="22"/>
        </w:rPr>
        <w:t>breathlessness</w:t>
      </w:r>
    </w:p>
    <w:p w14:paraId="04C79A6E" w14:textId="77777777" w:rsidR="00A57654" w:rsidRPr="006128F6" w:rsidRDefault="00A57654" w:rsidP="006128F6">
      <w:pPr>
        <w:pStyle w:val="ListParagraph"/>
        <w:numPr>
          <w:ilvl w:val="1"/>
          <w:numId w:val="17"/>
        </w:numPr>
        <w:tabs>
          <w:tab w:val="clear" w:pos="567"/>
        </w:tabs>
        <w:spacing w:line="240" w:lineRule="auto"/>
        <w:ind w:left="567" w:hanging="567"/>
        <w:rPr>
          <w:szCs w:val="22"/>
        </w:rPr>
      </w:pPr>
      <w:r w:rsidRPr="006128F6">
        <w:rPr>
          <w:szCs w:val="22"/>
        </w:rPr>
        <w:t>headache</w:t>
      </w:r>
    </w:p>
    <w:p w14:paraId="787C1452" w14:textId="77777777" w:rsidR="00A57654" w:rsidRPr="006128F6" w:rsidRDefault="00A57654" w:rsidP="006128F6">
      <w:pPr>
        <w:pStyle w:val="ListParagraph"/>
        <w:numPr>
          <w:ilvl w:val="1"/>
          <w:numId w:val="17"/>
        </w:numPr>
        <w:tabs>
          <w:tab w:val="clear" w:pos="567"/>
        </w:tabs>
        <w:spacing w:line="240" w:lineRule="auto"/>
        <w:ind w:left="567" w:hanging="567"/>
        <w:rPr>
          <w:szCs w:val="22"/>
        </w:rPr>
      </w:pPr>
      <w:r w:rsidRPr="006128F6">
        <w:rPr>
          <w:szCs w:val="22"/>
        </w:rPr>
        <w:t>cough</w:t>
      </w:r>
    </w:p>
    <w:p w14:paraId="4B248DFE" w14:textId="77777777" w:rsidR="00A57654" w:rsidRPr="006128F6" w:rsidRDefault="00A57654" w:rsidP="006128F6">
      <w:pPr>
        <w:pStyle w:val="ListParagraph"/>
        <w:numPr>
          <w:ilvl w:val="1"/>
          <w:numId w:val="17"/>
        </w:numPr>
        <w:tabs>
          <w:tab w:val="clear" w:pos="567"/>
        </w:tabs>
        <w:spacing w:line="240" w:lineRule="auto"/>
        <w:ind w:left="567" w:hanging="567"/>
        <w:rPr>
          <w:szCs w:val="22"/>
        </w:rPr>
      </w:pPr>
      <w:r w:rsidRPr="006128F6">
        <w:rPr>
          <w:szCs w:val="22"/>
        </w:rPr>
        <w:t>vomiting</w:t>
      </w:r>
    </w:p>
    <w:p w14:paraId="54681B05" w14:textId="77777777" w:rsidR="00A57654" w:rsidRPr="006128F6" w:rsidRDefault="00A57654" w:rsidP="006128F6">
      <w:pPr>
        <w:pStyle w:val="ListParagraph"/>
        <w:numPr>
          <w:ilvl w:val="1"/>
          <w:numId w:val="17"/>
        </w:numPr>
        <w:tabs>
          <w:tab w:val="clear" w:pos="567"/>
        </w:tabs>
        <w:spacing w:line="240" w:lineRule="auto"/>
        <w:ind w:left="567" w:hanging="567"/>
        <w:rPr>
          <w:szCs w:val="22"/>
        </w:rPr>
      </w:pPr>
      <w:r w:rsidRPr="006128F6">
        <w:rPr>
          <w:szCs w:val="22"/>
        </w:rPr>
        <w:t>nausea</w:t>
      </w:r>
    </w:p>
    <w:p w14:paraId="38E16F2D" w14:textId="77777777" w:rsidR="00A57654" w:rsidRPr="006128F6" w:rsidRDefault="00A57654" w:rsidP="006128F6">
      <w:pPr>
        <w:tabs>
          <w:tab w:val="clear" w:pos="567"/>
        </w:tabs>
        <w:spacing w:line="240" w:lineRule="auto"/>
        <w:ind w:right="-2"/>
        <w:rPr>
          <w:szCs w:val="22"/>
        </w:rPr>
      </w:pPr>
    </w:p>
    <w:p w14:paraId="3B72DB74" w14:textId="2D8EE892" w:rsidR="00A57654" w:rsidRDefault="00A57654" w:rsidP="006128F6">
      <w:pPr>
        <w:tabs>
          <w:tab w:val="clear" w:pos="567"/>
        </w:tabs>
        <w:spacing w:line="240" w:lineRule="auto"/>
        <w:ind w:right="-2"/>
        <w:rPr>
          <w:szCs w:val="22"/>
        </w:rPr>
      </w:pPr>
      <w:r w:rsidRPr="006128F6">
        <w:rPr>
          <w:b/>
          <w:szCs w:val="22"/>
        </w:rPr>
        <w:t>Common side effects</w:t>
      </w:r>
      <w:r w:rsidRPr="006128F6">
        <w:rPr>
          <w:szCs w:val="22"/>
        </w:rPr>
        <w:t xml:space="preserve"> </w:t>
      </w:r>
      <w:r w:rsidR="00C33F49">
        <w:rPr>
          <w:szCs w:val="22"/>
        </w:rPr>
        <w:t>(</w:t>
      </w:r>
      <w:r w:rsidRPr="006128F6">
        <w:rPr>
          <w:szCs w:val="22"/>
        </w:rPr>
        <w:t>may affect up to 1 in 10 people</w:t>
      </w:r>
      <w:r w:rsidR="00C33F49">
        <w:rPr>
          <w:szCs w:val="22"/>
        </w:rPr>
        <w:t>)</w:t>
      </w:r>
      <w:r w:rsidR="00DB7ABC" w:rsidRPr="006128F6">
        <w:rPr>
          <w:szCs w:val="22"/>
        </w:rPr>
        <w:t>:</w:t>
      </w:r>
    </w:p>
    <w:p w14:paraId="4CDCF266" w14:textId="77777777" w:rsidR="003265E6" w:rsidRDefault="003265E6" w:rsidP="003265E6">
      <w:pPr>
        <w:pStyle w:val="ListParagraph"/>
        <w:numPr>
          <w:ilvl w:val="1"/>
          <w:numId w:val="17"/>
        </w:numPr>
        <w:tabs>
          <w:tab w:val="clear" w:pos="567"/>
        </w:tabs>
        <w:spacing w:line="240" w:lineRule="auto"/>
        <w:ind w:left="567" w:hanging="567"/>
        <w:rPr>
          <w:szCs w:val="22"/>
        </w:rPr>
        <w:sectPr w:rsidR="003265E6" w:rsidSect="003E2F73">
          <w:headerReference w:type="default" r:id="rId16"/>
          <w:footerReference w:type="default" r:id="rId17"/>
          <w:footerReference w:type="first" r:id="rId18"/>
          <w:endnotePr>
            <w:numFmt w:val="decimal"/>
          </w:endnotePr>
          <w:pgSz w:w="11907" w:h="16840" w:code="9"/>
          <w:pgMar w:top="1134" w:right="1418" w:bottom="1134" w:left="1418" w:header="737" w:footer="737" w:gutter="0"/>
          <w:cols w:space="720"/>
          <w:docGrid w:linePitch="299"/>
        </w:sectPr>
      </w:pPr>
    </w:p>
    <w:p w14:paraId="7BF88E03" w14:textId="3BA1E50D" w:rsidR="003265E6" w:rsidRPr="006128F6" w:rsidRDefault="003265E6" w:rsidP="003265E6">
      <w:pPr>
        <w:pStyle w:val="ListParagraph"/>
        <w:numPr>
          <w:ilvl w:val="1"/>
          <w:numId w:val="17"/>
        </w:numPr>
        <w:tabs>
          <w:tab w:val="clear" w:pos="567"/>
        </w:tabs>
        <w:spacing w:line="240" w:lineRule="auto"/>
        <w:ind w:left="567" w:hanging="567"/>
        <w:rPr>
          <w:szCs w:val="22"/>
        </w:rPr>
      </w:pPr>
      <w:r w:rsidRPr="006128F6">
        <w:rPr>
          <w:szCs w:val="22"/>
        </w:rPr>
        <w:t>allergic reactions</w:t>
      </w:r>
    </w:p>
    <w:p w14:paraId="096D0181" w14:textId="77777777" w:rsidR="003265E6" w:rsidRPr="006128F6" w:rsidRDefault="003265E6" w:rsidP="003265E6">
      <w:pPr>
        <w:pStyle w:val="ListParagraph"/>
        <w:numPr>
          <w:ilvl w:val="1"/>
          <w:numId w:val="17"/>
        </w:numPr>
        <w:tabs>
          <w:tab w:val="clear" w:pos="567"/>
        </w:tabs>
        <w:spacing w:line="240" w:lineRule="auto"/>
        <w:ind w:left="567" w:hanging="567"/>
        <w:rPr>
          <w:szCs w:val="22"/>
        </w:rPr>
      </w:pPr>
      <w:r w:rsidRPr="006128F6">
        <w:rPr>
          <w:szCs w:val="22"/>
        </w:rPr>
        <w:t>throat infections</w:t>
      </w:r>
    </w:p>
    <w:p w14:paraId="35DF6172" w14:textId="77777777" w:rsidR="003265E6" w:rsidRPr="006128F6" w:rsidRDefault="003265E6" w:rsidP="003265E6">
      <w:pPr>
        <w:pStyle w:val="ListParagraph"/>
        <w:numPr>
          <w:ilvl w:val="1"/>
          <w:numId w:val="17"/>
        </w:numPr>
        <w:tabs>
          <w:tab w:val="clear" w:pos="567"/>
        </w:tabs>
        <w:spacing w:line="240" w:lineRule="auto"/>
        <w:ind w:left="567" w:hanging="567"/>
        <w:rPr>
          <w:szCs w:val="22"/>
        </w:rPr>
      </w:pPr>
      <w:r w:rsidRPr="006128F6">
        <w:rPr>
          <w:szCs w:val="22"/>
        </w:rPr>
        <w:t xml:space="preserve">bladder and skin infections </w:t>
      </w:r>
    </w:p>
    <w:p w14:paraId="78A7D6DD" w14:textId="77777777" w:rsidR="003265E6" w:rsidRPr="003265E6" w:rsidRDefault="003265E6" w:rsidP="003265E6">
      <w:pPr>
        <w:pStyle w:val="ListParagraph"/>
        <w:numPr>
          <w:ilvl w:val="1"/>
          <w:numId w:val="17"/>
        </w:numPr>
        <w:tabs>
          <w:tab w:val="clear" w:pos="567"/>
        </w:tabs>
        <w:spacing w:line="240" w:lineRule="auto"/>
        <w:ind w:left="567" w:hanging="567"/>
        <w:rPr>
          <w:szCs w:val="22"/>
        </w:rPr>
      </w:pPr>
      <w:r w:rsidRPr="003265E6">
        <w:rPr>
          <w:szCs w:val="22"/>
        </w:rPr>
        <w:t>inflammation of the breast</w:t>
      </w:r>
    </w:p>
    <w:p w14:paraId="59EAE3C1" w14:textId="77777777" w:rsidR="003265E6" w:rsidRPr="006128F6" w:rsidRDefault="003265E6" w:rsidP="003265E6">
      <w:pPr>
        <w:pStyle w:val="ListParagraph"/>
        <w:numPr>
          <w:ilvl w:val="1"/>
          <w:numId w:val="17"/>
        </w:numPr>
        <w:tabs>
          <w:tab w:val="clear" w:pos="567"/>
        </w:tabs>
        <w:spacing w:line="240" w:lineRule="auto"/>
        <w:ind w:left="567" w:hanging="567"/>
        <w:rPr>
          <w:szCs w:val="22"/>
        </w:rPr>
      </w:pPr>
      <w:r w:rsidRPr="006128F6">
        <w:rPr>
          <w:szCs w:val="22"/>
        </w:rPr>
        <w:t>inflammation o</w:t>
      </w:r>
      <w:r>
        <w:rPr>
          <w:szCs w:val="22"/>
        </w:rPr>
        <w:t>f</w:t>
      </w:r>
      <w:r w:rsidRPr="006128F6">
        <w:rPr>
          <w:szCs w:val="22"/>
        </w:rPr>
        <w:t xml:space="preserve"> </w:t>
      </w:r>
      <w:r>
        <w:rPr>
          <w:szCs w:val="22"/>
        </w:rPr>
        <w:t xml:space="preserve">the </w:t>
      </w:r>
      <w:r w:rsidRPr="006128F6">
        <w:rPr>
          <w:szCs w:val="22"/>
        </w:rPr>
        <w:t>liver</w:t>
      </w:r>
    </w:p>
    <w:p w14:paraId="23304C8A" w14:textId="77777777" w:rsidR="003265E6" w:rsidRPr="006128F6" w:rsidRDefault="003265E6" w:rsidP="003265E6">
      <w:pPr>
        <w:pStyle w:val="ListParagraph"/>
        <w:numPr>
          <w:ilvl w:val="1"/>
          <w:numId w:val="17"/>
        </w:numPr>
        <w:tabs>
          <w:tab w:val="clear" w:pos="567"/>
        </w:tabs>
        <w:spacing w:line="240" w:lineRule="auto"/>
        <w:ind w:left="567" w:hanging="567"/>
        <w:rPr>
          <w:szCs w:val="22"/>
        </w:rPr>
      </w:pPr>
      <w:r w:rsidRPr="006128F6">
        <w:rPr>
          <w:szCs w:val="22"/>
        </w:rPr>
        <w:t>kidney disorders</w:t>
      </w:r>
    </w:p>
    <w:p w14:paraId="0EF5136A" w14:textId="77777777" w:rsidR="003265E6" w:rsidRPr="006128F6" w:rsidRDefault="003265E6" w:rsidP="003265E6">
      <w:pPr>
        <w:pStyle w:val="ListParagraph"/>
        <w:numPr>
          <w:ilvl w:val="1"/>
          <w:numId w:val="17"/>
        </w:numPr>
        <w:tabs>
          <w:tab w:val="clear" w:pos="567"/>
        </w:tabs>
        <w:spacing w:line="240" w:lineRule="auto"/>
        <w:ind w:left="567" w:hanging="567"/>
        <w:rPr>
          <w:szCs w:val="22"/>
        </w:rPr>
      </w:pPr>
      <w:r w:rsidRPr="006128F6">
        <w:rPr>
          <w:szCs w:val="22"/>
        </w:rPr>
        <w:t>increased muscle tone or tension</w:t>
      </w:r>
    </w:p>
    <w:p w14:paraId="6AF695B5" w14:textId="34484080" w:rsidR="003265E6" w:rsidRPr="006128F6" w:rsidRDefault="003265E6" w:rsidP="009D6067">
      <w:pPr>
        <w:pStyle w:val="ListParagraph"/>
        <w:tabs>
          <w:tab w:val="clear" w:pos="567"/>
        </w:tabs>
        <w:spacing w:line="240" w:lineRule="auto"/>
        <w:ind w:left="1134" w:hanging="567"/>
        <w:rPr>
          <w:szCs w:val="22"/>
        </w:rPr>
      </w:pPr>
      <w:r w:rsidRPr="006128F6">
        <w:rPr>
          <w:szCs w:val="22"/>
        </w:rPr>
        <w:t>(hypertonia)</w:t>
      </w:r>
    </w:p>
    <w:p w14:paraId="10DA368B" w14:textId="77777777" w:rsidR="003265E6" w:rsidRPr="006128F6" w:rsidRDefault="003265E6" w:rsidP="003265E6">
      <w:pPr>
        <w:pStyle w:val="ListParagraph"/>
        <w:numPr>
          <w:ilvl w:val="1"/>
          <w:numId w:val="17"/>
        </w:numPr>
        <w:tabs>
          <w:tab w:val="clear" w:pos="567"/>
        </w:tabs>
        <w:spacing w:line="240" w:lineRule="auto"/>
        <w:ind w:left="567" w:hanging="567"/>
        <w:rPr>
          <w:szCs w:val="22"/>
        </w:rPr>
      </w:pPr>
      <w:r w:rsidRPr="006128F6">
        <w:rPr>
          <w:szCs w:val="22"/>
        </w:rPr>
        <w:t>pain in the arms and/or legs</w:t>
      </w:r>
    </w:p>
    <w:p w14:paraId="1E6B3AA8" w14:textId="77777777" w:rsidR="003265E6" w:rsidRPr="006128F6" w:rsidRDefault="003265E6" w:rsidP="003265E6">
      <w:pPr>
        <w:pStyle w:val="ListParagraph"/>
        <w:numPr>
          <w:ilvl w:val="1"/>
          <w:numId w:val="17"/>
        </w:numPr>
        <w:tabs>
          <w:tab w:val="clear" w:pos="567"/>
        </w:tabs>
        <w:spacing w:line="240" w:lineRule="auto"/>
        <w:ind w:left="567" w:hanging="567"/>
        <w:rPr>
          <w:szCs w:val="22"/>
        </w:rPr>
      </w:pPr>
      <w:r w:rsidRPr="006128F6">
        <w:rPr>
          <w:szCs w:val="22"/>
        </w:rPr>
        <w:t>itchy rash</w:t>
      </w:r>
    </w:p>
    <w:p w14:paraId="12B5EF70" w14:textId="77777777" w:rsidR="003265E6" w:rsidRPr="006128F6" w:rsidRDefault="003265E6" w:rsidP="003265E6">
      <w:pPr>
        <w:pStyle w:val="ListParagraph"/>
        <w:numPr>
          <w:ilvl w:val="1"/>
          <w:numId w:val="17"/>
        </w:numPr>
        <w:tabs>
          <w:tab w:val="clear" w:pos="567"/>
        </w:tabs>
        <w:spacing w:line="240" w:lineRule="auto"/>
        <w:ind w:left="567" w:hanging="567"/>
        <w:rPr>
          <w:szCs w:val="22"/>
        </w:rPr>
      </w:pPr>
      <w:r w:rsidRPr="006128F6">
        <w:rPr>
          <w:szCs w:val="22"/>
        </w:rPr>
        <w:t>sleepiness (somnolence)</w:t>
      </w:r>
    </w:p>
    <w:p w14:paraId="68AF5C33" w14:textId="77777777" w:rsidR="003265E6" w:rsidRPr="006128F6" w:rsidRDefault="003265E6" w:rsidP="003265E6">
      <w:pPr>
        <w:pStyle w:val="ListParagraph"/>
        <w:numPr>
          <w:ilvl w:val="1"/>
          <w:numId w:val="17"/>
        </w:numPr>
        <w:tabs>
          <w:tab w:val="clear" w:pos="567"/>
        </w:tabs>
        <w:spacing w:line="240" w:lineRule="auto"/>
        <w:ind w:left="567" w:hanging="567"/>
        <w:rPr>
          <w:szCs w:val="22"/>
        </w:rPr>
      </w:pPr>
      <w:r w:rsidRPr="006128F6">
        <w:rPr>
          <w:szCs w:val="22"/>
        </w:rPr>
        <w:t>haemorrhoids</w:t>
      </w:r>
    </w:p>
    <w:p w14:paraId="5E7CFCBC" w14:textId="4EDC0133" w:rsidR="003265E6" w:rsidRDefault="003265E6" w:rsidP="003265E6">
      <w:pPr>
        <w:pStyle w:val="ListParagraph"/>
        <w:numPr>
          <w:ilvl w:val="1"/>
          <w:numId w:val="17"/>
        </w:numPr>
        <w:tabs>
          <w:tab w:val="clear" w:pos="567"/>
        </w:tabs>
        <w:spacing w:line="240" w:lineRule="auto"/>
        <w:ind w:left="567" w:hanging="567"/>
        <w:rPr>
          <w:szCs w:val="22"/>
        </w:rPr>
      </w:pPr>
      <w:r w:rsidRPr="006128F6">
        <w:rPr>
          <w:szCs w:val="22"/>
        </w:rPr>
        <w:t>itchiness</w:t>
      </w:r>
    </w:p>
    <w:p w14:paraId="6D1B494E" w14:textId="14838243" w:rsidR="003265E6" w:rsidRPr="006128F6" w:rsidRDefault="003265E6" w:rsidP="003265E6">
      <w:pPr>
        <w:pStyle w:val="ListParagraph"/>
        <w:numPr>
          <w:ilvl w:val="1"/>
          <w:numId w:val="17"/>
        </w:numPr>
        <w:tabs>
          <w:tab w:val="clear" w:pos="567"/>
        </w:tabs>
        <w:spacing w:line="240" w:lineRule="auto"/>
        <w:ind w:left="588" w:hanging="588"/>
        <w:rPr>
          <w:szCs w:val="22"/>
        </w:rPr>
      </w:pPr>
      <w:r>
        <w:rPr>
          <w:szCs w:val="22"/>
        </w:rPr>
        <w:br w:type="column"/>
      </w:r>
      <w:r w:rsidRPr="006128F6">
        <w:rPr>
          <w:szCs w:val="22"/>
        </w:rPr>
        <w:t xml:space="preserve">dry mouth and skin </w:t>
      </w:r>
    </w:p>
    <w:p w14:paraId="4AD81F49" w14:textId="77777777" w:rsidR="003265E6" w:rsidRPr="006128F6" w:rsidRDefault="003265E6" w:rsidP="003265E6">
      <w:pPr>
        <w:pStyle w:val="ListParagraph"/>
        <w:numPr>
          <w:ilvl w:val="1"/>
          <w:numId w:val="17"/>
        </w:numPr>
        <w:tabs>
          <w:tab w:val="clear" w:pos="567"/>
        </w:tabs>
        <w:spacing w:line="240" w:lineRule="auto"/>
        <w:ind w:left="588" w:hanging="588"/>
        <w:rPr>
          <w:szCs w:val="22"/>
        </w:rPr>
      </w:pPr>
      <w:r w:rsidRPr="006128F6">
        <w:rPr>
          <w:szCs w:val="22"/>
        </w:rPr>
        <w:t>dry eyes</w:t>
      </w:r>
    </w:p>
    <w:p w14:paraId="6035075D" w14:textId="77777777" w:rsidR="003265E6" w:rsidRPr="006128F6" w:rsidRDefault="003265E6" w:rsidP="003265E6">
      <w:pPr>
        <w:pStyle w:val="ListParagraph"/>
        <w:numPr>
          <w:ilvl w:val="1"/>
          <w:numId w:val="17"/>
        </w:numPr>
        <w:tabs>
          <w:tab w:val="clear" w:pos="567"/>
        </w:tabs>
        <w:spacing w:line="240" w:lineRule="auto"/>
        <w:ind w:left="588" w:hanging="588"/>
        <w:rPr>
          <w:szCs w:val="22"/>
        </w:rPr>
      </w:pPr>
      <w:r w:rsidRPr="006128F6">
        <w:rPr>
          <w:szCs w:val="22"/>
        </w:rPr>
        <w:t>sweating</w:t>
      </w:r>
    </w:p>
    <w:p w14:paraId="6D685E70" w14:textId="77777777" w:rsidR="003265E6" w:rsidRPr="006128F6" w:rsidRDefault="003265E6" w:rsidP="003265E6">
      <w:pPr>
        <w:pStyle w:val="ListParagraph"/>
        <w:numPr>
          <w:ilvl w:val="1"/>
          <w:numId w:val="17"/>
        </w:numPr>
        <w:tabs>
          <w:tab w:val="clear" w:pos="567"/>
        </w:tabs>
        <w:spacing w:line="240" w:lineRule="auto"/>
        <w:ind w:left="588" w:hanging="588"/>
        <w:rPr>
          <w:szCs w:val="22"/>
        </w:rPr>
      </w:pPr>
      <w:r w:rsidRPr="006128F6">
        <w:rPr>
          <w:szCs w:val="22"/>
        </w:rPr>
        <w:t>feeling weak and unwell</w:t>
      </w:r>
    </w:p>
    <w:p w14:paraId="57FBDEDB" w14:textId="77777777" w:rsidR="003265E6" w:rsidRPr="006128F6" w:rsidRDefault="003265E6" w:rsidP="003265E6">
      <w:pPr>
        <w:pStyle w:val="ListParagraph"/>
        <w:numPr>
          <w:ilvl w:val="1"/>
          <w:numId w:val="17"/>
        </w:numPr>
        <w:tabs>
          <w:tab w:val="clear" w:pos="567"/>
        </w:tabs>
        <w:spacing w:line="240" w:lineRule="auto"/>
        <w:ind w:left="588" w:hanging="588"/>
        <w:rPr>
          <w:szCs w:val="22"/>
        </w:rPr>
      </w:pPr>
      <w:r w:rsidRPr="006128F6">
        <w:rPr>
          <w:szCs w:val="22"/>
        </w:rPr>
        <w:t>anxiety</w:t>
      </w:r>
    </w:p>
    <w:p w14:paraId="74A14E3F" w14:textId="77777777" w:rsidR="003265E6" w:rsidRPr="006128F6" w:rsidRDefault="003265E6" w:rsidP="003265E6">
      <w:pPr>
        <w:pStyle w:val="ListParagraph"/>
        <w:numPr>
          <w:ilvl w:val="1"/>
          <w:numId w:val="17"/>
        </w:numPr>
        <w:tabs>
          <w:tab w:val="clear" w:pos="567"/>
        </w:tabs>
        <w:spacing w:line="240" w:lineRule="auto"/>
        <w:ind w:left="588" w:hanging="588"/>
        <w:rPr>
          <w:szCs w:val="22"/>
        </w:rPr>
      </w:pPr>
      <w:r w:rsidRPr="006128F6">
        <w:rPr>
          <w:szCs w:val="22"/>
        </w:rPr>
        <w:t>depression</w:t>
      </w:r>
    </w:p>
    <w:p w14:paraId="2322648E" w14:textId="77777777" w:rsidR="003265E6" w:rsidRPr="003265E6" w:rsidRDefault="003265E6" w:rsidP="003265E6">
      <w:pPr>
        <w:pStyle w:val="ListParagraph"/>
        <w:numPr>
          <w:ilvl w:val="1"/>
          <w:numId w:val="17"/>
        </w:numPr>
        <w:tabs>
          <w:tab w:val="clear" w:pos="567"/>
        </w:tabs>
        <w:spacing w:line="240" w:lineRule="auto"/>
        <w:ind w:left="588" w:hanging="588"/>
        <w:rPr>
          <w:szCs w:val="22"/>
        </w:rPr>
      </w:pPr>
      <w:r w:rsidRPr="003265E6">
        <w:rPr>
          <w:szCs w:val="22"/>
        </w:rPr>
        <w:t>asthma</w:t>
      </w:r>
    </w:p>
    <w:p w14:paraId="79785A26" w14:textId="77777777" w:rsidR="003265E6" w:rsidRPr="006128F6" w:rsidRDefault="003265E6" w:rsidP="003265E6">
      <w:pPr>
        <w:pStyle w:val="ListParagraph"/>
        <w:numPr>
          <w:ilvl w:val="1"/>
          <w:numId w:val="17"/>
        </w:numPr>
        <w:tabs>
          <w:tab w:val="clear" w:pos="567"/>
        </w:tabs>
        <w:spacing w:line="240" w:lineRule="auto"/>
        <w:ind w:left="588" w:hanging="588"/>
        <w:rPr>
          <w:szCs w:val="22"/>
        </w:rPr>
      </w:pPr>
      <w:r w:rsidRPr="006128F6">
        <w:rPr>
          <w:szCs w:val="22"/>
        </w:rPr>
        <w:t>infection of lungs</w:t>
      </w:r>
    </w:p>
    <w:p w14:paraId="19275759" w14:textId="77777777" w:rsidR="003265E6" w:rsidRPr="006128F6" w:rsidRDefault="003265E6" w:rsidP="003265E6">
      <w:pPr>
        <w:pStyle w:val="ListParagraph"/>
        <w:numPr>
          <w:ilvl w:val="1"/>
          <w:numId w:val="17"/>
        </w:numPr>
        <w:tabs>
          <w:tab w:val="clear" w:pos="567"/>
        </w:tabs>
        <w:spacing w:line="240" w:lineRule="auto"/>
        <w:ind w:left="588" w:hanging="588"/>
        <w:rPr>
          <w:szCs w:val="22"/>
        </w:rPr>
      </w:pPr>
      <w:r w:rsidRPr="006128F6">
        <w:rPr>
          <w:szCs w:val="22"/>
        </w:rPr>
        <w:t>lung disorders</w:t>
      </w:r>
    </w:p>
    <w:p w14:paraId="154EA868" w14:textId="77777777" w:rsidR="003265E6" w:rsidRPr="006128F6" w:rsidRDefault="003265E6" w:rsidP="003265E6">
      <w:pPr>
        <w:pStyle w:val="ListParagraph"/>
        <w:numPr>
          <w:ilvl w:val="1"/>
          <w:numId w:val="17"/>
        </w:numPr>
        <w:tabs>
          <w:tab w:val="clear" w:pos="567"/>
        </w:tabs>
        <w:spacing w:line="240" w:lineRule="auto"/>
        <w:ind w:left="588" w:hanging="588"/>
        <w:rPr>
          <w:szCs w:val="22"/>
        </w:rPr>
      </w:pPr>
      <w:r w:rsidRPr="006128F6">
        <w:rPr>
          <w:szCs w:val="22"/>
        </w:rPr>
        <w:t>back pain</w:t>
      </w:r>
    </w:p>
    <w:p w14:paraId="059F64AB" w14:textId="77777777" w:rsidR="003265E6" w:rsidRPr="006128F6" w:rsidRDefault="003265E6" w:rsidP="003265E6">
      <w:pPr>
        <w:pStyle w:val="ListParagraph"/>
        <w:numPr>
          <w:ilvl w:val="1"/>
          <w:numId w:val="17"/>
        </w:numPr>
        <w:tabs>
          <w:tab w:val="clear" w:pos="567"/>
        </w:tabs>
        <w:spacing w:line="240" w:lineRule="auto"/>
        <w:ind w:left="588" w:hanging="588"/>
        <w:rPr>
          <w:szCs w:val="22"/>
        </w:rPr>
      </w:pPr>
      <w:r w:rsidRPr="006128F6">
        <w:rPr>
          <w:szCs w:val="22"/>
        </w:rPr>
        <w:t>neck pain</w:t>
      </w:r>
    </w:p>
    <w:p w14:paraId="4EE5A127" w14:textId="77777777" w:rsidR="003265E6" w:rsidRPr="006128F6" w:rsidRDefault="003265E6" w:rsidP="003265E6">
      <w:pPr>
        <w:pStyle w:val="ListParagraph"/>
        <w:numPr>
          <w:ilvl w:val="1"/>
          <w:numId w:val="17"/>
        </w:numPr>
        <w:tabs>
          <w:tab w:val="clear" w:pos="567"/>
        </w:tabs>
        <w:spacing w:line="240" w:lineRule="auto"/>
        <w:ind w:left="588" w:hanging="588"/>
        <w:rPr>
          <w:szCs w:val="22"/>
        </w:rPr>
      </w:pPr>
      <w:r w:rsidRPr="006128F6">
        <w:rPr>
          <w:szCs w:val="22"/>
        </w:rPr>
        <w:t>bone pain</w:t>
      </w:r>
    </w:p>
    <w:p w14:paraId="5A643560" w14:textId="77777777" w:rsidR="003265E6" w:rsidRPr="006128F6" w:rsidRDefault="003265E6" w:rsidP="003265E6">
      <w:pPr>
        <w:pStyle w:val="ListParagraph"/>
        <w:numPr>
          <w:ilvl w:val="1"/>
          <w:numId w:val="17"/>
        </w:numPr>
        <w:tabs>
          <w:tab w:val="clear" w:pos="567"/>
        </w:tabs>
        <w:spacing w:line="240" w:lineRule="auto"/>
        <w:ind w:left="588" w:hanging="588"/>
        <w:rPr>
          <w:szCs w:val="22"/>
        </w:rPr>
      </w:pPr>
      <w:r w:rsidRPr="006128F6">
        <w:rPr>
          <w:szCs w:val="22"/>
        </w:rPr>
        <w:t>acne</w:t>
      </w:r>
    </w:p>
    <w:p w14:paraId="0BB65659" w14:textId="51608668" w:rsidR="003265E6" w:rsidRDefault="003265E6" w:rsidP="003265E6">
      <w:pPr>
        <w:pStyle w:val="ListParagraph"/>
        <w:numPr>
          <w:ilvl w:val="1"/>
          <w:numId w:val="17"/>
        </w:numPr>
        <w:tabs>
          <w:tab w:val="clear" w:pos="567"/>
        </w:tabs>
        <w:spacing w:line="240" w:lineRule="auto"/>
        <w:ind w:left="567" w:hanging="567"/>
        <w:rPr>
          <w:szCs w:val="22"/>
        </w:rPr>
      </w:pPr>
      <w:r w:rsidRPr="006128F6">
        <w:rPr>
          <w:szCs w:val="22"/>
        </w:rPr>
        <w:t>leg cramps</w:t>
      </w:r>
    </w:p>
    <w:p w14:paraId="25FF513B" w14:textId="77777777" w:rsidR="003265E6" w:rsidRDefault="003265E6" w:rsidP="006128F6">
      <w:pPr>
        <w:tabs>
          <w:tab w:val="clear" w:pos="567"/>
        </w:tabs>
        <w:spacing w:line="240" w:lineRule="auto"/>
        <w:ind w:right="-2"/>
        <w:rPr>
          <w:szCs w:val="22"/>
        </w:rPr>
        <w:sectPr w:rsidR="003265E6" w:rsidSect="003265E6">
          <w:endnotePr>
            <w:numFmt w:val="decimal"/>
          </w:endnotePr>
          <w:type w:val="continuous"/>
          <w:pgSz w:w="11907" w:h="16840" w:code="9"/>
          <w:pgMar w:top="1134" w:right="1418" w:bottom="1134" w:left="1418" w:header="737" w:footer="737" w:gutter="0"/>
          <w:cols w:num="2" w:space="720"/>
          <w:docGrid w:linePitch="299"/>
        </w:sectPr>
      </w:pPr>
    </w:p>
    <w:p w14:paraId="6CEA496A" w14:textId="534C0241" w:rsidR="00A57654" w:rsidRPr="006128F6" w:rsidRDefault="00A57654" w:rsidP="006128F6">
      <w:pPr>
        <w:tabs>
          <w:tab w:val="clear" w:pos="567"/>
        </w:tabs>
        <w:spacing w:line="240" w:lineRule="auto"/>
        <w:ind w:right="-2"/>
        <w:rPr>
          <w:szCs w:val="22"/>
        </w:rPr>
      </w:pPr>
    </w:p>
    <w:p w14:paraId="31553F81" w14:textId="2E8EDC97" w:rsidR="00A57654" w:rsidRPr="006128F6" w:rsidRDefault="00A57654" w:rsidP="006128F6">
      <w:pPr>
        <w:tabs>
          <w:tab w:val="clear" w:pos="567"/>
        </w:tabs>
        <w:spacing w:line="240" w:lineRule="auto"/>
        <w:ind w:right="-2"/>
        <w:rPr>
          <w:szCs w:val="22"/>
        </w:rPr>
      </w:pPr>
      <w:r w:rsidRPr="006128F6">
        <w:rPr>
          <w:b/>
          <w:szCs w:val="22"/>
        </w:rPr>
        <w:t>Uncommon side effects</w:t>
      </w:r>
      <w:r w:rsidRPr="006128F6">
        <w:rPr>
          <w:szCs w:val="22"/>
        </w:rPr>
        <w:t xml:space="preserve"> </w:t>
      </w:r>
      <w:r w:rsidR="00C33F49">
        <w:rPr>
          <w:szCs w:val="22"/>
        </w:rPr>
        <w:t>(</w:t>
      </w:r>
      <w:r w:rsidRPr="006128F6">
        <w:rPr>
          <w:szCs w:val="22"/>
        </w:rPr>
        <w:t>may affect up to 1 in 100 people</w:t>
      </w:r>
      <w:r w:rsidR="00C33F49">
        <w:rPr>
          <w:szCs w:val="22"/>
        </w:rPr>
        <w:t>)</w:t>
      </w:r>
      <w:r w:rsidRPr="006128F6">
        <w:rPr>
          <w:szCs w:val="22"/>
        </w:rPr>
        <w:t>:</w:t>
      </w:r>
    </w:p>
    <w:p w14:paraId="658BE130" w14:textId="77777777" w:rsidR="00A57654" w:rsidRPr="006128F6" w:rsidRDefault="00A57654" w:rsidP="006128F6">
      <w:pPr>
        <w:pStyle w:val="ListParagraph"/>
        <w:numPr>
          <w:ilvl w:val="1"/>
          <w:numId w:val="17"/>
        </w:numPr>
        <w:tabs>
          <w:tab w:val="clear" w:pos="567"/>
        </w:tabs>
        <w:spacing w:line="240" w:lineRule="auto"/>
        <w:ind w:left="567" w:hanging="567"/>
        <w:rPr>
          <w:szCs w:val="22"/>
        </w:rPr>
      </w:pPr>
      <w:r w:rsidRPr="006128F6">
        <w:rPr>
          <w:szCs w:val="22"/>
        </w:rPr>
        <w:t>deafness</w:t>
      </w:r>
    </w:p>
    <w:p w14:paraId="424ACDF9" w14:textId="2A70EECD" w:rsidR="00A57654" w:rsidRDefault="00A57654" w:rsidP="006128F6">
      <w:pPr>
        <w:pStyle w:val="ListParagraph"/>
        <w:numPr>
          <w:ilvl w:val="1"/>
          <w:numId w:val="17"/>
        </w:numPr>
        <w:tabs>
          <w:tab w:val="clear" w:pos="567"/>
        </w:tabs>
        <w:spacing w:line="240" w:lineRule="auto"/>
        <w:ind w:left="567" w:hanging="567"/>
        <w:rPr>
          <w:szCs w:val="22"/>
        </w:rPr>
      </w:pPr>
      <w:r w:rsidRPr="006128F6">
        <w:rPr>
          <w:szCs w:val="22"/>
        </w:rPr>
        <w:t>bumpy rash</w:t>
      </w:r>
    </w:p>
    <w:p w14:paraId="4986071D" w14:textId="505B21F9" w:rsidR="00236DF3" w:rsidRPr="006128F6" w:rsidRDefault="00236DF3" w:rsidP="006128F6">
      <w:pPr>
        <w:pStyle w:val="ListParagraph"/>
        <w:numPr>
          <w:ilvl w:val="1"/>
          <w:numId w:val="17"/>
        </w:numPr>
        <w:tabs>
          <w:tab w:val="clear" w:pos="567"/>
        </w:tabs>
        <w:spacing w:line="240" w:lineRule="auto"/>
        <w:ind w:left="567" w:hanging="567"/>
        <w:rPr>
          <w:szCs w:val="22"/>
        </w:rPr>
      </w:pPr>
      <w:r>
        <w:rPr>
          <w:szCs w:val="22"/>
        </w:rPr>
        <w:t>wheezing</w:t>
      </w:r>
    </w:p>
    <w:p w14:paraId="59F32B78" w14:textId="77777777" w:rsidR="00236DF3" w:rsidRPr="006128F6" w:rsidRDefault="00236DF3" w:rsidP="00236DF3">
      <w:pPr>
        <w:pStyle w:val="ListParagraph"/>
        <w:numPr>
          <w:ilvl w:val="1"/>
          <w:numId w:val="17"/>
        </w:numPr>
        <w:tabs>
          <w:tab w:val="clear" w:pos="567"/>
        </w:tabs>
        <w:spacing w:line="240" w:lineRule="auto"/>
        <w:ind w:left="567" w:hanging="567"/>
        <w:rPr>
          <w:szCs w:val="22"/>
        </w:rPr>
      </w:pPr>
      <w:r w:rsidRPr="006128F6">
        <w:rPr>
          <w:szCs w:val="22"/>
        </w:rPr>
        <w:t>inflammation or scarring of the lungs</w:t>
      </w:r>
    </w:p>
    <w:p w14:paraId="2548A750" w14:textId="77777777" w:rsidR="009D574E" w:rsidRPr="006128F6" w:rsidRDefault="009D574E" w:rsidP="006128F6">
      <w:pPr>
        <w:tabs>
          <w:tab w:val="clear" w:pos="567"/>
        </w:tabs>
        <w:spacing w:line="240" w:lineRule="auto"/>
        <w:ind w:right="-2"/>
        <w:rPr>
          <w:szCs w:val="22"/>
        </w:rPr>
      </w:pPr>
    </w:p>
    <w:p w14:paraId="6F476C65" w14:textId="63683212" w:rsidR="00A57654" w:rsidRPr="006128F6" w:rsidRDefault="00A57654" w:rsidP="006128F6">
      <w:pPr>
        <w:tabs>
          <w:tab w:val="clear" w:pos="567"/>
        </w:tabs>
        <w:spacing w:line="240" w:lineRule="auto"/>
        <w:ind w:right="-2"/>
        <w:rPr>
          <w:szCs w:val="22"/>
        </w:rPr>
      </w:pPr>
      <w:r w:rsidRPr="006128F6">
        <w:rPr>
          <w:b/>
          <w:szCs w:val="22"/>
        </w:rPr>
        <w:t>Rare side effects</w:t>
      </w:r>
      <w:r w:rsidRPr="006128F6">
        <w:rPr>
          <w:szCs w:val="22"/>
        </w:rPr>
        <w:t xml:space="preserve"> </w:t>
      </w:r>
      <w:r w:rsidR="00C33F49">
        <w:rPr>
          <w:szCs w:val="22"/>
        </w:rPr>
        <w:t>(</w:t>
      </w:r>
      <w:r w:rsidRPr="006128F6">
        <w:rPr>
          <w:szCs w:val="22"/>
        </w:rPr>
        <w:t>may affect up to 1 in 1</w:t>
      </w:r>
      <w:r w:rsidR="000B44AA">
        <w:rPr>
          <w:szCs w:val="22"/>
        </w:rPr>
        <w:t> </w:t>
      </w:r>
      <w:r w:rsidRPr="006128F6">
        <w:rPr>
          <w:szCs w:val="22"/>
        </w:rPr>
        <w:t>000 people</w:t>
      </w:r>
      <w:r w:rsidR="00C33F49">
        <w:rPr>
          <w:szCs w:val="22"/>
        </w:rPr>
        <w:t>)</w:t>
      </w:r>
      <w:r w:rsidR="00DB7ABC" w:rsidRPr="006128F6">
        <w:rPr>
          <w:szCs w:val="22"/>
        </w:rPr>
        <w:t>:</w:t>
      </w:r>
    </w:p>
    <w:p w14:paraId="12E932CB" w14:textId="77777777" w:rsidR="00A57654" w:rsidRPr="006128F6" w:rsidRDefault="00A57654" w:rsidP="006128F6">
      <w:pPr>
        <w:pStyle w:val="ListParagraph"/>
        <w:numPr>
          <w:ilvl w:val="1"/>
          <w:numId w:val="17"/>
        </w:numPr>
        <w:tabs>
          <w:tab w:val="clear" w:pos="567"/>
        </w:tabs>
        <w:spacing w:line="240" w:lineRule="auto"/>
        <w:ind w:left="567" w:hanging="567"/>
        <w:rPr>
          <w:szCs w:val="22"/>
        </w:rPr>
      </w:pPr>
      <w:r w:rsidRPr="006128F6">
        <w:rPr>
          <w:szCs w:val="22"/>
        </w:rPr>
        <w:t>jaundice</w:t>
      </w:r>
    </w:p>
    <w:p w14:paraId="56E1E00D" w14:textId="77777777" w:rsidR="00236DF3" w:rsidRPr="00500A35" w:rsidRDefault="00236DF3" w:rsidP="005477BB">
      <w:pPr>
        <w:pStyle w:val="ListParagraph"/>
        <w:numPr>
          <w:ilvl w:val="0"/>
          <w:numId w:val="17"/>
        </w:numPr>
        <w:spacing w:line="240" w:lineRule="auto"/>
        <w:ind w:left="567" w:hanging="567"/>
      </w:pPr>
      <w:r w:rsidRPr="00500A35">
        <w:rPr>
          <w:szCs w:val="22"/>
        </w:rPr>
        <w:t>anaphylactic reactions</w:t>
      </w:r>
    </w:p>
    <w:p w14:paraId="309E29EA" w14:textId="77777777" w:rsidR="009D574E" w:rsidRPr="006128F6" w:rsidRDefault="009D574E" w:rsidP="006128F6">
      <w:pPr>
        <w:tabs>
          <w:tab w:val="clear" w:pos="567"/>
        </w:tabs>
        <w:spacing w:line="240" w:lineRule="auto"/>
        <w:ind w:right="-2"/>
        <w:rPr>
          <w:szCs w:val="22"/>
        </w:rPr>
      </w:pPr>
    </w:p>
    <w:p w14:paraId="3EBAD2D8" w14:textId="1B351B9C" w:rsidR="00A57654" w:rsidRPr="006128F6" w:rsidRDefault="005B189C" w:rsidP="00D2624B">
      <w:pPr>
        <w:keepNext/>
        <w:tabs>
          <w:tab w:val="clear" w:pos="567"/>
        </w:tabs>
        <w:spacing w:line="240" w:lineRule="auto"/>
        <w:ind w:right="-2"/>
        <w:rPr>
          <w:szCs w:val="22"/>
        </w:rPr>
      </w:pPr>
      <w:bookmarkStart w:id="18" w:name="_Hlk117163571"/>
      <w:r>
        <w:rPr>
          <w:b/>
          <w:szCs w:val="22"/>
        </w:rPr>
        <w:t>S</w:t>
      </w:r>
      <w:r w:rsidR="00A57654" w:rsidRPr="006128F6">
        <w:rPr>
          <w:b/>
          <w:szCs w:val="22"/>
        </w:rPr>
        <w:t xml:space="preserve">ide effects </w:t>
      </w:r>
      <w:r>
        <w:rPr>
          <w:b/>
          <w:szCs w:val="22"/>
        </w:rPr>
        <w:t>with unknown frequency</w:t>
      </w:r>
      <w:r w:rsidR="00A57654" w:rsidRPr="006128F6">
        <w:rPr>
          <w:b/>
          <w:szCs w:val="22"/>
        </w:rPr>
        <w:t xml:space="preserve"> </w:t>
      </w:r>
      <w:r w:rsidR="00C33F49">
        <w:rPr>
          <w:szCs w:val="22"/>
        </w:rPr>
        <w:t>(</w:t>
      </w:r>
      <w:r w:rsidR="00A57654" w:rsidRPr="006128F6">
        <w:rPr>
          <w:szCs w:val="22"/>
        </w:rPr>
        <w:t>frequency cannot be estimated</w:t>
      </w:r>
      <w:r w:rsidR="009D574E" w:rsidRPr="006128F6">
        <w:rPr>
          <w:szCs w:val="22"/>
        </w:rPr>
        <w:t xml:space="preserve"> </w:t>
      </w:r>
      <w:r w:rsidR="00A57654" w:rsidRPr="006128F6">
        <w:rPr>
          <w:szCs w:val="22"/>
        </w:rPr>
        <w:t>from the available data</w:t>
      </w:r>
      <w:r w:rsidR="00C33F49">
        <w:rPr>
          <w:szCs w:val="22"/>
        </w:rPr>
        <w:t>)</w:t>
      </w:r>
      <w:bookmarkEnd w:id="18"/>
      <w:r w:rsidR="00C33F49">
        <w:rPr>
          <w:szCs w:val="22"/>
        </w:rPr>
        <w:t>:</w:t>
      </w:r>
    </w:p>
    <w:p w14:paraId="0CDC7EE2" w14:textId="77777777" w:rsidR="00A57654" w:rsidRPr="006128F6" w:rsidRDefault="00A57654" w:rsidP="00D2624B">
      <w:pPr>
        <w:pStyle w:val="ListParagraph"/>
        <w:keepNext/>
        <w:numPr>
          <w:ilvl w:val="1"/>
          <w:numId w:val="17"/>
        </w:numPr>
        <w:tabs>
          <w:tab w:val="clear" w:pos="567"/>
        </w:tabs>
        <w:spacing w:line="240" w:lineRule="auto"/>
        <w:ind w:left="567" w:hanging="567"/>
        <w:rPr>
          <w:szCs w:val="22"/>
        </w:rPr>
      </w:pPr>
      <w:r w:rsidRPr="006128F6">
        <w:rPr>
          <w:szCs w:val="22"/>
        </w:rPr>
        <w:t>abnormal or impaired blood clotting</w:t>
      </w:r>
    </w:p>
    <w:p w14:paraId="4939F49E" w14:textId="77777777" w:rsidR="00A57654" w:rsidRPr="006128F6" w:rsidRDefault="00A57654" w:rsidP="006128F6">
      <w:pPr>
        <w:pStyle w:val="ListParagraph"/>
        <w:numPr>
          <w:ilvl w:val="1"/>
          <w:numId w:val="17"/>
        </w:numPr>
        <w:tabs>
          <w:tab w:val="clear" w:pos="567"/>
        </w:tabs>
        <w:spacing w:line="240" w:lineRule="auto"/>
        <w:ind w:left="567" w:hanging="567"/>
        <w:rPr>
          <w:szCs w:val="22"/>
        </w:rPr>
      </w:pPr>
      <w:r w:rsidRPr="006128F6">
        <w:rPr>
          <w:szCs w:val="22"/>
        </w:rPr>
        <w:t>high potassium levels</w:t>
      </w:r>
    </w:p>
    <w:p w14:paraId="37ECC19E" w14:textId="77777777" w:rsidR="00A57654" w:rsidRPr="006128F6" w:rsidRDefault="00A57654" w:rsidP="006128F6">
      <w:pPr>
        <w:pStyle w:val="ListParagraph"/>
        <w:numPr>
          <w:ilvl w:val="1"/>
          <w:numId w:val="17"/>
        </w:numPr>
        <w:tabs>
          <w:tab w:val="clear" w:pos="567"/>
        </w:tabs>
        <w:spacing w:line="240" w:lineRule="auto"/>
        <w:ind w:left="567" w:hanging="567"/>
        <w:rPr>
          <w:szCs w:val="22"/>
        </w:rPr>
      </w:pPr>
      <w:r w:rsidRPr="006128F6">
        <w:rPr>
          <w:szCs w:val="22"/>
        </w:rPr>
        <w:t>swelling or bleeding at the back of the eyes</w:t>
      </w:r>
    </w:p>
    <w:p w14:paraId="10CCAE6E" w14:textId="77777777" w:rsidR="00A57654" w:rsidRPr="006128F6" w:rsidRDefault="00A57654" w:rsidP="006128F6">
      <w:pPr>
        <w:pStyle w:val="ListParagraph"/>
        <w:numPr>
          <w:ilvl w:val="1"/>
          <w:numId w:val="17"/>
        </w:numPr>
        <w:tabs>
          <w:tab w:val="clear" w:pos="567"/>
        </w:tabs>
        <w:spacing w:line="240" w:lineRule="auto"/>
        <w:ind w:left="567" w:hanging="567"/>
        <w:rPr>
          <w:szCs w:val="22"/>
        </w:rPr>
      </w:pPr>
      <w:r w:rsidRPr="006128F6">
        <w:rPr>
          <w:szCs w:val="22"/>
        </w:rPr>
        <w:t>shock</w:t>
      </w:r>
    </w:p>
    <w:p w14:paraId="054DB45F" w14:textId="77777777" w:rsidR="009D574E" w:rsidRPr="006128F6" w:rsidRDefault="009D574E" w:rsidP="006128F6">
      <w:pPr>
        <w:pStyle w:val="ListParagraph"/>
        <w:numPr>
          <w:ilvl w:val="1"/>
          <w:numId w:val="17"/>
        </w:numPr>
        <w:tabs>
          <w:tab w:val="clear" w:pos="567"/>
        </w:tabs>
        <w:spacing w:line="240" w:lineRule="auto"/>
        <w:ind w:left="567" w:hanging="567"/>
        <w:rPr>
          <w:szCs w:val="22"/>
        </w:rPr>
      </w:pPr>
      <w:r w:rsidRPr="006128F6">
        <w:rPr>
          <w:szCs w:val="22"/>
        </w:rPr>
        <w:t>abnormal heart rhythm</w:t>
      </w:r>
    </w:p>
    <w:p w14:paraId="110D59AF" w14:textId="77777777" w:rsidR="009D574E" w:rsidRPr="006128F6" w:rsidRDefault="009D574E" w:rsidP="006128F6">
      <w:pPr>
        <w:pStyle w:val="ListParagraph"/>
        <w:numPr>
          <w:ilvl w:val="1"/>
          <w:numId w:val="17"/>
        </w:numPr>
        <w:tabs>
          <w:tab w:val="clear" w:pos="567"/>
        </w:tabs>
        <w:spacing w:line="240" w:lineRule="auto"/>
        <w:ind w:left="567" w:hanging="567"/>
        <w:rPr>
          <w:szCs w:val="22"/>
        </w:rPr>
      </w:pPr>
      <w:r w:rsidRPr="006128F6">
        <w:rPr>
          <w:szCs w:val="22"/>
        </w:rPr>
        <w:t>respiratory distress</w:t>
      </w:r>
    </w:p>
    <w:p w14:paraId="483658C1" w14:textId="77777777" w:rsidR="009D574E" w:rsidRPr="006128F6" w:rsidRDefault="009D574E" w:rsidP="006128F6">
      <w:pPr>
        <w:pStyle w:val="ListParagraph"/>
        <w:numPr>
          <w:ilvl w:val="1"/>
          <w:numId w:val="17"/>
        </w:numPr>
        <w:tabs>
          <w:tab w:val="clear" w:pos="567"/>
        </w:tabs>
        <w:spacing w:line="240" w:lineRule="auto"/>
        <w:ind w:left="567" w:hanging="567"/>
        <w:rPr>
          <w:szCs w:val="22"/>
        </w:rPr>
      </w:pPr>
      <w:r w:rsidRPr="006128F6">
        <w:rPr>
          <w:szCs w:val="22"/>
        </w:rPr>
        <w:t>respiratory failure</w:t>
      </w:r>
    </w:p>
    <w:p w14:paraId="67F7B735" w14:textId="77777777" w:rsidR="009D574E" w:rsidRPr="006128F6" w:rsidRDefault="009D574E" w:rsidP="006128F6">
      <w:pPr>
        <w:pStyle w:val="ListParagraph"/>
        <w:numPr>
          <w:ilvl w:val="1"/>
          <w:numId w:val="17"/>
        </w:numPr>
        <w:tabs>
          <w:tab w:val="clear" w:pos="567"/>
        </w:tabs>
        <w:spacing w:line="240" w:lineRule="auto"/>
        <w:ind w:left="567" w:hanging="567"/>
        <w:rPr>
          <w:szCs w:val="22"/>
        </w:rPr>
      </w:pPr>
      <w:r w:rsidRPr="006128F6">
        <w:rPr>
          <w:szCs w:val="22"/>
        </w:rPr>
        <w:t>acute accumulation of fluid in the lungs</w:t>
      </w:r>
    </w:p>
    <w:p w14:paraId="253C56F4" w14:textId="77777777" w:rsidR="009D574E" w:rsidRPr="006128F6" w:rsidRDefault="009D574E" w:rsidP="006128F6">
      <w:pPr>
        <w:pStyle w:val="ListParagraph"/>
        <w:numPr>
          <w:ilvl w:val="1"/>
          <w:numId w:val="17"/>
        </w:numPr>
        <w:tabs>
          <w:tab w:val="clear" w:pos="567"/>
        </w:tabs>
        <w:spacing w:line="240" w:lineRule="auto"/>
        <w:ind w:left="567" w:hanging="567"/>
        <w:rPr>
          <w:szCs w:val="22"/>
        </w:rPr>
      </w:pPr>
      <w:r w:rsidRPr="006128F6">
        <w:rPr>
          <w:szCs w:val="22"/>
        </w:rPr>
        <w:t>acute narrowing of the airways</w:t>
      </w:r>
    </w:p>
    <w:p w14:paraId="16E09B4C" w14:textId="77777777" w:rsidR="009D574E" w:rsidRPr="006128F6" w:rsidRDefault="009D574E" w:rsidP="006128F6">
      <w:pPr>
        <w:pStyle w:val="ListParagraph"/>
        <w:numPr>
          <w:ilvl w:val="1"/>
          <w:numId w:val="17"/>
        </w:numPr>
        <w:tabs>
          <w:tab w:val="clear" w:pos="567"/>
        </w:tabs>
        <w:spacing w:line="240" w:lineRule="auto"/>
        <w:ind w:left="567" w:hanging="567"/>
        <w:rPr>
          <w:szCs w:val="22"/>
        </w:rPr>
      </w:pPr>
      <w:r w:rsidRPr="006128F6">
        <w:rPr>
          <w:szCs w:val="22"/>
        </w:rPr>
        <w:t>abnormally low oxygen levels in the blood</w:t>
      </w:r>
    </w:p>
    <w:p w14:paraId="41B25F1E" w14:textId="77777777" w:rsidR="009D574E" w:rsidRPr="006128F6" w:rsidRDefault="009D574E" w:rsidP="006128F6">
      <w:pPr>
        <w:pStyle w:val="ListParagraph"/>
        <w:numPr>
          <w:ilvl w:val="1"/>
          <w:numId w:val="17"/>
        </w:numPr>
        <w:tabs>
          <w:tab w:val="clear" w:pos="567"/>
        </w:tabs>
        <w:spacing w:line="240" w:lineRule="auto"/>
        <w:ind w:left="567" w:hanging="567"/>
        <w:rPr>
          <w:szCs w:val="22"/>
        </w:rPr>
      </w:pPr>
      <w:r w:rsidRPr="006128F6">
        <w:rPr>
          <w:szCs w:val="22"/>
        </w:rPr>
        <w:t>difficulty in breathing when lying flat</w:t>
      </w:r>
    </w:p>
    <w:p w14:paraId="72F7D7B0" w14:textId="618408FB" w:rsidR="009D574E" w:rsidRPr="006128F6" w:rsidRDefault="009D574E" w:rsidP="006128F6">
      <w:pPr>
        <w:pStyle w:val="ListParagraph"/>
        <w:numPr>
          <w:ilvl w:val="1"/>
          <w:numId w:val="17"/>
        </w:numPr>
        <w:tabs>
          <w:tab w:val="clear" w:pos="567"/>
        </w:tabs>
        <w:spacing w:line="240" w:lineRule="auto"/>
        <w:ind w:left="567" w:hanging="567"/>
        <w:rPr>
          <w:szCs w:val="22"/>
        </w:rPr>
      </w:pPr>
      <w:r w:rsidRPr="006128F6">
        <w:rPr>
          <w:szCs w:val="22"/>
        </w:rPr>
        <w:t>liver damage</w:t>
      </w:r>
    </w:p>
    <w:p w14:paraId="291A7A51" w14:textId="77777777" w:rsidR="009D574E" w:rsidRPr="006128F6" w:rsidRDefault="009D574E" w:rsidP="006128F6">
      <w:pPr>
        <w:pStyle w:val="ListParagraph"/>
        <w:numPr>
          <w:ilvl w:val="1"/>
          <w:numId w:val="17"/>
        </w:numPr>
        <w:tabs>
          <w:tab w:val="clear" w:pos="567"/>
        </w:tabs>
        <w:spacing w:line="240" w:lineRule="auto"/>
        <w:ind w:left="567" w:hanging="567"/>
        <w:rPr>
          <w:szCs w:val="22"/>
        </w:rPr>
      </w:pPr>
      <w:r w:rsidRPr="006128F6">
        <w:rPr>
          <w:szCs w:val="22"/>
        </w:rPr>
        <w:t>swelling of the face, lips and throat</w:t>
      </w:r>
    </w:p>
    <w:p w14:paraId="77D3472B" w14:textId="77777777" w:rsidR="009D574E" w:rsidRPr="006128F6" w:rsidRDefault="009D574E" w:rsidP="006128F6">
      <w:pPr>
        <w:pStyle w:val="ListParagraph"/>
        <w:numPr>
          <w:ilvl w:val="1"/>
          <w:numId w:val="17"/>
        </w:numPr>
        <w:tabs>
          <w:tab w:val="clear" w:pos="567"/>
        </w:tabs>
        <w:spacing w:line="240" w:lineRule="auto"/>
        <w:ind w:left="567" w:hanging="567"/>
        <w:rPr>
          <w:szCs w:val="22"/>
        </w:rPr>
      </w:pPr>
      <w:r w:rsidRPr="006128F6">
        <w:rPr>
          <w:szCs w:val="22"/>
        </w:rPr>
        <w:t>kidney failure</w:t>
      </w:r>
    </w:p>
    <w:p w14:paraId="7F5E4357" w14:textId="77777777" w:rsidR="009D574E" w:rsidRPr="006128F6" w:rsidRDefault="009D574E" w:rsidP="006128F6">
      <w:pPr>
        <w:pStyle w:val="ListParagraph"/>
        <w:numPr>
          <w:ilvl w:val="1"/>
          <w:numId w:val="17"/>
        </w:numPr>
        <w:tabs>
          <w:tab w:val="clear" w:pos="567"/>
        </w:tabs>
        <w:spacing w:line="240" w:lineRule="auto"/>
        <w:ind w:left="567" w:hanging="567"/>
        <w:rPr>
          <w:szCs w:val="22"/>
        </w:rPr>
      </w:pPr>
      <w:r w:rsidRPr="006128F6">
        <w:rPr>
          <w:szCs w:val="22"/>
        </w:rPr>
        <w:t>abnormally low levels of fluid around baby in womb</w:t>
      </w:r>
    </w:p>
    <w:p w14:paraId="5E4A5139" w14:textId="5DFFC6D1" w:rsidR="009D574E" w:rsidRPr="006128F6" w:rsidRDefault="009D574E" w:rsidP="006128F6">
      <w:pPr>
        <w:pStyle w:val="ListParagraph"/>
        <w:numPr>
          <w:ilvl w:val="1"/>
          <w:numId w:val="17"/>
        </w:numPr>
        <w:tabs>
          <w:tab w:val="clear" w:pos="567"/>
        </w:tabs>
        <w:spacing w:line="240" w:lineRule="auto"/>
        <w:ind w:left="567" w:hanging="567"/>
        <w:rPr>
          <w:szCs w:val="22"/>
        </w:rPr>
      </w:pPr>
      <w:r w:rsidRPr="006128F6">
        <w:rPr>
          <w:szCs w:val="22"/>
        </w:rPr>
        <w:t xml:space="preserve">failure of </w:t>
      </w:r>
      <w:r w:rsidR="002C590A">
        <w:rPr>
          <w:szCs w:val="22"/>
        </w:rPr>
        <w:t xml:space="preserve">the </w:t>
      </w:r>
      <w:r w:rsidRPr="006128F6">
        <w:rPr>
          <w:szCs w:val="22"/>
        </w:rPr>
        <w:t xml:space="preserve">lungs </w:t>
      </w:r>
      <w:r w:rsidR="0010638E">
        <w:rPr>
          <w:szCs w:val="22"/>
        </w:rPr>
        <w:t xml:space="preserve">of the baby </w:t>
      </w:r>
      <w:r w:rsidRPr="006128F6">
        <w:rPr>
          <w:szCs w:val="22"/>
        </w:rPr>
        <w:t>to develop in the womb</w:t>
      </w:r>
    </w:p>
    <w:p w14:paraId="641AD1D8" w14:textId="44007A47" w:rsidR="009D574E" w:rsidRPr="006128F6" w:rsidRDefault="009D574E" w:rsidP="006128F6">
      <w:pPr>
        <w:pStyle w:val="ListParagraph"/>
        <w:numPr>
          <w:ilvl w:val="1"/>
          <w:numId w:val="17"/>
        </w:numPr>
        <w:tabs>
          <w:tab w:val="clear" w:pos="567"/>
        </w:tabs>
        <w:spacing w:line="240" w:lineRule="auto"/>
        <w:ind w:left="567" w:hanging="567"/>
        <w:rPr>
          <w:szCs w:val="22"/>
        </w:rPr>
      </w:pPr>
      <w:r w:rsidRPr="006128F6">
        <w:rPr>
          <w:szCs w:val="22"/>
        </w:rPr>
        <w:t xml:space="preserve">abnormal </w:t>
      </w:r>
      <w:r w:rsidR="0010638E">
        <w:rPr>
          <w:szCs w:val="22"/>
        </w:rPr>
        <w:t xml:space="preserve">development of the </w:t>
      </w:r>
      <w:r w:rsidRPr="006128F6">
        <w:rPr>
          <w:szCs w:val="22"/>
        </w:rPr>
        <w:t>kidney</w:t>
      </w:r>
      <w:r w:rsidR="0010638E">
        <w:rPr>
          <w:szCs w:val="22"/>
        </w:rPr>
        <w:t>s</w:t>
      </w:r>
      <w:r w:rsidRPr="006128F6">
        <w:rPr>
          <w:szCs w:val="22"/>
        </w:rPr>
        <w:t xml:space="preserve"> </w:t>
      </w:r>
      <w:r w:rsidR="0010638E">
        <w:rPr>
          <w:szCs w:val="22"/>
        </w:rPr>
        <w:t xml:space="preserve">of the baby </w:t>
      </w:r>
      <w:r w:rsidR="002C590A">
        <w:rPr>
          <w:szCs w:val="22"/>
        </w:rPr>
        <w:t xml:space="preserve">in </w:t>
      </w:r>
      <w:r w:rsidRPr="006128F6">
        <w:rPr>
          <w:szCs w:val="22"/>
        </w:rPr>
        <w:t>the womb</w:t>
      </w:r>
    </w:p>
    <w:p w14:paraId="73F13903" w14:textId="77777777" w:rsidR="00577F9F" w:rsidRPr="006128F6" w:rsidRDefault="00577F9F" w:rsidP="006128F6">
      <w:pPr>
        <w:numPr>
          <w:ilvl w:val="12"/>
          <w:numId w:val="0"/>
        </w:numPr>
        <w:tabs>
          <w:tab w:val="clear" w:pos="567"/>
        </w:tabs>
        <w:spacing w:line="240" w:lineRule="auto"/>
        <w:ind w:right="-29"/>
        <w:rPr>
          <w:szCs w:val="22"/>
        </w:rPr>
      </w:pPr>
    </w:p>
    <w:p w14:paraId="0825175D" w14:textId="19A54EC2" w:rsidR="009D574E" w:rsidRPr="006128F6" w:rsidRDefault="009D574E" w:rsidP="006128F6">
      <w:pPr>
        <w:numPr>
          <w:ilvl w:val="12"/>
          <w:numId w:val="0"/>
        </w:numPr>
        <w:tabs>
          <w:tab w:val="clear" w:pos="567"/>
        </w:tabs>
        <w:spacing w:line="240" w:lineRule="auto"/>
        <w:outlineLvl w:val="0"/>
        <w:rPr>
          <w:szCs w:val="22"/>
        </w:rPr>
      </w:pPr>
      <w:r w:rsidRPr="006128F6">
        <w:rPr>
          <w:szCs w:val="22"/>
        </w:rPr>
        <w:lastRenderedPageBreak/>
        <w:t>Some of the side</w:t>
      </w:r>
      <w:r w:rsidR="008F0ACE" w:rsidRPr="006128F6">
        <w:rPr>
          <w:szCs w:val="22"/>
        </w:rPr>
        <w:t xml:space="preserve"> </w:t>
      </w:r>
      <w:r w:rsidRPr="006128F6">
        <w:rPr>
          <w:szCs w:val="22"/>
        </w:rPr>
        <w:t xml:space="preserve">effects you experience may be due to your underlying cancer. If you receive </w:t>
      </w:r>
      <w:r w:rsidR="008E0EE9" w:rsidRPr="006128F6">
        <w:rPr>
          <w:szCs w:val="22"/>
        </w:rPr>
        <w:t>KANJINTI</w:t>
      </w:r>
      <w:r w:rsidR="00B67AD8" w:rsidRPr="006128F6">
        <w:rPr>
          <w:szCs w:val="22"/>
        </w:rPr>
        <w:t xml:space="preserve"> </w:t>
      </w:r>
      <w:r w:rsidRPr="006128F6">
        <w:rPr>
          <w:szCs w:val="22"/>
        </w:rPr>
        <w:t>in combination with chemotherapy, some of them may also be due to the chemotherapy.</w:t>
      </w:r>
    </w:p>
    <w:p w14:paraId="11FDF439" w14:textId="77777777" w:rsidR="009D574E" w:rsidRPr="006128F6" w:rsidRDefault="009D574E" w:rsidP="006128F6">
      <w:pPr>
        <w:numPr>
          <w:ilvl w:val="12"/>
          <w:numId w:val="0"/>
        </w:numPr>
        <w:tabs>
          <w:tab w:val="clear" w:pos="567"/>
        </w:tabs>
        <w:spacing w:line="240" w:lineRule="auto"/>
        <w:outlineLvl w:val="0"/>
        <w:rPr>
          <w:szCs w:val="22"/>
        </w:rPr>
      </w:pPr>
    </w:p>
    <w:p w14:paraId="568EF357" w14:textId="77777777" w:rsidR="00577F9F" w:rsidRPr="006128F6" w:rsidRDefault="009D574E" w:rsidP="006128F6">
      <w:pPr>
        <w:numPr>
          <w:ilvl w:val="12"/>
          <w:numId w:val="0"/>
        </w:numPr>
        <w:tabs>
          <w:tab w:val="clear" w:pos="567"/>
        </w:tabs>
        <w:spacing w:line="240" w:lineRule="auto"/>
        <w:outlineLvl w:val="0"/>
        <w:rPr>
          <w:szCs w:val="22"/>
        </w:rPr>
      </w:pPr>
      <w:r w:rsidRPr="006128F6">
        <w:rPr>
          <w:szCs w:val="22"/>
        </w:rPr>
        <w:t>If you get any side effects, talk to your doctor, pharmacist or nurse.</w:t>
      </w:r>
    </w:p>
    <w:p w14:paraId="451A3921" w14:textId="77777777" w:rsidR="00577F9F" w:rsidRPr="006128F6" w:rsidRDefault="00577F9F" w:rsidP="006128F6">
      <w:pPr>
        <w:numPr>
          <w:ilvl w:val="12"/>
          <w:numId w:val="0"/>
        </w:numPr>
        <w:tabs>
          <w:tab w:val="clear" w:pos="567"/>
        </w:tabs>
        <w:spacing w:line="240" w:lineRule="auto"/>
        <w:ind w:right="-2"/>
        <w:rPr>
          <w:rFonts w:ascii="TimesNewRoman" w:hAnsi="TimesNewRoman" w:cs="TimesNewRoman"/>
          <w:b/>
        </w:rPr>
      </w:pPr>
    </w:p>
    <w:p w14:paraId="1A0E8FBE" w14:textId="77777777" w:rsidR="00577F9F" w:rsidRPr="006128F6" w:rsidRDefault="00577F9F" w:rsidP="006128F6">
      <w:pPr>
        <w:numPr>
          <w:ilvl w:val="12"/>
          <w:numId w:val="0"/>
        </w:numPr>
        <w:spacing w:line="240" w:lineRule="auto"/>
        <w:outlineLvl w:val="0"/>
        <w:rPr>
          <w:b/>
          <w:szCs w:val="22"/>
        </w:rPr>
      </w:pPr>
      <w:r w:rsidRPr="006128F6">
        <w:rPr>
          <w:b/>
          <w:szCs w:val="22"/>
        </w:rPr>
        <w:t>Reporting of side effects</w:t>
      </w:r>
    </w:p>
    <w:p w14:paraId="3BAD1CF4" w14:textId="77777777" w:rsidR="00577F9F" w:rsidRPr="006128F6" w:rsidRDefault="00577F9F" w:rsidP="006128F6">
      <w:pPr>
        <w:pStyle w:val="BodytextAgency"/>
        <w:spacing w:after="0" w:line="240" w:lineRule="auto"/>
        <w:rPr>
          <w:rFonts w:ascii="Times New Roman" w:hAnsi="Times New Roman"/>
          <w:sz w:val="22"/>
        </w:rPr>
      </w:pPr>
      <w:r w:rsidRPr="006128F6">
        <w:rPr>
          <w:rFonts w:ascii="Times New Roman" w:hAnsi="Times New Roman" w:cs="Times New Roman"/>
          <w:sz w:val="22"/>
          <w:szCs w:val="22"/>
        </w:rPr>
        <w:t>If you get any side effects, talk to your doctor,</w:t>
      </w:r>
      <w:r w:rsidR="00B92138" w:rsidRPr="006128F6">
        <w:rPr>
          <w:rFonts w:ascii="Times New Roman" w:hAnsi="Times New Roman" w:cs="Times New Roman"/>
          <w:sz w:val="22"/>
          <w:szCs w:val="22"/>
        </w:rPr>
        <w:t xml:space="preserve"> </w:t>
      </w:r>
      <w:r w:rsidRPr="006128F6">
        <w:rPr>
          <w:rFonts w:ascii="Times New Roman" w:hAnsi="Times New Roman" w:cs="Times New Roman"/>
          <w:sz w:val="22"/>
          <w:szCs w:val="22"/>
        </w:rPr>
        <w:t>pharmacist</w:t>
      </w:r>
      <w:r w:rsidR="00B92138" w:rsidRPr="006128F6">
        <w:rPr>
          <w:rFonts w:ascii="Times New Roman" w:hAnsi="Times New Roman" w:cs="Times New Roman"/>
          <w:sz w:val="22"/>
          <w:szCs w:val="22"/>
        </w:rPr>
        <w:t xml:space="preserve"> </w:t>
      </w:r>
      <w:r w:rsidRPr="006128F6">
        <w:rPr>
          <w:rFonts w:ascii="Times New Roman" w:hAnsi="Times New Roman" w:cs="Times New Roman"/>
          <w:sz w:val="22"/>
          <w:szCs w:val="22"/>
        </w:rPr>
        <w:t>or nurse.</w:t>
      </w:r>
      <w:r w:rsidR="00B92138" w:rsidRPr="006128F6">
        <w:rPr>
          <w:rFonts w:ascii="Times New Roman" w:hAnsi="Times New Roman" w:cs="Times New Roman"/>
          <w:sz w:val="22"/>
          <w:szCs w:val="22"/>
        </w:rPr>
        <w:t xml:space="preserve"> </w:t>
      </w:r>
      <w:r w:rsidRPr="006128F6">
        <w:rPr>
          <w:rFonts w:ascii="Times New Roman" w:hAnsi="Times New Roman" w:cs="Times New Roman"/>
          <w:sz w:val="22"/>
          <w:szCs w:val="22"/>
        </w:rPr>
        <w:t xml:space="preserve">This includes any possible side effects not listed in this leaflet. You can also report side effects directly via </w:t>
      </w:r>
      <w:r>
        <w:rPr>
          <w:rFonts w:ascii="Times New Roman" w:hAnsi="Times New Roman" w:cs="Times New Roman"/>
          <w:sz w:val="22"/>
          <w:szCs w:val="22"/>
          <w:highlight w:val="lightGray"/>
        </w:rPr>
        <w:t xml:space="preserve">the national reporting system listed in </w:t>
      </w:r>
      <w:hyperlink r:id="rId19" w:history="1">
        <w:r>
          <w:rPr>
            <w:rStyle w:val="Hyperlink"/>
            <w:rFonts w:ascii="Times New Roman" w:hAnsi="Times New Roman" w:cs="Times New Roman"/>
            <w:sz w:val="22"/>
            <w:szCs w:val="22"/>
            <w:highlight w:val="lightGray"/>
          </w:rPr>
          <w:t>Appendix V</w:t>
        </w:r>
      </w:hyperlink>
      <w:r w:rsidRPr="006128F6">
        <w:rPr>
          <w:rFonts w:ascii="Times New Roman" w:hAnsi="Times New Roman" w:cs="Times New Roman"/>
          <w:sz w:val="22"/>
          <w:szCs w:val="22"/>
        </w:rPr>
        <w:t>.</w:t>
      </w:r>
      <w:r w:rsidR="00B92138" w:rsidRPr="006128F6">
        <w:rPr>
          <w:rFonts w:ascii="Times New Roman" w:hAnsi="Times New Roman" w:cs="Times New Roman"/>
          <w:sz w:val="22"/>
          <w:szCs w:val="22"/>
        </w:rPr>
        <w:t xml:space="preserve"> </w:t>
      </w:r>
      <w:r w:rsidRPr="006128F6">
        <w:rPr>
          <w:rFonts w:ascii="Times New Roman" w:hAnsi="Times New Roman"/>
          <w:sz w:val="22"/>
        </w:rPr>
        <w:t>By reporting side effects you can help provide more information on the safety of this medicine.</w:t>
      </w:r>
    </w:p>
    <w:p w14:paraId="7B3C8791" w14:textId="77777777" w:rsidR="00577F9F" w:rsidRPr="006128F6" w:rsidRDefault="00577F9F" w:rsidP="006128F6">
      <w:pPr>
        <w:pStyle w:val="BodytextAgency"/>
        <w:spacing w:after="0" w:line="240" w:lineRule="auto"/>
        <w:rPr>
          <w:rFonts w:ascii="Times New Roman" w:hAnsi="Times New Roman" w:cs="Times New Roman"/>
          <w:sz w:val="22"/>
          <w:szCs w:val="22"/>
        </w:rPr>
      </w:pPr>
    </w:p>
    <w:p w14:paraId="5C29B817" w14:textId="77777777" w:rsidR="00577F9F" w:rsidRPr="006128F6" w:rsidRDefault="00577F9F" w:rsidP="006128F6">
      <w:pPr>
        <w:autoSpaceDE w:val="0"/>
        <w:autoSpaceDN w:val="0"/>
        <w:adjustRightInd w:val="0"/>
        <w:spacing w:line="240" w:lineRule="auto"/>
        <w:rPr>
          <w:szCs w:val="22"/>
        </w:rPr>
      </w:pPr>
    </w:p>
    <w:p w14:paraId="47883248" w14:textId="5F41A0E3" w:rsidR="00577F9F" w:rsidRPr="006128F6" w:rsidRDefault="00577F9F" w:rsidP="006128F6">
      <w:pPr>
        <w:numPr>
          <w:ilvl w:val="12"/>
          <w:numId w:val="0"/>
        </w:numPr>
        <w:tabs>
          <w:tab w:val="clear" w:pos="567"/>
        </w:tabs>
        <w:spacing w:line="240" w:lineRule="auto"/>
        <w:ind w:left="567" w:right="-2" w:hanging="567"/>
        <w:rPr>
          <w:b/>
          <w:szCs w:val="22"/>
        </w:rPr>
      </w:pPr>
      <w:r w:rsidRPr="006128F6">
        <w:rPr>
          <w:b/>
          <w:szCs w:val="22"/>
        </w:rPr>
        <w:t>5.</w:t>
      </w:r>
      <w:r w:rsidRPr="006128F6">
        <w:rPr>
          <w:b/>
          <w:szCs w:val="22"/>
        </w:rPr>
        <w:tab/>
        <w:t xml:space="preserve">How to store </w:t>
      </w:r>
      <w:r w:rsidR="008E0EE9" w:rsidRPr="006128F6">
        <w:rPr>
          <w:b/>
          <w:szCs w:val="22"/>
        </w:rPr>
        <w:t>KANJINTI</w:t>
      </w:r>
    </w:p>
    <w:p w14:paraId="4EFDCB86" w14:textId="0880D0A3" w:rsidR="00577F9F" w:rsidRDefault="00577F9F" w:rsidP="006128F6">
      <w:pPr>
        <w:numPr>
          <w:ilvl w:val="12"/>
          <w:numId w:val="0"/>
        </w:numPr>
        <w:tabs>
          <w:tab w:val="clear" w:pos="567"/>
        </w:tabs>
        <w:spacing w:line="240" w:lineRule="auto"/>
        <w:ind w:right="-2"/>
        <w:rPr>
          <w:szCs w:val="22"/>
        </w:rPr>
      </w:pPr>
    </w:p>
    <w:p w14:paraId="72171C76" w14:textId="0149C4CA" w:rsidR="00B93079" w:rsidRPr="005F62B2" w:rsidRDefault="00B93079" w:rsidP="00B93079">
      <w:pPr>
        <w:keepNext/>
        <w:keepLines/>
        <w:rPr>
          <w:szCs w:val="22"/>
        </w:rPr>
      </w:pPr>
      <w:r>
        <w:rPr>
          <w:szCs w:val="22"/>
        </w:rPr>
        <w:t>KANJINTI</w:t>
      </w:r>
      <w:r w:rsidRPr="005F62B2">
        <w:rPr>
          <w:szCs w:val="22"/>
        </w:rPr>
        <w:t xml:space="preserve"> will be stored by the health professionals at the hospital or clinic.</w:t>
      </w:r>
    </w:p>
    <w:p w14:paraId="50D0B75C" w14:textId="77777777" w:rsidR="00B93079" w:rsidRPr="006128F6" w:rsidRDefault="00B93079" w:rsidP="006128F6">
      <w:pPr>
        <w:numPr>
          <w:ilvl w:val="12"/>
          <w:numId w:val="0"/>
        </w:numPr>
        <w:tabs>
          <w:tab w:val="clear" w:pos="567"/>
        </w:tabs>
        <w:spacing w:line="240" w:lineRule="auto"/>
        <w:ind w:right="-2"/>
        <w:rPr>
          <w:szCs w:val="22"/>
        </w:rPr>
      </w:pPr>
    </w:p>
    <w:p w14:paraId="51283391" w14:textId="77777777" w:rsidR="00AE0CEF" w:rsidRPr="006128F6" w:rsidRDefault="00AE0CEF" w:rsidP="00AE0CEF">
      <w:pPr>
        <w:numPr>
          <w:ilvl w:val="12"/>
          <w:numId w:val="0"/>
        </w:numPr>
        <w:tabs>
          <w:tab w:val="clear" w:pos="567"/>
        </w:tabs>
        <w:spacing w:line="240" w:lineRule="auto"/>
        <w:ind w:right="-2"/>
        <w:rPr>
          <w:iCs/>
          <w:szCs w:val="22"/>
        </w:rPr>
      </w:pPr>
      <w:r w:rsidRPr="006128F6">
        <w:rPr>
          <w:iCs/>
          <w:szCs w:val="22"/>
        </w:rPr>
        <w:t>Keep this medicine out of the sight and reach of children.</w:t>
      </w:r>
    </w:p>
    <w:p w14:paraId="315DE6B3" w14:textId="77777777" w:rsidR="00FD50AD" w:rsidRPr="006128F6" w:rsidRDefault="00FD50AD" w:rsidP="006128F6">
      <w:pPr>
        <w:numPr>
          <w:ilvl w:val="12"/>
          <w:numId w:val="0"/>
        </w:numPr>
        <w:tabs>
          <w:tab w:val="clear" w:pos="567"/>
        </w:tabs>
        <w:spacing w:line="240" w:lineRule="auto"/>
        <w:ind w:right="-2"/>
        <w:rPr>
          <w:iCs/>
          <w:szCs w:val="22"/>
        </w:rPr>
      </w:pPr>
    </w:p>
    <w:p w14:paraId="7A6822E3" w14:textId="77777777" w:rsidR="00FD50AD" w:rsidRPr="006128F6" w:rsidRDefault="00FD50AD" w:rsidP="006128F6">
      <w:pPr>
        <w:numPr>
          <w:ilvl w:val="12"/>
          <w:numId w:val="0"/>
        </w:numPr>
        <w:tabs>
          <w:tab w:val="clear" w:pos="567"/>
        </w:tabs>
        <w:spacing w:line="240" w:lineRule="auto"/>
        <w:ind w:right="-2"/>
        <w:rPr>
          <w:iCs/>
          <w:szCs w:val="22"/>
        </w:rPr>
      </w:pPr>
      <w:r w:rsidRPr="006128F6">
        <w:rPr>
          <w:iCs/>
          <w:szCs w:val="22"/>
        </w:rPr>
        <w:t>Do not use this medicine after the expiry date which is stated on the outer carton and on the vial label after EXP. The expiry date refers to the last day of that month.</w:t>
      </w:r>
    </w:p>
    <w:p w14:paraId="080F51B5" w14:textId="77777777" w:rsidR="00FD50AD" w:rsidRPr="006128F6" w:rsidRDefault="00FD50AD" w:rsidP="006128F6">
      <w:pPr>
        <w:numPr>
          <w:ilvl w:val="12"/>
          <w:numId w:val="0"/>
        </w:numPr>
        <w:tabs>
          <w:tab w:val="clear" w:pos="567"/>
        </w:tabs>
        <w:spacing w:line="240" w:lineRule="auto"/>
        <w:ind w:right="-2"/>
        <w:rPr>
          <w:iCs/>
          <w:szCs w:val="22"/>
        </w:rPr>
      </w:pPr>
    </w:p>
    <w:p w14:paraId="7249A766" w14:textId="77777777" w:rsidR="00AE0CEF" w:rsidRPr="006128F6" w:rsidRDefault="00AE0CEF" w:rsidP="00AE0CEF">
      <w:pPr>
        <w:numPr>
          <w:ilvl w:val="12"/>
          <w:numId w:val="0"/>
        </w:numPr>
        <w:tabs>
          <w:tab w:val="clear" w:pos="567"/>
        </w:tabs>
        <w:spacing w:line="240" w:lineRule="auto"/>
        <w:ind w:right="-2"/>
        <w:rPr>
          <w:iCs/>
          <w:szCs w:val="22"/>
        </w:rPr>
      </w:pPr>
      <w:r w:rsidRPr="006128F6">
        <w:rPr>
          <w:iCs/>
          <w:szCs w:val="22"/>
        </w:rPr>
        <w:t>Store in a refrigerator (2°C</w:t>
      </w:r>
      <w:r w:rsidRPr="006128F6">
        <w:rPr>
          <w:color w:val="000000"/>
        </w:rPr>
        <w:t> </w:t>
      </w:r>
      <w:r w:rsidRPr="006128F6">
        <w:rPr>
          <w:color w:val="000000"/>
        </w:rPr>
        <w:noBreakHyphen/>
        <w:t> </w:t>
      </w:r>
      <w:r w:rsidRPr="006128F6">
        <w:rPr>
          <w:iCs/>
          <w:szCs w:val="22"/>
        </w:rPr>
        <w:t>8°C).</w:t>
      </w:r>
      <w:r w:rsidRPr="00D248DE">
        <w:rPr>
          <w:iCs/>
          <w:szCs w:val="22"/>
        </w:rPr>
        <w:t xml:space="preserve"> </w:t>
      </w:r>
      <w:r>
        <w:rPr>
          <w:iCs/>
          <w:szCs w:val="22"/>
        </w:rPr>
        <w:t xml:space="preserve">Do not freeze the reconstituted solution. </w:t>
      </w:r>
      <w:r>
        <w:rPr>
          <w:color w:val="000000"/>
        </w:rPr>
        <w:t>Store in the original package in order to protect from light.</w:t>
      </w:r>
    </w:p>
    <w:p w14:paraId="75CF50CA" w14:textId="77777777" w:rsidR="00FD50AD" w:rsidRPr="006128F6" w:rsidRDefault="00FD50AD" w:rsidP="006128F6">
      <w:pPr>
        <w:numPr>
          <w:ilvl w:val="12"/>
          <w:numId w:val="0"/>
        </w:numPr>
        <w:tabs>
          <w:tab w:val="clear" w:pos="567"/>
        </w:tabs>
        <w:spacing w:line="240" w:lineRule="auto"/>
        <w:ind w:right="-2"/>
        <w:rPr>
          <w:iCs/>
          <w:szCs w:val="22"/>
        </w:rPr>
      </w:pPr>
    </w:p>
    <w:p w14:paraId="2D5B4DA5" w14:textId="456178E4" w:rsidR="00FD50AD" w:rsidRPr="006128F6" w:rsidRDefault="00FD50AD" w:rsidP="006128F6">
      <w:pPr>
        <w:numPr>
          <w:ilvl w:val="12"/>
          <w:numId w:val="0"/>
        </w:numPr>
        <w:tabs>
          <w:tab w:val="clear" w:pos="567"/>
        </w:tabs>
        <w:spacing w:line="240" w:lineRule="auto"/>
        <w:ind w:right="-2"/>
        <w:rPr>
          <w:iCs/>
          <w:szCs w:val="22"/>
        </w:rPr>
      </w:pPr>
      <w:r w:rsidRPr="006128F6">
        <w:rPr>
          <w:iCs/>
          <w:szCs w:val="22"/>
        </w:rPr>
        <w:t xml:space="preserve">Infusion solutions should be used immediately after dilution. </w:t>
      </w:r>
      <w:r w:rsidR="0097704B">
        <w:rPr>
          <w:iCs/>
          <w:szCs w:val="22"/>
        </w:rPr>
        <w:t>If not used immediately, in-use storage times and conditions prior to use are the responsibility of the user, and would not normally be longer than 24</w:t>
      </w:r>
      <w:r w:rsidR="008E7F93" w:rsidRPr="006128F6">
        <w:rPr>
          <w:color w:val="000000"/>
        </w:rPr>
        <w:t> </w:t>
      </w:r>
      <w:r w:rsidR="0097704B">
        <w:rPr>
          <w:iCs/>
          <w:szCs w:val="22"/>
        </w:rPr>
        <w:t xml:space="preserve">hours at </w:t>
      </w:r>
      <w:r w:rsidR="0097704B" w:rsidRPr="006128F6">
        <w:rPr>
          <w:iCs/>
          <w:szCs w:val="22"/>
        </w:rPr>
        <w:t>2°C</w:t>
      </w:r>
      <w:r w:rsidR="0097704B" w:rsidRPr="006128F6">
        <w:rPr>
          <w:color w:val="000000"/>
        </w:rPr>
        <w:t> </w:t>
      </w:r>
      <w:r w:rsidR="0097704B" w:rsidRPr="006128F6">
        <w:rPr>
          <w:color w:val="000000"/>
        </w:rPr>
        <w:noBreakHyphen/>
        <w:t> </w:t>
      </w:r>
      <w:r w:rsidR="0097704B" w:rsidRPr="006128F6">
        <w:rPr>
          <w:iCs/>
          <w:szCs w:val="22"/>
        </w:rPr>
        <w:t>8°C</w:t>
      </w:r>
      <w:r w:rsidR="0097704B">
        <w:rPr>
          <w:iCs/>
          <w:szCs w:val="22"/>
        </w:rPr>
        <w:t xml:space="preserve">. </w:t>
      </w:r>
      <w:r w:rsidRPr="006128F6">
        <w:rPr>
          <w:iCs/>
          <w:szCs w:val="22"/>
        </w:rPr>
        <w:t xml:space="preserve">Do not use </w:t>
      </w:r>
      <w:r w:rsidR="008E0EE9" w:rsidRPr="006128F6">
        <w:rPr>
          <w:iCs/>
          <w:szCs w:val="22"/>
        </w:rPr>
        <w:t>KANJINTI</w:t>
      </w:r>
      <w:r w:rsidR="00D87BC7" w:rsidRPr="006128F6">
        <w:rPr>
          <w:iCs/>
          <w:szCs w:val="22"/>
        </w:rPr>
        <w:t xml:space="preserve"> </w:t>
      </w:r>
      <w:r w:rsidRPr="006128F6">
        <w:rPr>
          <w:iCs/>
          <w:szCs w:val="22"/>
        </w:rPr>
        <w:t>if you notice any particulate matter or discolo</w:t>
      </w:r>
      <w:r w:rsidR="00216F14" w:rsidRPr="006128F6">
        <w:rPr>
          <w:iCs/>
          <w:szCs w:val="22"/>
        </w:rPr>
        <w:t>u</w:t>
      </w:r>
      <w:r w:rsidRPr="006128F6">
        <w:rPr>
          <w:iCs/>
          <w:szCs w:val="22"/>
        </w:rPr>
        <w:t>ration prior to administration.</w:t>
      </w:r>
    </w:p>
    <w:p w14:paraId="22BE7AF3" w14:textId="77777777" w:rsidR="00FD50AD" w:rsidRPr="006128F6" w:rsidRDefault="00FD50AD" w:rsidP="006128F6">
      <w:pPr>
        <w:numPr>
          <w:ilvl w:val="12"/>
          <w:numId w:val="0"/>
        </w:numPr>
        <w:tabs>
          <w:tab w:val="clear" w:pos="567"/>
        </w:tabs>
        <w:spacing w:line="240" w:lineRule="auto"/>
        <w:ind w:right="-2"/>
        <w:rPr>
          <w:iCs/>
          <w:szCs w:val="22"/>
        </w:rPr>
      </w:pPr>
    </w:p>
    <w:p w14:paraId="007F851D" w14:textId="77777777" w:rsidR="00577F9F" w:rsidRPr="006128F6" w:rsidRDefault="00FD50AD" w:rsidP="006128F6">
      <w:pPr>
        <w:numPr>
          <w:ilvl w:val="12"/>
          <w:numId w:val="0"/>
        </w:numPr>
        <w:tabs>
          <w:tab w:val="clear" w:pos="567"/>
        </w:tabs>
        <w:spacing w:line="240" w:lineRule="auto"/>
        <w:ind w:right="-2"/>
        <w:rPr>
          <w:iCs/>
          <w:szCs w:val="22"/>
        </w:rPr>
      </w:pPr>
      <w:r w:rsidRPr="006128F6">
        <w:rPr>
          <w:iCs/>
          <w:szCs w:val="22"/>
        </w:rPr>
        <w:t>Medicines should not be disposed of via wastewater or household waste. Ask your pharmacist how to dispose of medicines no longer required. These measures will help to protect the environment.</w:t>
      </w:r>
    </w:p>
    <w:p w14:paraId="37224BEE" w14:textId="77777777" w:rsidR="00577F9F" w:rsidRPr="006128F6" w:rsidRDefault="00577F9F" w:rsidP="006128F6">
      <w:pPr>
        <w:numPr>
          <w:ilvl w:val="12"/>
          <w:numId w:val="0"/>
        </w:numPr>
        <w:tabs>
          <w:tab w:val="clear" w:pos="567"/>
        </w:tabs>
        <w:spacing w:line="240" w:lineRule="auto"/>
        <w:ind w:right="-2"/>
        <w:rPr>
          <w:szCs w:val="22"/>
        </w:rPr>
      </w:pPr>
    </w:p>
    <w:p w14:paraId="39C7AB40" w14:textId="77777777" w:rsidR="00577F9F" w:rsidRPr="006128F6" w:rsidRDefault="00577F9F" w:rsidP="006128F6">
      <w:pPr>
        <w:numPr>
          <w:ilvl w:val="12"/>
          <w:numId w:val="0"/>
        </w:numPr>
        <w:tabs>
          <w:tab w:val="clear" w:pos="567"/>
        </w:tabs>
        <w:spacing w:line="240" w:lineRule="auto"/>
        <w:ind w:right="-2"/>
        <w:rPr>
          <w:szCs w:val="22"/>
        </w:rPr>
      </w:pPr>
    </w:p>
    <w:p w14:paraId="3C01879F" w14:textId="77777777" w:rsidR="00577F9F" w:rsidRPr="006128F6" w:rsidRDefault="00577F9F" w:rsidP="005477BB">
      <w:pPr>
        <w:keepNext/>
        <w:keepLines/>
        <w:numPr>
          <w:ilvl w:val="12"/>
          <w:numId w:val="0"/>
        </w:numPr>
        <w:spacing w:line="240" w:lineRule="auto"/>
        <w:ind w:left="567" w:hanging="567"/>
        <w:rPr>
          <w:b/>
        </w:rPr>
      </w:pPr>
      <w:r w:rsidRPr="006128F6">
        <w:rPr>
          <w:b/>
        </w:rPr>
        <w:t>6.</w:t>
      </w:r>
      <w:r w:rsidRPr="006128F6">
        <w:rPr>
          <w:b/>
        </w:rPr>
        <w:tab/>
        <w:t>Contents of the pack and other information</w:t>
      </w:r>
    </w:p>
    <w:p w14:paraId="21BCC2A5" w14:textId="77777777" w:rsidR="00577F9F" w:rsidRPr="006128F6" w:rsidRDefault="00577F9F" w:rsidP="00395B00">
      <w:pPr>
        <w:keepNext/>
        <w:keepLines/>
        <w:numPr>
          <w:ilvl w:val="12"/>
          <w:numId w:val="0"/>
        </w:numPr>
        <w:tabs>
          <w:tab w:val="clear" w:pos="567"/>
        </w:tabs>
        <w:spacing w:line="240" w:lineRule="auto"/>
      </w:pPr>
    </w:p>
    <w:p w14:paraId="6183EC49" w14:textId="17AB430D" w:rsidR="00577F9F" w:rsidRPr="006128F6" w:rsidRDefault="00577F9F" w:rsidP="00395B00">
      <w:pPr>
        <w:keepNext/>
        <w:keepLines/>
        <w:numPr>
          <w:ilvl w:val="12"/>
          <w:numId w:val="0"/>
        </w:numPr>
        <w:tabs>
          <w:tab w:val="clear" w:pos="567"/>
        </w:tabs>
        <w:spacing w:line="240" w:lineRule="auto"/>
        <w:ind w:right="-2"/>
        <w:rPr>
          <w:b/>
        </w:rPr>
      </w:pPr>
      <w:r w:rsidRPr="006128F6">
        <w:rPr>
          <w:b/>
        </w:rPr>
        <w:t>What</w:t>
      </w:r>
      <w:r w:rsidR="00FD50AD" w:rsidRPr="006128F6">
        <w:rPr>
          <w:b/>
        </w:rPr>
        <w:t xml:space="preserve"> </w:t>
      </w:r>
      <w:r w:rsidR="008E0EE9" w:rsidRPr="006128F6">
        <w:rPr>
          <w:b/>
        </w:rPr>
        <w:t>KANJINTI</w:t>
      </w:r>
      <w:r w:rsidRPr="006128F6">
        <w:rPr>
          <w:b/>
        </w:rPr>
        <w:t xml:space="preserve"> contains </w:t>
      </w:r>
    </w:p>
    <w:p w14:paraId="1D0C9D24" w14:textId="77777777" w:rsidR="00B67AD8" w:rsidRPr="006128F6" w:rsidRDefault="00FD50AD" w:rsidP="00395B00">
      <w:pPr>
        <w:pStyle w:val="ListParagraph"/>
        <w:keepNext/>
        <w:keepLines/>
        <w:numPr>
          <w:ilvl w:val="1"/>
          <w:numId w:val="17"/>
        </w:numPr>
        <w:tabs>
          <w:tab w:val="clear" w:pos="567"/>
        </w:tabs>
        <w:spacing w:line="240" w:lineRule="auto"/>
        <w:ind w:left="567" w:hanging="567"/>
        <w:rPr>
          <w:szCs w:val="22"/>
        </w:rPr>
      </w:pPr>
      <w:r w:rsidRPr="006128F6">
        <w:rPr>
          <w:szCs w:val="22"/>
        </w:rPr>
        <w:t xml:space="preserve">The active substance is trastuzumab. Each vial contains </w:t>
      </w:r>
      <w:r w:rsidR="00B67AD8" w:rsidRPr="006128F6">
        <w:rPr>
          <w:szCs w:val="22"/>
        </w:rPr>
        <w:t>either:</w:t>
      </w:r>
    </w:p>
    <w:p w14:paraId="07F521C8" w14:textId="0D6940E4" w:rsidR="00B67AD8" w:rsidRPr="006128F6" w:rsidRDefault="00FD50AD" w:rsidP="00395B00">
      <w:pPr>
        <w:pStyle w:val="ListParagraph"/>
        <w:keepNext/>
        <w:keepLines/>
        <w:numPr>
          <w:ilvl w:val="0"/>
          <w:numId w:val="17"/>
        </w:numPr>
        <w:tabs>
          <w:tab w:val="clear" w:pos="567"/>
        </w:tabs>
        <w:spacing w:line="240" w:lineRule="auto"/>
        <w:ind w:left="1134" w:hanging="567"/>
        <w:rPr>
          <w:szCs w:val="22"/>
        </w:rPr>
      </w:pPr>
      <w:r w:rsidRPr="006128F6">
        <w:rPr>
          <w:szCs w:val="22"/>
        </w:rPr>
        <w:t>150</w:t>
      </w:r>
      <w:r w:rsidR="007C066F" w:rsidRPr="006128F6">
        <w:rPr>
          <w:szCs w:val="22"/>
        </w:rPr>
        <w:t> </w:t>
      </w:r>
      <w:r w:rsidRPr="006128F6">
        <w:rPr>
          <w:szCs w:val="22"/>
        </w:rPr>
        <w:t>mg trastuzumab that has to be dissolved in 7.2</w:t>
      </w:r>
      <w:r w:rsidR="007C066F" w:rsidRPr="006128F6">
        <w:rPr>
          <w:szCs w:val="22"/>
        </w:rPr>
        <w:t> </w:t>
      </w:r>
      <w:r w:rsidRPr="006128F6">
        <w:rPr>
          <w:szCs w:val="22"/>
        </w:rPr>
        <w:t>mL of water for injection</w:t>
      </w:r>
      <w:r w:rsidR="00C33F49">
        <w:rPr>
          <w:szCs w:val="22"/>
        </w:rPr>
        <w:t>, or</w:t>
      </w:r>
      <w:r w:rsidRPr="006128F6">
        <w:rPr>
          <w:szCs w:val="22"/>
        </w:rPr>
        <w:t xml:space="preserve"> </w:t>
      </w:r>
    </w:p>
    <w:p w14:paraId="621DB5DE" w14:textId="19EB2BA5" w:rsidR="00B67AD8" w:rsidRPr="006128F6" w:rsidRDefault="00B67AD8" w:rsidP="00395B00">
      <w:pPr>
        <w:pStyle w:val="ListParagraph"/>
        <w:keepNext/>
        <w:keepLines/>
        <w:numPr>
          <w:ilvl w:val="0"/>
          <w:numId w:val="17"/>
        </w:numPr>
        <w:tabs>
          <w:tab w:val="clear" w:pos="567"/>
        </w:tabs>
        <w:spacing w:line="240" w:lineRule="auto"/>
        <w:ind w:left="1134" w:hanging="567"/>
        <w:rPr>
          <w:szCs w:val="22"/>
        </w:rPr>
      </w:pPr>
      <w:r w:rsidRPr="006128F6">
        <w:rPr>
          <w:szCs w:val="22"/>
        </w:rPr>
        <w:t>4</w:t>
      </w:r>
      <w:r w:rsidR="00B02181">
        <w:rPr>
          <w:szCs w:val="22"/>
        </w:rPr>
        <w:t>2</w:t>
      </w:r>
      <w:r w:rsidRPr="006128F6">
        <w:rPr>
          <w:szCs w:val="22"/>
        </w:rPr>
        <w:t>0</w:t>
      </w:r>
      <w:r w:rsidR="007C066F" w:rsidRPr="006128F6">
        <w:rPr>
          <w:szCs w:val="22"/>
        </w:rPr>
        <w:t> </w:t>
      </w:r>
      <w:r w:rsidRPr="006128F6">
        <w:rPr>
          <w:szCs w:val="22"/>
        </w:rPr>
        <w:t>mg trastuzumab that has to be dissolved in 20</w:t>
      </w:r>
      <w:r w:rsidR="007C066F" w:rsidRPr="006128F6">
        <w:rPr>
          <w:szCs w:val="22"/>
        </w:rPr>
        <w:t> </w:t>
      </w:r>
      <w:r w:rsidRPr="006128F6">
        <w:rPr>
          <w:szCs w:val="22"/>
        </w:rPr>
        <w:t>mL of water for injection.</w:t>
      </w:r>
    </w:p>
    <w:p w14:paraId="28D6F90A" w14:textId="2C349B3D" w:rsidR="00240F27" w:rsidRPr="006128F6" w:rsidRDefault="00FD50AD" w:rsidP="006128F6">
      <w:pPr>
        <w:pStyle w:val="ListParagraph"/>
        <w:numPr>
          <w:ilvl w:val="1"/>
          <w:numId w:val="17"/>
        </w:numPr>
        <w:tabs>
          <w:tab w:val="clear" w:pos="567"/>
        </w:tabs>
        <w:spacing w:line="240" w:lineRule="auto"/>
        <w:ind w:left="567" w:hanging="567"/>
        <w:rPr>
          <w:szCs w:val="22"/>
        </w:rPr>
      </w:pPr>
      <w:r w:rsidRPr="006128F6">
        <w:rPr>
          <w:szCs w:val="22"/>
        </w:rPr>
        <w:t>The resulting solution contains approximately 21</w:t>
      </w:r>
      <w:r w:rsidR="007C066F" w:rsidRPr="006128F6">
        <w:rPr>
          <w:szCs w:val="22"/>
        </w:rPr>
        <w:t> </w:t>
      </w:r>
      <w:r w:rsidRPr="006128F6">
        <w:rPr>
          <w:szCs w:val="22"/>
        </w:rPr>
        <w:t>mg/mL trastuzumab.</w:t>
      </w:r>
    </w:p>
    <w:p w14:paraId="5A1CC3FB" w14:textId="04143459" w:rsidR="00240F27" w:rsidRPr="006128F6" w:rsidRDefault="00240F27" w:rsidP="006128F6">
      <w:pPr>
        <w:pStyle w:val="ListParagraph"/>
        <w:numPr>
          <w:ilvl w:val="1"/>
          <w:numId w:val="17"/>
        </w:numPr>
        <w:tabs>
          <w:tab w:val="clear" w:pos="567"/>
        </w:tabs>
        <w:spacing w:line="240" w:lineRule="auto"/>
        <w:ind w:left="567" w:hanging="567"/>
        <w:rPr>
          <w:szCs w:val="22"/>
        </w:rPr>
      </w:pPr>
      <w:r w:rsidRPr="006128F6">
        <w:rPr>
          <w:szCs w:val="22"/>
        </w:rPr>
        <w:t xml:space="preserve">The other ingredient(s) are </w:t>
      </w:r>
      <w:r w:rsidR="00A4219B" w:rsidRPr="00CE427E">
        <w:rPr>
          <w:rFonts w:eastAsia="Calibri"/>
          <w:color w:val="000000"/>
          <w:szCs w:val="22"/>
        </w:rPr>
        <w:t xml:space="preserve">histidine, histidine monohydrochloride, trehalose </w:t>
      </w:r>
      <w:r w:rsidR="00074E07" w:rsidRPr="00CE427E">
        <w:rPr>
          <w:rFonts w:eastAsia="Calibri"/>
          <w:color w:val="000000"/>
          <w:szCs w:val="22"/>
        </w:rPr>
        <w:t>dihy</w:t>
      </w:r>
      <w:r w:rsidR="00A4219B" w:rsidRPr="00CE427E">
        <w:rPr>
          <w:rFonts w:eastAsia="Calibri"/>
          <w:color w:val="000000"/>
          <w:szCs w:val="22"/>
        </w:rPr>
        <w:t>drate,</w:t>
      </w:r>
      <w:r w:rsidRPr="006128F6">
        <w:rPr>
          <w:iCs/>
          <w:szCs w:val="22"/>
        </w:rPr>
        <w:t xml:space="preserve"> polysorbate 20.</w:t>
      </w:r>
    </w:p>
    <w:p w14:paraId="1C975BBD" w14:textId="77777777" w:rsidR="00577F9F" w:rsidRPr="006128F6" w:rsidRDefault="00577F9F" w:rsidP="006128F6">
      <w:pPr>
        <w:numPr>
          <w:ilvl w:val="12"/>
          <w:numId w:val="0"/>
        </w:numPr>
        <w:tabs>
          <w:tab w:val="clear" w:pos="567"/>
        </w:tabs>
        <w:spacing w:line="240" w:lineRule="auto"/>
        <w:ind w:right="-2"/>
        <w:rPr>
          <w:szCs w:val="22"/>
        </w:rPr>
      </w:pPr>
    </w:p>
    <w:p w14:paraId="75A7162F" w14:textId="2365EC3F" w:rsidR="00577F9F" w:rsidRPr="006128F6" w:rsidRDefault="00577F9F" w:rsidP="00F41634">
      <w:pPr>
        <w:keepNext/>
        <w:numPr>
          <w:ilvl w:val="12"/>
          <w:numId w:val="0"/>
        </w:numPr>
        <w:tabs>
          <w:tab w:val="clear" w:pos="567"/>
        </w:tabs>
        <w:spacing w:line="240" w:lineRule="auto"/>
        <w:rPr>
          <w:b/>
        </w:rPr>
      </w:pPr>
      <w:r w:rsidRPr="006128F6">
        <w:rPr>
          <w:b/>
        </w:rPr>
        <w:t xml:space="preserve">What </w:t>
      </w:r>
      <w:r w:rsidR="008E0EE9" w:rsidRPr="006128F6">
        <w:rPr>
          <w:b/>
        </w:rPr>
        <w:t>KANJINTI</w:t>
      </w:r>
      <w:r w:rsidRPr="006128F6">
        <w:rPr>
          <w:b/>
        </w:rPr>
        <w:t xml:space="preserve"> looks like and contents of the pack</w:t>
      </w:r>
    </w:p>
    <w:p w14:paraId="0C95C6D4" w14:textId="0184ED0F" w:rsidR="00C017B9" w:rsidRPr="006128F6" w:rsidRDefault="008E0EE9" w:rsidP="006128F6">
      <w:pPr>
        <w:numPr>
          <w:ilvl w:val="12"/>
          <w:numId w:val="0"/>
        </w:numPr>
        <w:tabs>
          <w:tab w:val="clear" w:pos="567"/>
        </w:tabs>
        <w:spacing w:line="240" w:lineRule="auto"/>
        <w:ind w:right="-2"/>
      </w:pPr>
      <w:r w:rsidRPr="006128F6">
        <w:t>KANJINTI</w:t>
      </w:r>
      <w:r w:rsidR="00B67AD8" w:rsidRPr="006128F6">
        <w:t xml:space="preserve"> </w:t>
      </w:r>
      <w:r w:rsidR="00C017B9" w:rsidRPr="006128F6">
        <w:t xml:space="preserve">is a powder for concentrate for solution, which is supplied in a glass vial with a rubber stopper containing </w:t>
      </w:r>
      <w:r w:rsidR="00B67AD8" w:rsidRPr="006128F6">
        <w:t xml:space="preserve">either </w:t>
      </w:r>
      <w:r w:rsidR="00C017B9" w:rsidRPr="006128F6">
        <w:t>150</w:t>
      </w:r>
      <w:r w:rsidR="007C066F" w:rsidRPr="006128F6">
        <w:t> </w:t>
      </w:r>
      <w:r w:rsidR="00C017B9" w:rsidRPr="006128F6">
        <w:t xml:space="preserve">mg </w:t>
      </w:r>
      <w:r w:rsidR="00B67AD8" w:rsidRPr="006128F6">
        <w:t>or 4</w:t>
      </w:r>
      <w:r w:rsidR="00B02181">
        <w:t>2</w:t>
      </w:r>
      <w:r w:rsidR="00B67AD8" w:rsidRPr="006128F6">
        <w:t>0</w:t>
      </w:r>
      <w:r w:rsidR="007C066F" w:rsidRPr="006128F6">
        <w:t> </w:t>
      </w:r>
      <w:r w:rsidR="00B67AD8" w:rsidRPr="006128F6">
        <w:t xml:space="preserve">mg </w:t>
      </w:r>
      <w:r w:rsidR="00C017B9" w:rsidRPr="006128F6">
        <w:t>of trastuzumab. The powder is a white to pale yellow pellet. Each carton contains 1 vial of powder.</w:t>
      </w:r>
    </w:p>
    <w:p w14:paraId="68F9601F" w14:textId="77777777" w:rsidR="00C017B9" w:rsidRPr="006128F6" w:rsidRDefault="00C017B9" w:rsidP="006128F6">
      <w:pPr>
        <w:numPr>
          <w:ilvl w:val="12"/>
          <w:numId w:val="0"/>
        </w:numPr>
        <w:tabs>
          <w:tab w:val="clear" w:pos="567"/>
        </w:tabs>
        <w:spacing w:line="240" w:lineRule="auto"/>
      </w:pPr>
    </w:p>
    <w:p w14:paraId="41E96C70" w14:textId="77777777" w:rsidR="00C017B9" w:rsidRPr="006128F6" w:rsidRDefault="00C017B9" w:rsidP="006128F6">
      <w:pPr>
        <w:numPr>
          <w:ilvl w:val="12"/>
          <w:numId w:val="0"/>
        </w:numPr>
        <w:tabs>
          <w:tab w:val="clear" w:pos="567"/>
        </w:tabs>
        <w:spacing w:line="240" w:lineRule="auto"/>
        <w:ind w:right="-2"/>
        <w:rPr>
          <w:b/>
        </w:rPr>
      </w:pPr>
      <w:r w:rsidRPr="006128F6">
        <w:rPr>
          <w:b/>
        </w:rPr>
        <w:t>Marketing Authorisation Holder and Manufacturer</w:t>
      </w:r>
    </w:p>
    <w:p w14:paraId="32F1E319" w14:textId="77777777" w:rsidR="00C017B9" w:rsidRPr="006128F6" w:rsidRDefault="00C017B9" w:rsidP="006128F6">
      <w:pPr>
        <w:keepNext/>
        <w:spacing w:line="240" w:lineRule="auto"/>
        <w:ind w:right="-1"/>
      </w:pPr>
      <w:r w:rsidRPr="006128F6">
        <w:t>Amgen Europe B.V.</w:t>
      </w:r>
    </w:p>
    <w:p w14:paraId="04A20AD4" w14:textId="63871404" w:rsidR="00C017B9" w:rsidRPr="006128F6" w:rsidRDefault="00C017B9" w:rsidP="006128F6">
      <w:pPr>
        <w:keepNext/>
        <w:spacing w:line="240" w:lineRule="auto"/>
        <w:ind w:right="-1"/>
      </w:pPr>
      <w:r w:rsidRPr="006128F6">
        <w:t>Minervum 7061</w:t>
      </w:r>
    </w:p>
    <w:p w14:paraId="57862B33" w14:textId="5017C6CE" w:rsidR="00C017B9" w:rsidRPr="006128F6" w:rsidRDefault="00C017B9" w:rsidP="006128F6">
      <w:pPr>
        <w:keepNext/>
        <w:spacing w:line="240" w:lineRule="auto"/>
        <w:ind w:right="-1"/>
      </w:pPr>
      <w:r w:rsidRPr="006128F6">
        <w:t>NL</w:t>
      </w:r>
      <w:r w:rsidRPr="006128F6">
        <w:noBreakHyphen/>
        <w:t>4817 ZK Breda</w:t>
      </w:r>
    </w:p>
    <w:p w14:paraId="5134289B" w14:textId="77777777" w:rsidR="00C017B9" w:rsidRPr="006128F6" w:rsidRDefault="00C017B9" w:rsidP="005477BB">
      <w:pPr>
        <w:pStyle w:val="CM2"/>
        <w:widowControl/>
        <w:spacing w:line="240" w:lineRule="auto"/>
        <w:rPr>
          <w:sz w:val="22"/>
          <w:szCs w:val="22"/>
          <w:lang w:eastAsia="en-US"/>
        </w:rPr>
      </w:pPr>
      <w:r w:rsidRPr="006128F6">
        <w:rPr>
          <w:sz w:val="22"/>
          <w:szCs w:val="22"/>
          <w:lang w:eastAsia="en-US"/>
        </w:rPr>
        <w:t>The Netherlands</w:t>
      </w:r>
    </w:p>
    <w:p w14:paraId="68097C63" w14:textId="3392ED1A" w:rsidR="005D3257" w:rsidRDefault="005D3257" w:rsidP="005D3257">
      <w:pPr>
        <w:widowControl w:val="0"/>
        <w:autoSpaceDE w:val="0"/>
        <w:autoSpaceDN w:val="0"/>
        <w:adjustRightInd w:val="0"/>
        <w:spacing w:line="240" w:lineRule="auto"/>
        <w:ind w:right="120"/>
      </w:pPr>
    </w:p>
    <w:p w14:paraId="51DD2832" w14:textId="23203E59" w:rsidR="007F4DCD" w:rsidRPr="00A402C2" w:rsidRDefault="007F4DCD" w:rsidP="00E37929">
      <w:pPr>
        <w:keepNext/>
        <w:keepLines/>
        <w:spacing w:line="240" w:lineRule="auto"/>
      </w:pPr>
      <w:r>
        <w:rPr>
          <w:b/>
          <w:bCs/>
          <w:color w:val="000000"/>
          <w:highlight w:val="lightGray"/>
          <w:lang w:eastAsia="en-GB"/>
        </w:rPr>
        <w:lastRenderedPageBreak/>
        <w:t>Marketing Authorisation Holder</w:t>
      </w:r>
    </w:p>
    <w:p w14:paraId="2C5BE7B9" w14:textId="77777777" w:rsidR="007F4DCD" w:rsidRPr="00C25AB7" w:rsidRDefault="007F4DCD" w:rsidP="00E37929">
      <w:pPr>
        <w:keepNext/>
        <w:keepLines/>
        <w:spacing w:line="240" w:lineRule="auto"/>
        <w:rPr>
          <w:lang w:val="de-DE"/>
        </w:rPr>
      </w:pPr>
      <w:r>
        <w:rPr>
          <w:color w:val="000000"/>
          <w:highlight w:val="lightGray"/>
          <w:lang w:val="de-DE" w:eastAsia="en-GB"/>
        </w:rPr>
        <w:t>Amgen Europe B.V.</w:t>
      </w:r>
    </w:p>
    <w:p w14:paraId="5CD56AB7" w14:textId="3B329A9D" w:rsidR="007F4DCD" w:rsidRPr="00C25AB7" w:rsidRDefault="007F4DCD" w:rsidP="00E37929">
      <w:pPr>
        <w:keepNext/>
        <w:keepLines/>
        <w:spacing w:line="240" w:lineRule="auto"/>
        <w:rPr>
          <w:lang w:val="de-DE"/>
        </w:rPr>
      </w:pPr>
      <w:r>
        <w:rPr>
          <w:color w:val="000000"/>
          <w:highlight w:val="lightGray"/>
          <w:lang w:val="de-DE" w:eastAsia="en-GB"/>
        </w:rPr>
        <w:t>Minervum 7061</w:t>
      </w:r>
    </w:p>
    <w:p w14:paraId="026BC567" w14:textId="1F624158" w:rsidR="007F4DCD" w:rsidRPr="00A402C2" w:rsidRDefault="007F4DCD" w:rsidP="00E37929">
      <w:pPr>
        <w:keepNext/>
        <w:keepLines/>
        <w:spacing w:line="240" w:lineRule="auto"/>
      </w:pPr>
      <w:r>
        <w:rPr>
          <w:color w:val="000000"/>
          <w:highlight w:val="lightGray"/>
          <w:lang w:eastAsia="en-GB"/>
        </w:rPr>
        <w:t>NL-4817 ZK Breda</w:t>
      </w:r>
    </w:p>
    <w:p w14:paraId="269EC6D4" w14:textId="7B80A880" w:rsidR="007F4DCD" w:rsidRPr="00A402C2" w:rsidRDefault="007F4DCD" w:rsidP="005477BB">
      <w:pPr>
        <w:widowControl w:val="0"/>
        <w:autoSpaceDE w:val="0"/>
        <w:autoSpaceDN w:val="0"/>
        <w:adjustRightInd w:val="0"/>
        <w:spacing w:line="240" w:lineRule="auto"/>
      </w:pPr>
      <w:r>
        <w:rPr>
          <w:color w:val="000000"/>
          <w:highlight w:val="lightGray"/>
          <w:lang w:eastAsia="en-GB"/>
        </w:rPr>
        <w:t>The Netherlands</w:t>
      </w:r>
    </w:p>
    <w:p w14:paraId="0E443C53" w14:textId="77777777" w:rsidR="007F4DCD" w:rsidRDefault="007F4DCD" w:rsidP="005D3257">
      <w:pPr>
        <w:widowControl w:val="0"/>
        <w:autoSpaceDE w:val="0"/>
        <w:autoSpaceDN w:val="0"/>
        <w:adjustRightInd w:val="0"/>
        <w:spacing w:line="240" w:lineRule="auto"/>
        <w:ind w:right="120"/>
      </w:pPr>
    </w:p>
    <w:p w14:paraId="423C3894" w14:textId="04D65157" w:rsidR="005D3257" w:rsidRDefault="005D3257" w:rsidP="005D3257">
      <w:pPr>
        <w:widowControl w:val="0"/>
        <w:autoSpaceDE w:val="0"/>
        <w:autoSpaceDN w:val="0"/>
        <w:adjustRightInd w:val="0"/>
        <w:spacing w:line="240" w:lineRule="auto"/>
        <w:ind w:right="120"/>
        <w:rPr>
          <w:highlight w:val="lightGray"/>
        </w:rPr>
      </w:pPr>
      <w:r>
        <w:rPr>
          <w:b/>
          <w:highlight w:val="lightGray"/>
        </w:rPr>
        <w:t>Manufacturer</w:t>
      </w:r>
      <w:r>
        <w:rPr>
          <w:highlight w:val="lightGray"/>
        </w:rPr>
        <w:t xml:space="preserve"> </w:t>
      </w:r>
    </w:p>
    <w:p w14:paraId="3C7BCC63" w14:textId="79B99411" w:rsidR="005D3257" w:rsidRDefault="005D3257" w:rsidP="005D3257">
      <w:pPr>
        <w:widowControl w:val="0"/>
        <w:autoSpaceDE w:val="0"/>
        <w:autoSpaceDN w:val="0"/>
        <w:adjustRightInd w:val="0"/>
        <w:spacing w:line="240" w:lineRule="auto"/>
        <w:ind w:right="120"/>
        <w:rPr>
          <w:highlight w:val="lightGray"/>
        </w:rPr>
      </w:pPr>
      <w:r>
        <w:rPr>
          <w:highlight w:val="lightGray"/>
        </w:rPr>
        <w:t>Amgen NV</w:t>
      </w:r>
    </w:p>
    <w:p w14:paraId="745CD850" w14:textId="2704AEFB" w:rsidR="005D3257" w:rsidRDefault="005D3257" w:rsidP="005D3257">
      <w:pPr>
        <w:widowControl w:val="0"/>
        <w:autoSpaceDE w:val="0"/>
        <w:autoSpaceDN w:val="0"/>
        <w:adjustRightInd w:val="0"/>
        <w:spacing w:line="240" w:lineRule="auto"/>
        <w:ind w:right="120"/>
        <w:rPr>
          <w:highlight w:val="lightGray"/>
        </w:rPr>
      </w:pPr>
      <w:r>
        <w:rPr>
          <w:highlight w:val="lightGray"/>
        </w:rPr>
        <w:t>Telecomlaan 5-7</w:t>
      </w:r>
    </w:p>
    <w:p w14:paraId="28E379E9" w14:textId="5F725BEA" w:rsidR="005D3257" w:rsidRDefault="005D3257" w:rsidP="005D3257">
      <w:pPr>
        <w:widowControl w:val="0"/>
        <w:autoSpaceDE w:val="0"/>
        <w:autoSpaceDN w:val="0"/>
        <w:adjustRightInd w:val="0"/>
        <w:spacing w:line="240" w:lineRule="auto"/>
        <w:ind w:right="120"/>
        <w:rPr>
          <w:highlight w:val="lightGray"/>
        </w:rPr>
      </w:pPr>
      <w:r>
        <w:rPr>
          <w:highlight w:val="lightGray"/>
        </w:rPr>
        <w:t>1831 Diegem</w:t>
      </w:r>
    </w:p>
    <w:p w14:paraId="39C8BB6F" w14:textId="77777777" w:rsidR="005D3257" w:rsidRDefault="005D3257" w:rsidP="005D3257">
      <w:pPr>
        <w:widowControl w:val="0"/>
        <w:autoSpaceDE w:val="0"/>
        <w:autoSpaceDN w:val="0"/>
        <w:adjustRightInd w:val="0"/>
        <w:spacing w:line="240" w:lineRule="auto"/>
        <w:ind w:right="120"/>
      </w:pPr>
      <w:r>
        <w:rPr>
          <w:highlight w:val="lightGray"/>
        </w:rPr>
        <w:t>Belgium</w:t>
      </w:r>
    </w:p>
    <w:p w14:paraId="59069D6C" w14:textId="77777777" w:rsidR="00C017B9" w:rsidRPr="006128F6" w:rsidRDefault="00C017B9" w:rsidP="006128F6">
      <w:pPr>
        <w:pStyle w:val="Default"/>
        <w:rPr>
          <w:sz w:val="22"/>
          <w:lang w:eastAsia="en-US"/>
        </w:rPr>
      </w:pPr>
    </w:p>
    <w:p w14:paraId="61E3A407" w14:textId="77777777" w:rsidR="00C017B9" w:rsidRPr="006128F6" w:rsidRDefault="00C017B9" w:rsidP="006128F6">
      <w:pPr>
        <w:numPr>
          <w:ilvl w:val="12"/>
          <w:numId w:val="0"/>
        </w:numPr>
        <w:tabs>
          <w:tab w:val="clear" w:pos="567"/>
        </w:tabs>
        <w:spacing w:line="240" w:lineRule="auto"/>
        <w:ind w:right="-2"/>
        <w:rPr>
          <w:szCs w:val="22"/>
        </w:rPr>
      </w:pPr>
      <w:r w:rsidRPr="006128F6">
        <w:rPr>
          <w:szCs w:val="22"/>
        </w:rPr>
        <w:t>For any information about this medicine, please contact the local representative of the Marketing Authorisation Holder:</w:t>
      </w:r>
    </w:p>
    <w:p w14:paraId="0FF54DAD" w14:textId="77777777" w:rsidR="00F57A60" w:rsidRPr="006128F6" w:rsidRDefault="00F57A60" w:rsidP="006128F6">
      <w:pPr>
        <w:numPr>
          <w:ilvl w:val="12"/>
          <w:numId w:val="0"/>
        </w:numPr>
        <w:tabs>
          <w:tab w:val="clear" w:pos="567"/>
        </w:tabs>
        <w:spacing w:line="240" w:lineRule="auto"/>
        <w:ind w:right="-2"/>
        <w:rPr>
          <w:szCs w:val="22"/>
        </w:rPr>
      </w:pPr>
    </w:p>
    <w:tbl>
      <w:tblPr>
        <w:tblW w:w="5000" w:type="pct"/>
        <w:tblLook w:val="04A0" w:firstRow="1" w:lastRow="0" w:firstColumn="1" w:lastColumn="0" w:noHBand="0" w:noVBand="1"/>
      </w:tblPr>
      <w:tblGrid>
        <w:gridCol w:w="4642"/>
        <w:gridCol w:w="4645"/>
      </w:tblGrid>
      <w:tr w:rsidR="00F57A60" w:rsidRPr="006128F6" w14:paraId="0656BBEC" w14:textId="77777777" w:rsidTr="00DE02D6">
        <w:trPr>
          <w:cantSplit/>
        </w:trPr>
        <w:tc>
          <w:tcPr>
            <w:tcW w:w="2499" w:type="pct"/>
            <w:shd w:val="clear" w:color="auto" w:fill="auto"/>
          </w:tcPr>
          <w:p w14:paraId="50A45091" w14:textId="77777777" w:rsidR="00F57A60" w:rsidRPr="00754BDD" w:rsidRDefault="00F57A60" w:rsidP="006128F6">
            <w:pPr>
              <w:pStyle w:val="lbltxt"/>
              <w:rPr>
                <w:noProof w:val="0"/>
                <w:szCs w:val="22"/>
                <w:lang w:val="fr-FR"/>
              </w:rPr>
            </w:pPr>
            <w:r w:rsidRPr="00754BDD">
              <w:rPr>
                <w:b/>
                <w:noProof w:val="0"/>
                <w:szCs w:val="22"/>
                <w:lang w:val="fr-FR"/>
              </w:rPr>
              <w:t>België/Belgique/Belgien</w:t>
            </w:r>
          </w:p>
          <w:p w14:paraId="4AB3B9A5" w14:textId="77777777" w:rsidR="00F57A60" w:rsidRPr="00754BDD" w:rsidRDefault="00F57A60" w:rsidP="006128F6">
            <w:pPr>
              <w:pStyle w:val="lbltxt"/>
              <w:rPr>
                <w:noProof w:val="0"/>
                <w:szCs w:val="22"/>
                <w:lang w:val="fr-FR"/>
              </w:rPr>
            </w:pPr>
            <w:r w:rsidRPr="00754BDD">
              <w:rPr>
                <w:noProof w:val="0"/>
                <w:szCs w:val="22"/>
                <w:lang w:val="fr-FR"/>
              </w:rPr>
              <w:t>s.a. Amgen n.v.</w:t>
            </w:r>
          </w:p>
          <w:p w14:paraId="6BE5C927" w14:textId="77777777" w:rsidR="00F57A60" w:rsidRPr="006128F6" w:rsidRDefault="00F57A60" w:rsidP="006128F6">
            <w:pPr>
              <w:rPr>
                <w:szCs w:val="22"/>
              </w:rPr>
            </w:pPr>
            <w:r w:rsidRPr="006128F6">
              <w:rPr>
                <w:szCs w:val="22"/>
              </w:rPr>
              <w:t>Tel/Tél: +32 (0)2 7752711</w:t>
            </w:r>
          </w:p>
          <w:p w14:paraId="6962D1AE" w14:textId="77777777" w:rsidR="00F57A60" w:rsidRPr="006128F6" w:rsidRDefault="00F57A60" w:rsidP="006128F6">
            <w:pPr>
              <w:rPr>
                <w:szCs w:val="22"/>
              </w:rPr>
            </w:pPr>
          </w:p>
        </w:tc>
        <w:tc>
          <w:tcPr>
            <w:tcW w:w="2501" w:type="pct"/>
            <w:shd w:val="clear" w:color="auto" w:fill="auto"/>
          </w:tcPr>
          <w:p w14:paraId="0F12EB70" w14:textId="77777777" w:rsidR="00F57A60" w:rsidRPr="00C25AB7" w:rsidRDefault="00F57A60" w:rsidP="006128F6">
            <w:pPr>
              <w:pStyle w:val="lbltxt"/>
              <w:rPr>
                <w:b/>
                <w:noProof w:val="0"/>
                <w:szCs w:val="22"/>
                <w:lang w:val="de-DE"/>
              </w:rPr>
            </w:pPr>
            <w:r w:rsidRPr="00C25AB7">
              <w:rPr>
                <w:b/>
                <w:noProof w:val="0"/>
                <w:szCs w:val="22"/>
                <w:lang w:val="de-DE"/>
              </w:rPr>
              <w:t>Lietuva</w:t>
            </w:r>
          </w:p>
          <w:p w14:paraId="63DED864" w14:textId="77777777" w:rsidR="00F57A60" w:rsidRPr="00C25AB7" w:rsidRDefault="00F57A60" w:rsidP="006128F6">
            <w:pPr>
              <w:pStyle w:val="lbltxt"/>
              <w:rPr>
                <w:bCs/>
                <w:noProof w:val="0"/>
                <w:szCs w:val="22"/>
                <w:lang w:val="de-DE"/>
              </w:rPr>
            </w:pPr>
            <w:r w:rsidRPr="00C25AB7">
              <w:rPr>
                <w:noProof w:val="0"/>
                <w:szCs w:val="22"/>
                <w:lang w:val="de-DE"/>
              </w:rPr>
              <w:t>Amgen Switzerland AG Vilniaus filialas</w:t>
            </w:r>
          </w:p>
          <w:p w14:paraId="772050B6" w14:textId="77777777" w:rsidR="00F57A60" w:rsidRPr="006128F6" w:rsidRDefault="00F57A60" w:rsidP="006128F6">
            <w:pPr>
              <w:pStyle w:val="lbltxt"/>
              <w:rPr>
                <w:bCs/>
                <w:noProof w:val="0"/>
                <w:szCs w:val="22"/>
              </w:rPr>
            </w:pPr>
            <w:r w:rsidRPr="006128F6">
              <w:rPr>
                <w:bCs/>
                <w:noProof w:val="0"/>
                <w:szCs w:val="22"/>
              </w:rPr>
              <w:t>Tel: +370 5 219 7474</w:t>
            </w:r>
          </w:p>
          <w:p w14:paraId="2DC554E6" w14:textId="77777777" w:rsidR="00F57A60" w:rsidRPr="006128F6" w:rsidRDefault="00F57A60" w:rsidP="006128F6">
            <w:pPr>
              <w:rPr>
                <w:szCs w:val="22"/>
              </w:rPr>
            </w:pPr>
          </w:p>
        </w:tc>
      </w:tr>
      <w:tr w:rsidR="00F57A60" w:rsidRPr="006128F6" w14:paraId="39957A2D" w14:textId="77777777" w:rsidTr="00DE02D6">
        <w:trPr>
          <w:cantSplit/>
        </w:trPr>
        <w:tc>
          <w:tcPr>
            <w:tcW w:w="2499" w:type="pct"/>
            <w:shd w:val="clear" w:color="auto" w:fill="auto"/>
          </w:tcPr>
          <w:p w14:paraId="48740155" w14:textId="77777777" w:rsidR="00F57A60" w:rsidRPr="005477BB" w:rsidRDefault="00F57A60" w:rsidP="006128F6">
            <w:pPr>
              <w:autoSpaceDE w:val="0"/>
              <w:autoSpaceDN w:val="0"/>
              <w:adjustRightInd w:val="0"/>
              <w:rPr>
                <w:rFonts w:eastAsia="Arial Unicode MS"/>
                <w:b/>
                <w:bCs/>
                <w:szCs w:val="22"/>
                <w:lang w:val="ru-RU"/>
              </w:rPr>
            </w:pPr>
            <w:r w:rsidRPr="005477BB">
              <w:rPr>
                <w:rFonts w:eastAsia="Arial Unicode MS"/>
                <w:b/>
                <w:bCs/>
                <w:szCs w:val="22"/>
                <w:lang w:val="ru-RU"/>
              </w:rPr>
              <w:t>България</w:t>
            </w:r>
          </w:p>
          <w:p w14:paraId="2564075A" w14:textId="77777777" w:rsidR="00F57A60" w:rsidRPr="005477BB" w:rsidRDefault="00F57A60" w:rsidP="006128F6">
            <w:pPr>
              <w:pStyle w:val="lbltxt"/>
              <w:rPr>
                <w:rFonts w:eastAsia="Arial Unicode MS"/>
                <w:noProof w:val="0"/>
                <w:szCs w:val="22"/>
                <w:lang w:val="ru-RU" w:eastAsia="en-GB"/>
              </w:rPr>
            </w:pPr>
            <w:r w:rsidRPr="005477BB">
              <w:rPr>
                <w:rFonts w:eastAsia="Arial Unicode MS"/>
                <w:noProof w:val="0"/>
                <w:szCs w:val="22"/>
                <w:lang w:val="ru-RU" w:eastAsia="en-GB"/>
              </w:rPr>
              <w:t>Амджен България ЕООД</w:t>
            </w:r>
          </w:p>
          <w:p w14:paraId="097AC9A3" w14:textId="77777777" w:rsidR="00F57A60" w:rsidRPr="005477BB" w:rsidRDefault="00F57A60" w:rsidP="006128F6">
            <w:pPr>
              <w:pStyle w:val="lbltxt"/>
              <w:rPr>
                <w:rFonts w:eastAsia="Arial Unicode MS"/>
                <w:bCs/>
                <w:noProof w:val="0"/>
                <w:szCs w:val="22"/>
                <w:lang w:val="ru-RU"/>
              </w:rPr>
            </w:pPr>
            <w:r w:rsidRPr="005477BB">
              <w:rPr>
                <w:rFonts w:eastAsia="Arial Unicode MS"/>
                <w:noProof w:val="0"/>
                <w:szCs w:val="22"/>
                <w:lang w:val="ru-RU" w:eastAsia="en-GB"/>
              </w:rPr>
              <w:t xml:space="preserve">Тел.: +359 </w:t>
            </w:r>
            <w:r w:rsidRPr="005477BB">
              <w:rPr>
                <w:rFonts w:eastAsia="Arial Unicode MS"/>
                <w:bCs/>
                <w:noProof w:val="0"/>
                <w:szCs w:val="22"/>
                <w:lang w:val="ru-RU"/>
              </w:rPr>
              <w:t>(0)2</w:t>
            </w:r>
            <w:r w:rsidRPr="006128F6">
              <w:rPr>
                <w:rFonts w:eastAsia="Arial Unicode MS"/>
                <w:bCs/>
                <w:noProof w:val="0"/>
                <w:szCs w:val="22"/>
              </w:rPr>
              <w:t> </w:t>
            </w:r>
            <w:r w:rsidRPr="005477BB">
              <w:rPr>
                <w:rFonts w:eastAsia="Arial Unicode MS"/>
                <w:bCs/>
                <w:noProof w:val="0"/>
                <w:szCs w:val="22"/>
                <w:lang w:val="ru-RU"/>
              </w:rPr>
              <w:t>424 7440</w:t>
            </w:r>
          </w:p>
          <w:p w14:paraId="46961FB2" w14:textId="77777777" w:rsidR="00F57A60" w:rsidRPr="005477BB" w:rsidRDefault="00F57A60" w:rsidP="006128F6">
            <w:pPr>
              <w:rPr>
                <w:szCs w:val="22"/>
                <w:lang w:val="ru-RU"/>
              </w:rPr>
            </w:pPr>
          </w:p>
        </w:tc>
        <w:tc>
          <w:tcPr>
            <w:tcW w:w="2501" w:type="pct"/>
            <w:shd w:val="clear" w:color="auto" w:fill="auto"/>
          </w:tcPr>
          <w:p w14:paraId="084AD353" w14:textId="77777777" w:rsidR="00F57A60" w:rsidRPr="00754BDD" w:rsidRDefault="00F57A60" w:rsidP="006128F6">
            <w:pPr>
              <w:pStyle w:val="lbltxt"/>
              <w:rPr>
                <w:noProof w:val="0"/>
                <w:szCs w:val="22"/>
                <w:lang w:val="fr-FR"/>
              </w:rPr>
            </w:pPr>
            <w:r w:rsidRPr="00754BDD">
              <w:rPr>
                <w:b/>
                <w:noProof w:val="0"/>
                <w:szCs w:val="22"/>
                <w:lang w:val="fr-FR"/>
              </w:rPr>
              <w:t>Luxembourg/Luxemburg</w:t>
            </w:r>
          </w:p>
          <w:p w14:paraId="3999BA98" w14:textId="77777777" w:rsidR="00F57A60" w:rsidRPr="00754BDD" w:rsidRDefault="00F57A60" w:rsidP="006128F6">
            <w:pPr>
              <w:pStyle w:val="lbltxt"/>
              <w:rPr>
                <w:noProof w:val="0"/>
                <w:szCs w:val="22"/>
                <w:lang w:val="fr-FR"/>
              </w:rPr>
            </w:pPr>
            <w:r w:rsidRPr="00754BDD">
              <w:rPr>
                <w:noProof w:val="0"/>
                <w:szCs w:val="22"/>
                <w:lang w:val="fr-FR"/>
              </w:rPr>
              <w:t xml:space="preserve">s.a. Amgen </w:t>
            </w:r>
          </w:p>
          <w:p w14:paraId="59982FD6" w14:textId="77777777" w:rsidR="00F57A60" w:rsidRPr="00754BDD" w:rsidRDefault="00F57A60" w:rsidP="006128F6">
            <w:pPr>
              <w:pStyle w:val="lbltxt"/>
              <w:rPr>
                <w:noProof w:val="0"/>
                <w:szCs w:val="22"/>
                <w:lang w:val="fr-FR"/>
              </w:rPr>
            </w:pPr>
            <w:r w:rsidRPr="00754BDD">
              <w:rPr>
                <w:noProof w:val="0"/>
                <w:szCs w:val="22"/>
                <w:lang w:val="fr-FR"/>
              </w:rPr>
              <w:t>Belgique/Belgien</w:t>
            </w:r>
          </w:p>
          <w:p w14:paraId="3E6FFDAF" w14:textId="77777777" w:rsidR="00F57A60" w:rsidRPr="006128F6" w:rsidRDefault="00F57A60" w:rsidP="006128F6">
            <w:pPr>
              <w:pStyle w:val="lbltxt"/>
              <w:rPr>
                <w:noProof w:val="0"/>
                <w:szCs w:val="22"/>
              </w:rPr>
            </w:pPr>
            <w:r w:rsidRPr="006128F6">
              <w:rPr>
                <w:noProof w:val="0"/>
                <w:szCs w:val="22"/>
              </w:rPr>
              <w:t>Tel/Tél: +32 (0)2 7752711</w:t>
            </w:r>
          </w:p>
          <w:p w14:paraId="6963ED5A" w14:textId="77777777" w:rsidR="00F57A60" w:rsidRPr="006128F6" w:rsidRDefault="00F57A60" w:rsidP="006128F6">
            <w:pPr>
              <w:rPr>
                <w:szCs w:val="22"/>
              </w:rPr>
            </w:pPr>
          </w:p>
        </w:tc>
      </w:tr>
      <w:tr w:rsidR="00F57A60" w:rsidRPr="006128F6" w14:paraId="74487409" w14:textId="77777777" w:rsidTr="00DE02D6">
        <w:trPr>
          <w:cantSplit/>
        </w:trPr>
        <w:tc>
          <w:tcPr>
            <w:tcW w:w="2499" w:type="pct"/>
            <w:shd w:val="clear" w:color="auto" w:fill="auto"/>
          </w:tcPr>
          <w:p w14:paraId="367CDA14" w14:textId="77777777" w:rsidR="00F57A60" w:rsidRPr="00C25AB7" w:rsidRDefault="00F57A60" w:rsidP="006128F6">
            <w:pPr>
              <w:pStyle w:val="lbltxt"/>
              <w:rPr>
                <w:b/>
                <w:noProof w:val="0"/>
                <w:szCs w:val="22"/>
                <w:lang w:val="de-DE"/>
              </w:rPr>
            </w:pPr>
            <w:r w:rsidRPr="00C25AB7">
              <w:rPr>
                <w:b/>
                <w:noProof w:val="0"/>
                <w:szCs w:val="22"/>
                <w:lang w:val="de-DE"/>
              </w:rPr>
              <w:t>Česká republika</w:t>
            </w:r>
          </w:p>
          <w:p w14:paraId="6EC700E9" w14:textId="77777777" w:rsidR="00F57A60" w:rsidRPr="00C25AB7" w:rsidRDefault="00F57A60" w:rsidP="006128F6">
            <w:pPr>
              <w:pStyle w:val="lbltxt"/>
              <w:rPr>
                <w:bCs/>
                <w:noProof w:val="0"/>
                <w:szCs w:val="22"/>
                <w:lang w:val="de-DE"/>
              </w:rPr>
            </w:pPr>
            <w:r w:rsidRPr="00C25AB7">
              <w:rPr>
                <w:bCs/>
                <w:noProof w:val="0"/>
                <w:szCs w:val="22"/>
                <w:lang w:val="de-DE"/>
              </w:rPr>
              <w:t>Amgen s.r.o.</w:t>
            </w:r>
          </w:p>
          <w:p w14:paraId="637AEE11" w14:textId="77777777" w:rsidR="00F57A60" w:rsidRPr="005477BB" w:rsidRDefault="00F57A60" w:rsidP="006128F6">
            <w:pPr>
              <w:pStyle w:val="lbltxt"/>
              <w:rPr>
                <w:bCs/>
                <w:noProof w:val="0"/>
                <w:szCs w:val="22"/>
                <w:lang w:val="es-ES"/>
              </w:rPr>
            </w:pPr>
            <w:r w:rsidRPr="005477BB">
              <w:rPr>
                <w:bCs/>
                <w:noProof w:val="0"/>
                <w:szCs w:val="22"/>
                <w:lang w:val="es-ES"/>
              </w:rPr>
              <w:t>Tel: +420 221 773 500</w:t>
            </w:r>
          </w:p>
          <w:p w14:paraId="7E0BF317" w14:textId="77777777" w:rsidR="00F57A60" w:rsidRPr="005477BB" w:rsidRDefault="00F57A60" w:rsidP="006128F6">
            <w:pPr>
              <w:rPr>
                <w:szCs w:val="22"/>
                <w:lang w:val="es-ES"/>
              </w:rPr>
            </w:pPr>
          </w:p>
        </w:tc>
        <w:tc>
          <w:tcPr>
            <w:tcW w:w="2501" w:type="pct"/>
            <w:shd w:val="clear" w:color="auto" w:fill="auto"/>
          </w:tcPr>
          <w:p w14:paraId="2B79AF4B" w14:textId="77777777" w:rsidR="00F57A60" w:rsidRPr="006128F6" w:rsidRDefault="00F57A60" w:rsidP="006128F6">
            <w:pPr>
              <w:pStyle w:val="lbltxt"/>
              <w:rPr>
                <w:b/>
                <w:noProof w:val="0"/>
                <w:szCs w:val="22"/>
              </w:rPr>
            </w:pPr>
            <w:r w:rsidRPr="006128F6">
              <w:rPr>
                <w:b/>
                <w:noProof w:val="0"/>
                <w:szCs w:val="22"/>
              </w:rPr>
              <w:t>Magyarország</w:t>
            </w:r>
          </w:p>
          <w:p w14:paraId="7646A67C" w14:textId="77777777" w:rsidR="00F57A60" w:rsidRPr="006128F6" w:rsidRDefault="00F57A60" w:rsidP="006128F6">
            <w:pPr>
              <w:pStyle w:val="lbltxt"/>
              <w:rPr>
                <w:bCs/>
                <w:noProof w:val="0"/>
                <w:szCs w:val="22"/>
              </w:rPr>
            </w:pPr>
            <w:r w:rsidRPr="006128F6">
              <w:rPr>
                <w:bCs/>
                <w:noProof w:val="0"/>
                <w:szCs w:val="22"/>
              </w:rPr>
              <w:t>Amgen Kft.</w:t>
            </w:r>
          </w:p>
          <w:p w14:paraId="0F6DE5E0" w14:textId="77777777" w:rsidR="00F57A60" w:rsidRPr="006128F6" w:rsidRDefault="00F57A60" w:rsidP="006128F6">
            <w:pPr>
              <w:pStyle w:val="lbltxt"/>
              <w:rPr>
                <w:bCs/>
                <w:noProof w:val="0"/>
                <w:szCs w:val="22"/>
              </w:rPr>
            </w:pPr>
            <w:r w:rsidRPr="006128F6">
              <w:rPr>
                <w:bCs/>
                <w:noProof w:val="0"/>
                <w:szCs w:val="22"/>
              </w:rPr>
              <w:t>Tel.: +36 1 35 44 700</w:t>
            </w:r>
          </w:p>
          <w:p w14:paraId="06187B8D" w14:textId="77777777" w:rsidR="00F57A60" w:rsidRPr="006128F6" w:rsidRDefault="00F57A60" w:rsidP="006128F6">
            <w:pPr>
              <w:rPr>
                <w:szCs w:val="22"/>
              </w:rPr>
            </w:pPr>
          </w:p>
        </w:tc>
      </w:tr>
      <w:tr w:rsidR="00F57A60" w:rsidRPr="00732E9E" w14:paraId="14FFBA0E" w14:textId="77777777" w:rsidTr="00DE02D6">
        <w:trPr>
          <w:cantSplit/>
        </w:trPr>
        <w:tc>
          <w:tcPr>
            <w:tcW w:w="2499" w:type="pct"/>
            <w:shd w:val="clear" w:color="auto" w:fill="auto"/>
          </w:tcPr>
          <w:p w14:paraId="1A9876BB" w14:textId="77777777" w:rsidR="00F57A60" w:rsidRPr="00C25AB7" w:rsidRDefault="00F57A60" w:rsidP="006128F6">
            <w:pPr>
              <w:pStyle w:val="lbltxt"/>
              <w:rPr>
                <w:noProof w:val="0"/>
                <w:szCs w:val="22"/>
                <w:lang w:val="de-DE"/>
              </w:rPr>
            </w:pPr>
            <w:r w:rsidRPr="00C25AB7">
              <w:rPr>
                <w:b/>
                <w:noProof w:val="0"/>
                <w:szCs w:val="22"/>
                <w:lang w:val="de-DE"/>
              </w:rPr>
              <w:t>Danmark</w:t>
            </w:r>
          </w:p>
          <w:p w14:paraId="660FA857" w14:textId="77777777" w:rsidR="00F57A60" w:rsidRPr="00C25AB7" w:rsidRDefault="00F57A60" w:rsidP="006128F6">
            <w:pPr>
              <w:pStyle w:val="lbltxt"/>
              <w:rPr>
                <w:noProof w:val="0"/>
                <w:szCs w:val="22"/>
                <w:lang w:val="de-DE"/>
              </w:rPr>
            </w:pPr>
            <w:r w:rsidRPr="00C25AB7">
              <w:rPr>
                <w:noProof w:val="0"/>
                <w:szCs w:val="22"/>
                <w:lang w:val="de-DE"/>
              </w:rPr>
              <w:t>Amgen, filial af Amgen AB, Sverige</w:t>
            </w:r>
          </w:p>
          <w:p w14:paraId="01BA0B98" w14:textId="77777777" w:rsidR="00F57A60" w:rsidRPr="006128F6" w:rsidRDefault="00F57A60" w:rsidP="006128F6">
            <w:pPr>
              <w:pStyle w:val="lbltxt"/>
              <w:rPr>
                <w:noProof w:val="0"/>
                <w:szCs w:val="22"/>
              </w:rPr>
            </w:pPr>
            <w:r w:rsidRPr="006128F6">
              <w:rPr>
                <w:noProof w:val="0"/>
                <w:szCs w:val="22"/>
              </w:rPr>
              <w:t>Tlf: +45 39617500</w:t>
            </w:r>
          </w:p>
          <w:p w14:paraId="595B6E9B" w14:textId="77777777" w:rsidR="00F57A60" w:rsidRPr="006128F6" w:rsidRDefault="00F57A60" w:rsidP="006128F6">
            <w:pPr>
              <w:rPr>
                <w:szCs w:val="22"/>
              </w:rPr>
            </w:pPr>
          </w:p>
        </w:tc>
        <w:tc>
          <w:tcPr>
            <w:tcW w:w="2501" w:type="pct"/>
            <w:shd w:val="clear" w:color="auto" w:fill="auto"/>
          </w:tcPr>
          <w:p w14:paraId="23AF067B" w14:textId="77777777" w:rsidR="00F57A60" w:rsidRPr="00103647" w:rsidRDefault="00F57A60" w:rsidP="006128F6">
            <w:pPr>
              <w:pStyle w:val="lbltxt"/>
              <w:rPr>
                <w:b/>
                <w:noProof w:val="0"/>
                <w:szCs w:val="22"/>
                <w:lang w:val="de-DE"/>
              </w:rPr>
            </w:pPr>
            <w:r w:rsidRPr="00103647">
              <w:rPr>
                <w:b/>
                <w:noProof w:val="0"/>
                <w:szCs w:val="22"/>
                <w:lang w:val="de-DE"/>
              </w:rPr>
              <w:t>Malta</w:t>
            </w:r>
          </w:p>
          <w:p w14:paraId="48F55156" w14:textId="77777777" w:rsidR="00732E9E" w:rsidRPr="00950D83" w:rsidRDefault="00732E9E" w:rsidP="00732E9E">
            <w:pPr>
              <w:pStyle w:val="lbltxt"/>
              <w:rPr>
                <w:szCs w:val="22"/>
                <w:lang w:val="hr-HR"/>
              </w:rPr>
            </w:pPr>
            <w:r w:rsidRPr="00950D83">
              <w:rPr>
                <w:szCs w:val="22"/>
                <w:lang w:val="hr-HR"/>
              </w:rPr>
              <w:t>Amgen S.r.l.</w:t>
            </w:r>
          </w:p>
          <w:p w14:paraId="063E352D" w14:textId="77777777" w:rsidR="00732E9E" w:rsidRPr="00950D83" w:rsidRDefault="00732E9E" w:rsidP="00732E9E">
            <w:pPr>
              <w:pStyle w:val="lbltxt"/>
              <w:rPr>
                <w:szCs w:val="22"/>
                <w:lang w:val="hr-HR"/>
              </w:rPr>
            </w:pPr>
            <w:r w:rsidRPr="00950D83">
              <w:rPr>
                <w:szCs w:val="22"/>
                <w:lang w:val="hr-HR"/>
              </w:rPr>
              <w:t>Tel: +39 02 6241121</w:t>
            </w:r>
          </w:p>
          <w:p w14:paraId="46CBD6E4" w14:textId="77777777" w:rsidR="00F57A60" w:rsidRPr="004E4B56" w:rsidRDefault="00F57A60" w:rsidP="006128F6">
            <w:pPr>
              <w:rPr>
                <w:szCs w:val="22"/>
                <w:lang w:val="nl-NL"/>
              </w:rPr>
            </w:pPr>
          </w:p>
        </w:tc>
      </w:tr>
      <w:tr w:rsidR="00F57A60" w:rsidRPr="001A2F75" w14:paraId="1F720F81" w14:textId="77777777" w:rsidTr="00DE02D6">
        <w:trPr>
          <w:cantSplit/>
        </w:trPr>
        <w:tc>
          <w:tcPr>
            <w:tcW w:w="2499" w:type="pct"/>
            <w:shd w:val="clear" w:color="auto" w:fill="auto"/>
          </w:tcPr>
          <w:p w14:paraId="31915AAB" w14:textId="77777777" w:rsidR="00F57A60" w:rsidRPr="006128F6" w:rsidRDefault="00F57A60" w:rsidP="006128F6">
            <w:pPr>
              <w:pStyle w:val="lbltxt"/>
              <w:rPr>
                <w:noProof w:val="0"/>
                <w:szCs w:val="22"/>
              </w:rPr>
            </w:pPr>
            <w:r w:rsidRPr="006128F6">
              <w:rPr>
                <w:b/>
                <w:noProof w:val="0"/>
                <w:szCs w:val="22"/>
              </w:rPr>
              <w:t>Deutschland</w:t>
            </w:r>
          </w:p>
          <w:p w14:paraId="305012B6" w14:textId="76511661" w:rsidR="00F57A60" w:rsidRPr="006128F6" w:rsidRDefault="00F57A60" w:rsidP="006128F6">
            <w:pPr>
              <w:pStyle w:val="lbltxt"/>
              <w:rPr>
                <w:noProof w:val="0"/>
                <w:szCs w:val="22"/>
              </w:rPr>
            </w:pPr>
            <w:r w:rsidRPr="006128F6">
              <w:rPr>
                <w:noProof w:val="0"/>
                <w:szCs w:val="22"/>
              </w:rPr>
              <w:t>A</w:t>
            </w:r>
            <w:r w:rsidR="0049102A">
              <w:rPr>
                <w:noProof w:val="0"/>
                <w:szCs w:val="22"/>
              </w:rPr>
              <w:t>mgen</w:t>
            </w:r>
            <w:r w:rsidRPr="006128F6">
              <w:rPr>
                <w:noProof w:val="0"/>
                <w:szCs w:val="22"/>
              </w:rPr>
              <w:t xml:space="preserve"> GmbH</w:t>
            </w:r>
          </w:p>
          <w:p w14:paraId="0AEA99A0" w14:textId="77777777" w:rsidR="00F57A60" w:rsidRPr="006128F6" w:rsidRDefault="00F57A60" w:rsidP="006128F6">
            <w:pPr>
              <w:pStyle w:val="lbltxt"/>
              <w:rPr>
                <w:noProof w:val="0"/>
                <w:szCs w:val="22"/>
              </w:rPr>
            </w:pPr>
            <w:r w:rsidRPr="006128F6">
              <w:rPr>
                <w:noProof w:val="0"/>
                <w:szCs w:val="22"/>
              </w:rPr>
              <w:t>Tel.: +49 89 1490960</w:t>
            </w:r>
          </w:p>
          <w:p w14:paraId="651449DE" w14:textId="77777777" w:rsidR="00F57A60" w:rsidRPr="006128F6" w:rsidRDefault="00F57A60" w:rsidP="006128F6">
            <w:pPr>
              <w:rPr>
                <w:szCs w:val="22"/>
              </w:rPr>
            </w:pPr>
          </w:p>
        </w:tc>
        <w:tc>
          <w:tcPr>
            <w:tcW w:w="2501" w:type="pct"/>
            <w:shd w:val="clear" w:color="auto" w:fill="auto"/>
          </w:tcPr>
          <w:p w14:paraId="5662B312" w14:textId="77777777" w:rsidR="00F57A60" w:rsidRPr="00C25AB7" w:rsidRDefault="00F57A60" w:rsidP="006128F6">
            <w:pPr>
              <w:pStyle w:val="lbltxt"/>
              <w:rPr>
                <w:noProof w:val="0"/>
                <w:szCs w:val="22"/>
                <w:lang w:val="de-DE"/>
              </w:rPr>
            </w:pPr>
            <w:r w:rsidRPr="00C25AB7">
              <w:rPr>
                <w:b/>
                <w:noProof w:val="0"/>
                <w:szCs w:val="22"/>
                <w:lang w:val="de-DE"/>
              </w:rPr>
              <w:t>Nederland</w:t>
            </w:r>
          </w:p>
          <w:p w14:paraId="237CA92F" w14:textId="77777777" w:rsidR="00F57A60" w:rsidRPr="00C25AB7" w:rsidRDefault="00F57A60" w:rsidP="006128F6">
            <w:pPr>
              <w:pStyle w:val="lbltxt"/>
              <w:rPr>
                <w:noProof w:val="0"/>
                <w:szCs w:val="22"/>
                <w:lang w:val="de-DE"/>
              </w:rPr>
            </w:pPr>
            <w:r w:rsidRPr="00C25AB7">
              <w:rPr>
                <w:noProof w:val="0"/>
                <w:szCs w:val="22"/>
                <w:lang w:val="de-DE"/>
              </w:rPr>
              <w:t>Amgen B.V.</w:t>
            </w:r>
          </w:p>
          <w:p w14:paraId="00733C48" w14:textId="77777777" w:rsidR="00F57A60" w:rsidRPr="00C25AB7" w:rsidRDefault="00F57A60" w:rsidP="006128F6">
            <w:pPr>
              <w:pStyle w:val="lbltxt"/>
              <w:rPr>
                <w:bCs/>
                <w:noProof w:val="0"/>
                <w:szCs w:val="22"/>
                <w:lang w:val="de-DE"/>
              </w:rPr>
            </w:pPr>
            <w:r w:rsidRPr="00C25AB7">
              <w:rPr>
                <w:noProof w:val="0"/>
                <w:szCs w:val="22"/>
                <w:lang w:val="de-DE"/>
              </w:rPr>
              <w:t>Tel: +31 (0)76 5732500</w:t>
            </w:r>
          </w:p>
          <w:p w14:paraId="5FDC3F37" w14:textId="77777777" w:rsidR="00F57A60" w:rsidRPr="00C25AB7" w:rsidRDefault="00F57A60" w:rsidP="006128F6">
            <w:pPr>
              <w:rPr>
                <w:szCs w:val="22"/>
                <w:lang w:val="de-DE"/>
              </w:rPr>
            </w:pPr>
          </w:p>
        </w:tc>
      </w:tr>
      <w:tr w:rsidR="00F57A60" w:rsidRPr="006128F6" w14:paraId="0AE2A7AE" w14:textId="77777777" w:rsidTr="00DE02D6">
        <w:trPr>
          <w:cantSplit/>
        </w:trPr>
        <w:tc>
          <w:tcPr>
            <w:tcW w:w="2499" w:type="pct"/>
            <w:shd w:val="clear" w:color="auto" w:fill="auto"/>
          </w:tcPr>
          <w:p w14:paraId="75C983BA" w14:textId="77777777" w:rsidR="00F57A60" w:rsidRPr="00C25AB7" w:rsidRDefault="00F57A60" w:rsidP="006128F6">
            <w:pPr>
              <w:pStyle w:val="lbltxt"/>
              <w:rPr>
                <w:b/>
                <w:noProof w:val="0"/>
                <w:szCs w:val="22"/>
                <w:lang w:val="de-DE"/>
              </w:rPr>
            </w:pPr>
            <w:r w:rsidRPr="00C25AB7">
              <w:rPr>
                <w:b/>
                <w:noProof w:val="0"/>
                <w:szCs w:val="22"/>
                <w:lang w:val="de-DE"/>
              </w:rPr>
              <w:t>Eesti</w:t>
            </w:r>
          </w:p>
          <w:p w14:paraId="4ECF7BCB" w14:textId="77777777" w:rsidR="00F57A60" w:rsidRPr="00C25AB7" w:rsidRDefault="00F57A60" w:rsidP="006128F6">
            <w:pPr>
              <w:pStyle w:val="lbltxt"/>
              <w:rPr>
                <w:bCs/>
                <w:noProof w:val="0"/>
                <w:szCs w:val="22"/>
                <w:lang w:val="de-DE"/>
              </w:rPr>
            </w:pPr>
            <w:r w:rsidRPr="00C25AB7">
              <w:rPr>
                <w:bCs/>
                <w:noProof w:val="0"/>
                <w:szCs w:val="22"/>
                <w:lang w:val="de-DE"/>
              </w:rPr>
              <w:t xml:space="preserve">Amgen Switzerland AG </w:t>
            </w:r>
            <w:r w:rsidRPr="00C25AB7">
              <w:rPr>
                <w:noProof w:val="0"/>
                <w:szCs w:val="22"/>
                <w:lang w:val="de-DE"/>
              </w:rPr>
              <w:t>Vilniaus filialas</w:t>
            </w:r>
          </w:p>
          <w:p w14:paraId="08CCF317" w14:textId="77777777" w:rsidR="00F57A60" w:rsidRPr="006128F6" w:rsidRDefault="00F57A60" w:rsidP="006128F6">
            <w:pPr>
              <w:pStyle w:val="lbltxt"/>
              <w:rPr>
                <w:noProof w:val="0"/>
                <w:szCs w:val="22"/>
              </w:rPr>
            </w:pPr>
            <w:r w:rsidRPr="006128F6">
              <w:rPr>
                <w:bCs/>
                <w:noProof w:val="0"/>
                <w:szCs w:val="22"/>
              </w:rPr>
              <w:t>Tel: +</w:t>
            </w:r>
            <w:r w:rsidRPr="006128F6">
              <w:rPr>
                <w:noProof w:val="0"/>
                <w:szCs w:val="22"/>
              </w:rPr>
              <w:t>372 586 09553</w:t>
            </w:r>
          </w:p>
          <w:p w14:paraId="399672C0" w14:textId="77777777" w:rsidR="00F57A60" w:rsidRPr="006128F6" w:rsidRDefault="00F57A60" w:rsidP="006128F6">
            <w:pPr>
              <w:rPr>
                <w:szCs w:val="22"/>
              </w:rPr>
            </w:pPr>
          </w:p>
        </w:tc>
        <w:tc>
          <w:tcPr>
            <w:tcW w:w="2501" w:type="pct"/>
            <w:shd w:val="clear" w:color="auto" w:fill="auto"/>
          </w:tcPr>
          <w:p w14:paraId="5BBD0ED5" w14:textId="77777777" w:rsidR="00F57A60" w:rsidRPr="006128F6" w:rsidRDefault="00F57A60" w:rsidP="006128F6">
            <w:pPr>
              <w:pStyle w:val="lbltxt"/>
              <w:rPr>
                <w:b/>
                <w:bCs/>
                <w:noProof w:val="0"/>
                <w:szCs w:val="22"/>
              </w:rPr>
            </w:pPr>
            <w:r w:rsidRPr="006128F6">
              <w:rPr>
                <w:b/>
                <w:bCs/>
                <w:noProof w:val="0"/>
                <w:szCs w:val="22"/>
              </w:rPr>
              <w:t>Norge</w:t>
            </w:r>
          </w:p>
          <w:p w14:paraId="7EEEEE79" w14:textId="77777777" w:rsidR="00F57A60" w:rsidRPr="006128F6" w:rsidRDefault="00F57A60" w:rsidP="006128F6">
            <w:pPr>
              <w:pStyle w:val="lbltxt"/>
              <w:rPr>
                <w:rStyle w:val="CommentReference"/>
                <w:noProof w:val="0"/>
                <w:sz w:val="22"/>
                <w:szCs w:val="22"/>
              </w:rPr>
            </w:pPr>
            <w:r w:rsidRPr="006128F6">
              <w:rPr>
                <w:rStyle w:val="CommentReference"/>
                <w:noProof w:val="0"/>
                <w:sz w:val="22"/>
                <w:szCs w:val="22"/>
              </w:rPr>
              <w:t>Amgen AB</w:t>
            </w:r>
          </w:p>
          <w:p w14:paraId="2F3F83C8" w14:textId="77777777" w:rsidR="00F57A60" w:rsidRPr="006128F6" w:rsidRDefault="00F57A60" w:rsidP="006128F6">
            <w:pPr>
              <w:pStyle w:val="lbltxt"/>
              <w:rPr>
                <w:noProof w:val="0"/>
                <w:szCs w:val="22"/>
              </w:rPr>
            </w:pPr>
            <w:r w:rsidRPr="006128F6">
              <w:rPr>
                <w:rStyle w:val="CommentReference"/>
                <w:noProof w:val="0"/>
                <w:sz w:val="22"/>
                <w:szCs w:val="22"/>
              </w:rPr>
              <w:t>Tel: +47 23308000</w:t>
            </w:r>
          </w:p>
          <w:p w14:paraId="32AF51D2" w14:textId="77777777" w:rsidR="00F57A60" w:rsidRPr="006128F6" w:rsidRDefault="00F57A60" w:rsidP="006128F6">
            <w:pPr>
              <w:rPr>
                <w:szCs w:val="22"/>
              </w:rPr>
            </w:pPr>
          </w:p>
        </w:tc>
      </w:tr>
      <w:tr w:rsidR="00F57A60" w:rsidRPr="006128F6" w14:paraId="30BF3EFD" w14:textId="77777777" w:rsidTr="00DE02D6">
        <w:trPr>
          <w:cantSplit/>
        </w:trPr>
        <w:tc>
          <w:tcPr>
            <w:tcW w:w="2499" w:type="pct"/>
            <w:shd w:val="clear" w:color="auto" w:fill="auto"/>
          </w:tcPr>
          <w:p w14:paraId="34476F24" w14:textId="77777777" w:rsidR="00F57A60" w:rsidRPr="005477BB" w:rsidRDefault="00F57A60" w:rsidP="006128F6">
            <w:pPr>
              <w:pStyle w:val="lbltxt"/>
              <w:rPr>
                <w:b/>
                <w:bCs/>
                <w:noProof w:val="0"/>
                <w:szCs w:val="22"/>
                <w:lang w:val="el-GR"/>
              </w:rPr>
            </w:pPr>
            <w:r w:rsidRPr="005477BB">
              <w:rPr>
                <w:b/>
                <w:bCs/>
                <w:noProof w:val="0"/>
                <w:szCs w:val="22"/>
                <w:lang w:val="el-GR"/>
              </w:rPr>
              <w:t>Ελλάδα</w:t>
            </w:r>
          </w:p>
          <w:p w14:paraId="337F8302" w14:textId="77777777" w:rsidR="00F57A60" w:rsidRPr="005477BB" w:rsidRDefault="00F57A60" w:rsidP="006128F6">
            <w:pPr>
              <w:pStyle w:val="lbltxt"/>
              <w:rPr>
                <w:noProof w:val="0"/>
                <w:szCs w:val="22"/>
                <w:lang w:val="el-GR"/>
              </w:rPr>
            </w:pPr>
            <w:r w:rsidRPr="006128F6">
              <w:rPr>
                <w:noProof w:val="0"/>
                <w:szCs w:val="22"/>
              </w:rPr>
              <w:t>Amgen</w:t>
            </w:r>
            <w:r w:rsidRPr="005477BB">
              <w:rPr>
                <w:noProof w:val="0"/>
                <w:szCs w:val="22"/>
                <w:lang w:val="el-GR"/>
              </w:rPr>
              <w:t xml:space="preserve"> Ελλάς Φαρμακευτικά Ε.Π.Ε. </w:t>
            </w:r>
          </w:p>
          <w:p w14:paraId="3DD1AFC7" w14:textId="77777777" w:rsidR="00F57A60" w:rsidRPr="006128F6" w:rsidRDefault="00F57A60" w:rsidP="006128F6">
            <w:pPr>
              <w:pStyle w:val="lbltxt"/>
              <w:rPr>
                <w:noProof w:val="0"/>
                <w:szCs w:val="22"/>
              </w:rPr>
            </w:pPr>
            <w:r w:rsidRPr="006128F6">
              <w:rPr>
                <w:noProof w:val="0"/>
                <w:szCs w:val="22"/>
              </w:rPr>
              <w:t>Τηλ.: +30 210 3447000</w:t>
            </w:r>
          </w:p>
          <w:p w14:paraId="30514D25" w14:textId="77777777" w:rsidR="00F57A60" w:rsidRPr="006128F6" w:rsidRDefault="00F57A60" w:rsidP="006128F6">
            <w:pPr>
              <w:rPr>
                <w:szCs w:val="22"/>
              </w:rPr>
            </w:pPr>
          </w:p>
        </w:tc>
        <w:tc>
          <w:tcPr>
            <w:tcW w:w="2501" w:type="pct"/>
            <w:shd w:val="clear" w:color="auto" w:fill="auto"/>
          </w:tcPr>
          <w:p w14:paraId="3A0954D7" w14:textId="77777777" w:rsidR="00F57A60" w:rsidRPr="006128F6" w:rsidRDefault="00F57A60" w:rsidP="006128F6">
            <w:pPr>
              <w:pStyle w:val="lbltxt"/>
              <w:rPr>
                <w:noProof w:val="0"/>
                <w:szCs w:val="22"/>
              </w:rPr>
            </w:pPr>
            <w:r w:rsidRPr="006128F6">
              <w:rPr>
                <w:b/>
                <w:noProof w:val="0"/>
                <w:szCs w:val="22"/>
              </w:rPr>
              <w:t>Österreich</w:t>
            </w:r>
          </w:p>
          <w:p w14:paraId="13089220" w14:textId="77777777" w:rsidR="00F57A60" w:rsidRPr="006128F6" w:rsidRDefault="00F57A60" w:rsidP="006128F6">
            <w:pPr>
              <w:pStyle w:val="lbltxt"/>
              <w:rPr>
                <w:noProof w:val="0"/>
                <w:szCs w:val="22"/>
              </w:rPr>
            </w:pPr>
            <w:r w:rsidRPr="006128F6">
              <w:rPr>
                <w:noProof w:val="0"/>
                <w:szCs w:val="22"/>
              </w:rPr>
              <w:t xml:space="preserve">Amgen GmbH </w:t>
            </w:r>
          </w:p>
          <w:p w14:paraId="4ADA9D2E" w14:textId="77777777" w:rsidR="00F57A60" w:rsidRPr="006128F6" w:rsidRDefault="00F57A60" w:rsidP="006128F6">
            <w:pPr>
              <w:pStyle w:val="lbltxt"/>
              <w:rPr>
                <w:noProof w:val="0"/>
                <w:szCs w:val="22"/>
              </w:rPr>
            </w:pPr>
            <w:r w:rsidRPr="006128F6">
              <w:rPr>
                <w:noProof w:val="0"/>
                <w:szCs w:val="22"/>
              </w:rPr>
              <w:t>Tel: +43 (0)1 50 217</w:t>
            </w:r>
          </w:p>
          <w:p w14:paraId="3FCCD975" w14:textId="77777777" w:rsidR="00F57A60" w:rsidRPr="006128F6" w:rsidRDefault="00F57A60" w:rsidP="006128F6">
            <w:pPr>
              <w:rPr>
                <w:szCs w:val="22"/>
              </w:rPr>
            </w:pPr>
          </w:p>
        </w:tc>
      </w:tr>
      <w:tr w:rsidR="00F57A60" w:rsidRPr="006128F6" w14:paraId="48B41323" w14:textId="77777777" w:rsidTr="00DE02D6">
        <w:trPr>
          <w:cantSplit/>
        </w:trPr>
        <w:tc>
          <w:tcPr>
            <w:tcW w:w="2499" w:type="pct"/>
            <w:shd w:val="clear" w:color="auto" w:fill="auto"/>
          </w:tcPr>
          <w:p w14:paraId="33E02F73" w14:textId="77777777" w:rsidR="00F57A60" w:rsidRPr="00C25AB7" w:rsidRDefault="00F57A60" w:rsidP="006128F6">
            <w:pPr>
              <w:pStyle w:val="lbltxt"/>
              <w:rPr>
                <w:noProof w:val="0"/>
                <w:szCs w:val="22"/>
                <w:lang w:val="de-DE"/>
              </w:rPr>
            </w:pPr>
            <w:r w:rsidRPr="00C25AB7">
              <w:rPr>
                <w:b/>
                <w:noProof w:val="0"/>
                <w:szCs w:val="22"/>
                <w:lang w:val="de-DE"/>
              </w:rPr>
              <w:t>España</w:t>
            </w:r>
          </w:p>
          <w:p w14:paraId="3A8929D1" w14:textId="77777777" w:rsidR="00F57A60" w:rsidRPr="00C25AB7" w:rsidRDefault="00F57A60" w:rsidP="006128F6">
            <w:pPr>
              <w:pStyle w:val="lbltxt"/>
              <w:rPr>
                <w:noProof w:val="0"/>
                <w:spacing w:val="-2"/>
                <w:szCs w:val="22"/>
                <w:lang w:val="de-DE"/>
              </w:rPr>
            </w:pPr>
            <w:r w:rsidRPr="00C25AB7">
              <w:rPr>
                <w:noProof w:val="0"/>
                <w:spacing w:val="-2"/>
                <w:szCs w:val="22"/>
                <w:lang w:val="de-DE"/>
              </w:rPr>
              <w:t>Amgen S.A.</w:t>
            </w:r>
          </w:p>
          <w:p w14:paraId="3B160500" w14:textId="77777777" w:rsidR="00F57A60" w:rsidRPr="00C25AB7" w:rsidRDefault="00F57A60" w:rsidP="006128F6">
            <w:pPr>
              <w:pStyle w:val="lbltxt"/>
              <w:rPr>
                <w:rStyle w:val="Initial"/>
                <w:szCs w:val="22"/>
                <w:lang w:val="de-DE"/>
              </w:rPr>
            </w:pPr>
            <w:r w:rsidRPr="00C25AB7">
              <w:rPr>
                <w:noProof w:val="0"/>
                <w:szCs w:val="22"/>
                <w:lang w:val="de-DE"/>
              </w:rPr>
              <w:t xml:space="preserve">Tel: +34 93 600 18 60 </w:t>
            </w:r>
          </w:p>
          <w:p w14:paraId="56CAB52E" w14:textId="77777777" w:rsidR="00F57A60" w:rsidRPr="00C25AB7" w:rsidRDefault="00F57A60" w:rsidP="006128F6">
            <w:pPr>
              <w:rPr>
                <w:szCs w:val="22"/>
                <w:lang w:val="de-DE"/>
              </w:rPr>
            </w:pPr>
          </w:p>
        </w:tc>
        <w:tc>
          <w:tcPr>
            <w:tcW w:w="2501" w:type="pct"/>
            <w:shd w:val="clear" w:color="auto" w:fill="auto"/>
          </w:tcPr>
          <w:p w14:paraId="399579EE" w14:textId="77777777" w:rsidR="00F57A60" w:rsidRPr="00C25AB7" w:rsidRDefault="00F57A60" w:rsidP="006128F6">
            <w:pPr>
              <w:pStyle w:val="lbltxt"/>
              <w:rPr>
                <w:b/>
                <w:noProof w:val="0"/>
                <w:szCs w:val="22"/>
                <w:lang w:val="de-DE"/>
              </w:rPr>
            </w:pPr>
            <w:r w:rsidRPr="00C25AB7">
              <w:rPr>
                <w:b/>
                <w:noProof w:val="0"/>
                <w:szCs w:val="22"/>
                <w:lang w:val="de-DE"/>
              </w:rPr>
              <w:t>Polska</w:t>
            </w:r>
          </w:p>
          <w:p w14:paraId="36737F98" w14:textId="77777777" w:rsidR="00F57A60" w:rsidRPr="00C25AB7" w:rsidRDefault="00F57A60" w:rsidP="006128F6">
            <w:pPr>
              <w:pStyle w:val="lbltxt"/>
              <w:rPr>
                <w:noProof w:val="0"/>
                <w:szCs w:val="22"/>
                <w:lang w:val="de-DE"/>
              </w:rPr>
            </w:pPr>
            <w:r w:rsidRPr="00C25AB7">
              <w:rPr>
                <w:noProof w:val="0"/>
                <w:szCs w:val="22"/>
                <w:lang w:val="de-DE"/>
              </w:rPr>
              <w:t xml:space="preserve">Amgen </w:t>
            </w:r>
            <w:r w:rsidRPr="00C25AB7">
              <w:rPr>
                <w:noProof w:val="0"/>
                <w:color w:val="000000"/>
                <w:szCs w:val="22"/>
                <w:lang w:val="de-DE" w:eastAsia="en-GB"/>
              </w:rPr>
              <w:t>Biotechnologia</w:t>
            </w:r>
            <w:r w:rsidRPr="00C25AB7">
              <w:rPr>
                <w:noProof w:val="0"/>
                <w:szCs w:val="22"/>
                <w:lang w:val="de-DE"/>
              </w:rPr>
              <w:t xml:space="preserve"> Sp. z o.o.</w:t>
            </w:r>
          </w:p>
          <w:p w14:paraId="07F2C5C9" w14:textId="77777777" w:rsidR="00F57A60" w:rsidRPr="006128F6" w:rsidRDefault="00F57A60" w:rsidP="006128F6">
            <w:pPr>
              <w:pStyle w:val="lbltxt"/>
              <w:rPr>
                <w:bCs/>
                <w:noProof w:val="0"/>
                <w:szCs w:val="22"/>
              </w:rPr>
            </w:pPr>
            <w:r w:rsidRPr="006128F6">
              <w:rPr>
                <w:bCs/>
                <w:noProof w:val="0"/>
                <w:szCs w:val="22"/>
              </w:rPr>
              <w:t>Tel.: +48 22 581 3000</w:t>
            </w:r>
          </w:p>
          <w:p w14:paraId="079A6226" w14:textId="77777777" w:rsidR="00F57A60" w:rsidRPr="006128F6" w:rsidRDefault="00F57A60" w:rsidP="006128F6">
            <w:pPr>
              <w:rPr>
                <w:szCs w:val="22"/>
              </w:rPr>
            </w:pPr>
          </w:p>
        </w:tc>
      </w:tr>
      <w:tr w:rsidR="00DE02D6" w:rsidRPr="00905F29" w14:paraId="69ECDFE8" w14:textId="77777777" w:rsidTr="00DE02D6">
        <w:tc>
          <w:tcPr>
            <w:tcW w:w="2499" w:type="pct"/>
            <w:shd w:val="clear" w:color="auto" w:fill="auto"/>
          </w:tcPr>
          <w:p w14:paraId="2ED967D5" w14:textId="77777777" w:rsidR="00DE02D6" w:rsidRPr="00950D83" w:rsidRDefault="00DE02D6" w:rsidP="00D46C1D">
            <w:pPr>
              <w:pStyle w:val="lbltxt"/>
              <w:rPr>
                <w:szCs w:val="22"/>
                <w:lang w:val="hr-HR"/>
              </w:rPr>
            </w:pPr>
            <w:bookmarkStart w:id="19" w:name="_Hlk3459768"/>
            <w:r w:rsidRPr="00950D83">
              <w:rPr>
                <w:b/>
                <w:szCs w:val="22"/>
                <w:lang w:val="hr-HR"/>
              </w:rPr>
              <w:t>France</w:t>
            </w:r>
          </w:p>
          <w:p w14:paraId="65711D69" w14:textId="77777777" w:rsidR="00DE02D6" w:rsidRPr="00950D83" w:rsidRDefault="00DE02D6" w:rsidP="00D46C1D">
            <w:pPr>
              <w:pStyle w:val="lbltxt"/>
              <w:rPr>
                <w:szCs w:val="22"/>
                <w:lang w:val="hr-HR"/>
              </w:rPr>
            </w:pPr>
            <w:r w:rsidRPr="00950D83">
              <w:rPr>
                <w:szCs w:val="22"/>
                <w:lang w:val="hr-HR"/>
              </w:rPr>
              <w:t>Amgen S.A.S.</w:t>
            </w:r>
          </w:p>
          <w:p w14:paraId="3F82267A" w14:textId="77777777" w:rsidR="00DE02D6" w:rsidRPr="00950D83" w:rsidRDefault="00DE02D6" w:rsidP="00D46C1D">
            <w:pPr>
              <w:rPr>
                <w:szCs w:val="22"/>
                <w:lang w:val="hr-HR"/>
              </w:rPr>
            </w:pPr>
            <w:r w:rsidRPr="00950D83">
              <w:rPr>
                <w:szCs w:val="22"/>
                <w:lang w:val="hr-HR"/>
              </w:rPr>
              <w:t>Tél: +33 (0)9 69 363 363</w:t>
            </w:r>
          </w:p>
          <w:p w14:paraId="7F0AEE48" w14:textId="77777777" w:rsidR="00DE02D6" w:rsidRPr="00950D83" w:rsidRDefault="00DE02D6" w:rsidP="00D46C1D">
            <w:pPr>
              <w:rPr>
                <w:szCs w:val="22"/>
                <w:lang w:val="nl-NL"/>
              </w:rPr>
            </w:pPr>
          </w:p>
        </w:tc>
        <w:tc>
          <w:tcPr>
            <w:tcW w:w="2501" w:type="pct"/>
            <w:shd w:val="clear" w:color="auto" w:fill="auto"/>
          </w:tcPr>
          <w:p w14:paraId="616449CC" w14:textId="77777777" w:rsidR="00DE02D6" w:rsidRPr="00950D83" w:rsidRDefault="00DE02D6" w:rsidP="00D46C1D">
            <w:pPr>
              <w:pStyle w:val="lbltxt"/>
              <w:rPr>
                <w:szCs w:val="22"/>
                <w:lang w:val="hr-HR"/>
              </w:rPr>
            </w:pPr>
            <w:r w:rsidRPr="00950D83">
              <w:rPr>
                <w:b/>
                <w:szCs w:val="22"/>
                <w:lang w:val="hr-HR"/>
              </w:rPr>
              <w:t>Portugal</w:t>
            </w:r>
          </w:p>
          <w:p w14:paraId="5F700ADF" w14:textId="77777777" w:rsidR="00DE02D6" w:rsidRPr="00950D83" w:rsidRDefault="00DE02D6" w:rsidP="00D46C1D">
            <w:pPr>
              <w:pStyle w:val="lbltxt"/>
              <w:rPr>
                <w:szCs w:val="22"/>
                <w:lang w:val="hr-HR"/>
              </w:rPr>
            </w:pPr>
            <w:r w:rsidRPr="00950D83">
              <w:rPr>
                <w:szCs w:val="22"/>
                <w:lang w:val="hr-HR"/>
              </w:rPr>
              <w:t>Amgen Biofarmacêutica, Lda.</w:t>
            </w:r>
          </w:p>
          <w:p w14:paraId="791440D5" w14:textId="41002E0B" w:rsidR="00DE02D6" w:rsidRPr="005477BB" w:rsidRDefault="00DE02D6" w:rsidP="00D46C1D">
            <w:pPr>
              <w:rPr>
                <w:lang w:val="es-ES"/>
              </w:rPr>
            </w:pPr>
            <w:r w:rsidRPr="00950D83">
              <w:rPr>
                <w:szCs w:val="22"/>
                <w:lang w:val="hr-HR"/>
              </w:rPr>
              <w:t xml:space="preserve">Tel: +351 21 </w:t>
            </w:r>
            <w:r w:rsidRPr="005477BB">
              <w:rPr>
                <w:lang w:val="es-ES"/>
              </w:rPr>
              <w:t>4220606</w:t>
            </w:r>
          </w:p>
          <w:p w14:paraId="19082E82" w14:textId="77777777" w:rsidR="00DE02D6" w:rsidRPr="00950D83" w:rsidRDefault="00DE02D6" w:rsidP="00D46C1D">
            <w:pPr>
              <w:rPr>
                <w:szCs w:val="22"/>
                <w:lang w:val="nl-NL"/>
              </w:rPr>
            </w:pPr>
          </w:p>
        </w:tc>
      </w:tr>
      <w:tr w:rsidR="00DE02D6" w:rsidRPr="00F46FB1" w14:paraId="74A70BE6" w14:textId="77777777" w:rsidTr="00DE02D6">
        <w:tc>
          <w:tcPr>
            <w:tcW w:w="2499" w:type="pct"/>
            <w:shd w:val="clear" w:color="auto" w:fill="auto"/>
          </w:tcPr>
          <w:p w14:paraId="3F56A757" w14:textId="77777777" w:rsidR="00DE02D6" w:rsidRPr="00950D83" w:rsidRDefault="00DE02D6" w:rsidP="00D46C1D">
            <w:pPr>
              <w:rPr>
                <w:noProof/>
                <w:szCs w:val="22"/>
                <w:lang w:val="nl-NL"/>
              </w:rPr>
            </w:pPr>
            <w:r w:rsidRPr="00950D83">
              <w:rPr>
                <w:b/>
                <w:noProof/>
                <w:szCs w:val="22"/>
                <w:lang w:val="nl-NL"/>
              </w:rPr>
              <w:t>Hrvatska</w:t>
            </w:r>
          </w:p>
          <w:p w14:paraId="7A5E8932" w14:textId="77777777" w:rsidR="00DE02D6" w:rsidRPr="00950D83" w:rsidRDefault="00DE02D6" w:rsidP="00D46C1D">
            <w:pPr>
              <w:rPr>
                <w:szCs w:val="22"/>
                <w:lang w:val="nl-NL"/>
              </w:rPr>
            </w:pPr>
            <w:r w:rsidRPr="00950D83">
              <w:rPr>
                <w:szCs w:val="22"/>
                <w:lang w:val="nl-NL"/>
              </w:rPr>
              <w:t>Amgen d.o.o.</w:t>
            </w:r>
          </w:p>
          <w:p w14:paraId="17C24624" w14:textId="6E4207D0" w:rsidR="00DE02D6" w:rsidRPr="00950D83" w:rsidRDefault="00DE02D6" w:rsidP="00D46C1D">
            <w:pPr>
              <w:rPr>
                <w:szCs w:val="22"/>
                <w:lang w:val="nl-NL"/>
              </w:rPr>
            </w:pPr>
            <w:r w:rsidRPr="00950D83">
              <w:rPr>
                <w:szCs w:val="22"/>
                <w:lang w:val="nl-NL"/>
              </w:rPr>
              <w:t>Tel: +385 (</w:t>
            </w:r>
            <w:r>
              <w:rPr>
                <w:szCs w:val="22"/>
                <w:lang w:val="nl-NL"/>
              </w:rPr>
              <w:t>0</w:t>
            </w:r>
            <w:r w:rsidRPr="00950D83">
              <w:rPr>
                <w:szCs w:val="22"/>
                <w:lang w:val="nl-NL"/>
              </w:rPr>
              <w:t>)</w:t>
            </w:r>
            <w:r>
              <w:rPr>
                <w:szCs w:val="22"/>
                <w:lang w:val="nl-NL"/>
              </w:rPr>
              <w:t>1</w:t>
            </w:r>
            <w:r w:rsidRPr="00950D83">
              <w:rPr>
                <w:szCs w:val="22"/>
                <w:lang w:val="nl-NL"/>
              </w:rPr>
              <w:t xml:space="preserve"> 562 57 20</w:t>
            </w:r>
          </w:p>
          <w:p w14:paraId="13099A0A" w14:textId="77777777" w:rsidR="00DE02D6" w:rsidRPr="00950D83" w:rsidRDefault="00DE02D6" w:rsidP="00D46C1D">
            <w:pPr>
              <w:rPr>
                <w:szCs w:val="22"/>
                <w:lang w:val="nl-NL"/>
              </w:rPr>
            </w:pPr>
          </w:p>
        </w:tc>
        <w:tc>
          <w:tcPr>
            <w:tcW w:w="2501" w:type="pct"/>
            <w:shd w:val="clear" w:color="auto" w:fill="auto"/>
          </w:tcPr>
          <w:p w14:paraId="726725A1" w14:textId="77777777" w:rsidR="00DE02D6" w:rsidRPr="00950D83" w:rsidRDefault="00DE02D6" w:rsidP="00D46C1D">
            <w:pPr>
              <w:suppressAutoHyphens/>
              <w:rPr>
                <w:b/>
                <w:noProof/>
                <w:szCs w:val="22"/>
                <w:lang w:val="hr-HR"/>
              </w:rPr>
            </w:pPr>
            <w:r w:rsidRPr="00950D83">
              <w:rPr>
                <w:b/>
                <w:noProof/>
                <w:szCs w:val="22"/>
                <w:lang w:val="hr-HR"/>
              </w:rPr>
              <w:t>România</w:t>
            </w:r>
          </w:p>
          <w:p w14:paraId="7A1B93EF" w14:textId="77777777" w:rsidR="00DE02D6" w:rsidRPr="00950D83" w:rsidRDefault="00DE02D6" w:rsidP="00D46C1D">
            <w:pPr>
              <w:rPr>
                <w:color w:val="000000"/>
                <w:szCs w:val="22"/>
                <w:lang w:val="hr-HR"/>
              </w:rPr>
            </w:pPr>
            <w:r w:rsidRPr="00950D83">
              <w:rPr>
                <w:color w:val="000000"/>
                <w:szCs w:val="22"/>
                <w:lang w:val="hr-HR"/>
              </w:rPr>
              <w:t>Amgen România SRL</w:t>
            </w:r>
          </w:p>
          <w:p w14:paraId="0F07412C" w14:textId="77777777" w:rsidR="00DE02D6" w:rsidRPr="00950D83" w:rsidRDefault="00DE02D6" w:rsidP="00D46C1D">
            <w:pPr>
              <w:pStyle w:val="lbltxt"/>
              <w:rPr>
                <w:szCs w:val="22"/>
                <w:lang w:val="hr-HR"/>
              </w:rPr>
            </w:pPr>
            <w:r w:rsidRPr="00950D83">
              <w:rPr>
                <w:szCs w:val="22"/>
                <w:lang w:val="hr-HR"/>
              </w:rPr>
              <w:t>Tel: +4021 527 3000</w:t>
            </w:r>
          </w:p>
          <w:p w14:paraId="245BE684" w14:textId="77777777" w:rsidR="00DE02D6" w:rsidRPr="00950D83" w:rsidRDefault="00DE02D6" w:rsidP="00D46C1D">
            <w:pPr>
              <w:rPr>
                <w:szCs w:val="22"/>
                <w:lang w:val="hr-HR"/>
              </w:rPr>
            </w:pPr>
          </w:p>
        </w:tc>
      </w:tr>
      <w:tr w:rsidR="00DE02D6" w:rsidRPr="00950D83" w14:paraId="6CCB34EF" w14:textId="77777777" w:rsidTr="00DE02D6">
        <w:tc>
          <w:tcPr>
            <w:tcW w:w="2499" w:type="pct"/>
            <w:shd w:val="clear" w:color="auto" w:fill="auto"/>
          </w:tcPr>
          <w:p w14:paraId="47806E5D" w14:textId="77777777" w:rsidR="00DE02D6" w:rsidRPr="00950D83" w:rsidRDefault="00DE02D6" w:rsidP="005477BB">
            <w:pPr>
              <w:pStyle w:val="lbltxt"/>
              <w:keepNext/>
              <w:rPr>
                <w:rFonts w:eastAsia="Arial Unicode MS"/>
                <w:b/>
                <w:szCs w:val="22"/>
                <w:lang w:val="hr-HR"/>
              </w:rPr>
            </w:pPr>
            <w:r w:rsidRPr="00950D83">
              <w:rPr>
                <w:rFonts w:eastAsia="Arial Unicode MS"/>
                <w:b/>
                <w:szCs w:val="22"/>
                <w:lang w:val="hr-HR"/>
              </w:rPr>
              <w:lastRenderedPageBreak/>
              <w:t>Ireland</w:t>
            </w:r>
          </w:p>
          <w:p w14:paraId="2516D0B6" w14:textId="77777777" w:rsidR="00DE02D6" w:rsidRPr="00950D83" w:rsidRDefault="00DE02D6" w:rsidP="00D46C1D">
            <w:pPr>
              <w:pStyle w:val="lbltxt"/>
              <w:rPr>
                <w:rFonts w:eastAsia="Arial Unicode MS"/>
                <w:bCs/>
                <w:szCs w:val="22"/>
                <w:lang w:val="hr-HR"/>
              </w:rPr>
            </w:pPr>
            <w:r w:rsidRPr="00950D83">
              <w:rPr>
                <w:rFonts w:eastAsia="Arial Unicode MS"/>
                <w:bCs/>
                <w:szCs w:val="22"/>
                <w:lang w:val="hr-HR"/>
              </w:rPr>
              <w:t>Amgen</w:t>
            </w:r>
            <w:r>
              <w:rPr>
                <w:rFonts w:eastAsia="Arial Unicode MS"/>
                <w:bCs/>
                <w:szCs w:val="22"/>
                <w:lang w:val="hr-HR"/>
              </w:rPr>
              <w:t xml:space="preserve"> Ireland</w:t>
            </w:r>
            <w:r w:rsidRPr="00950D83">
              <w:rPr>
                <w:rFonts w:eastAsia="Arial Unicode MS"/>
                <w:bCs/>
                <w:szCs w:val="22"/>
                <w:lang w:val="hr-HR"/>
              </w:rPr>
              <w:t xml:space="preserve"> Limited</w:t>
            </w:r>
          </w:p>
          <w:p w14:paraId="0F407093" w14:textId="12E3AAB5" w:rsidR="00DE02D6" w:rsidRPr="00950D83" w:rsidRDefault="00DE02D6" w:rsidP="00D46C1D">
            <w:pPr>
              <w:pStyle w:val="lbltxt"/>
              <w:rPr>
                <w:rStyle w:val="Initial"/>
                <w:rFonts w:eastAsia="Arial Unicode MS"/>
                <w:bCs/>
                <w:szCs w:val="22"/>
                <w:lang w:val="hr-HR"/>
              </w:rPr>
            </w:pPr>
            <w:r w:rsidRPr="00950D83">
              <w:rPr>
                <w:rFonts w:eastAsia="Arial Unicode MS"/>
                <w:bCs/>
                <w:szCs w:val="22"/>
                <w:lang w:val="hr-HR"/>
              </w:rPr>
              <w:t>Tel: +</w:t>
            </w:r>
            <w:r w:rsidRPr="00E61FEC">
              <w:rPr>
                <w:noProof w:val="0"/>
                <w:lang w:val="en-US"/>
              </w:rPr>
              <w:t>353 1 8527400</w:t>
            </w:r>
          </w:p>
          <w:p w14:paraId="362B6808" w14:textId="77777777" w:rsidR="00DE02D6" w:rsidRPr="00950D83" w:rsidRDefault="00DE02D6" w:rsidP="00D46C1D">
            <w:pPr>
              <w:pStyle w:val="lbltxt"/>
              <w:rPr>
                <w:szCs w:val="22"/>
                <w:lang w:val="hr-HR"/>
              </w:rPr>
            </w:pPr>
          </w:p>
        </w:tc>
        <w:tc>
          <w:tcPr>
            <w:tcW w:w="2501" w:type="pct"/>
            <w:shd w:val="clear" w:color="auto" w:fill="auto"/>
          </w:tcPr>
          <w:p w14:paraId="3A42D053" w14:textId="77777777" w:rsidR="00DE02D6" w:rsidRPr="00950D83" w:rsidRDefault="00DE02D6" w:rsidP="00D46C1D">
            <w:pPr>
              <w:pStyle w:val="lbltxt"/>
              <w:rPr>
                <w:b/>
                <w:szCs w:val="22"/>
                <w:lang w:val="hr-HR"/>
              </w:rPr>
            </w:pPr>
            <w:r w:rsidRPr="00950D83">
              <w:rPr>
                <w:b/>
                <w:szCs w:val="22"/>
                <w:lang w:val="hr-HR"/>
              </w:rPr>
              <w:t>Slovenija</w:t>
            </w:r>
          </w:p>
          <w:p w14:paraId="303EDCB1" w14:textId="77777777" w:rsidR="00DE02D6" w:rsidRPr="00950D83" w:rsidRDefault="00DE02D6" w:rsidP="00D46C1D">
            <w:pPr>
              <w:pStyle w:val="lbltxt"/>
              <w:rPr>
                <w:bCs/>
                <w:szCs w:val="22"/>
                <w:lang w:val="hr-HR"/>
              </w:rPr>
            </w:pPr>
            <w:r w:rsidRPr="00950D83">
              <w:rPr>
                <w:szCs w:val="22"/>
                <w:lang w:val="hr-HR"/>
              </w:rPr>
              <w:t>AMGEN zdravila d.o.o.</w:t>
            </w:r>
          </w:p>
          <w:p w14:paraId="76A53249" w14:textId="77777777" w:rsidR="00DE02D6" w:rsidRPr="00950D83" w:rsidRDefault="00DE02D6" w:rsidP="00D46C1D">
            <w:pPr>
              <w:pStyle w:val="lbltxt"/>
              <w:rPr>
                <w:bCs/>
                <w:szCs w:val="22"/>
                <w:lang w:val="hr-HR"/>
              </w:rPr>
            </w:pPr>
            <w:r w:rsidRPr="00950D83">
              <w:rPr>
                <w:bCs/>
                <w:szCs w:val="22"/>
                <w:lang w:val="hr-HR"/>
              </w:rPr>
              <w:t>Tel: +386 (0)1 585 1767</w:t>
            </w:r>
          </w:p>
          <w:p w14:paraId="3A871F5E" w14:textId="77777777" w:rsidR="00DE02D6" w:rsidRPr="00950D83" w:rsidRDefault="00DE02D6" w:rsidP="00D46C1D">
            <w:pPr>
              <w:rPr>
                <w:szCs w:val="22"/>
                <w:lang w:val="en-US"/>
              </w:rPr>
            </w:pPr>
          </w:p>
        </w:tc>
      </w:tr>
      <w:bookmarkEnd w:id="19"/>
      <w:tr w:rsidR="00F57A60" w:rsidRPr="006128F6" w14:paraId="5CC3BAB9" w14:textId="77777777" w:rsidTr="00DE02D6">
        <w:trPr>
          <w:cantSplit/>
        </w:trPr>
        <w:tc>
          <w:tcPr>
            <w:tcW w:w="2499" w:type="pct"/>
            <w:shd w:val="clear" w:color="auto" w:fill="auto"/>
          </w:tcPr>
          <w:p w14:paraId="68D33F65" w14:textId="77777777" w:rsidR="00F57A60" w:rsidRPr="006128F6" w:rsidRDefault="00F57A60" w:rsidP="006128F6">
            <w:pPr>
              <w:pStyle w:val="lbltxt"/>
              <w:rPr>
                <w:b/>
                <w:noProof w:val="0"/>
                <w:szCs w:val="22"/>
              </w:rPr>
            </w:pPr>
            <w:r w:rsidRPr="006128F6">
              <w:rPr>
                <w:b/>
                <w:noProof w:val="0"/>
                <w:szCs w:val="22"/>
              </w:rPr>
              <w:t>Ísland</w:t>
            </w:r>
          </w:p>
          <w:p w14:paraId="0B33EE72" w14:textId="77777777" w:rsidR="00F57A60" w:rsidRPr="006128F6" w:rsidRDefault="00F57A60" w:rsidP="006128F6">
            <w:pPr>
              <w:pStyle w:val="lbltxt"/>
              <w:rPr>
                <w:noProof w:val="0"/>
                <w:szCs w:val="22"/>
              </w:rPr>
            </w:pPr>
            <w:r w:rsidRPr="006128F6">
              <w:rPr>
                <w:noProof w:val="0"/>
                <w:szCs w:val="22"/>
              </w:rPr>
              <w:t>Vistor hf.</w:t>
            </w:r>
          </w:p>
          <w:p w14:paraId="624F3C57" w14:textId="77777777" w:rsidR="00F57A60" w:rsidRPr="006128F6" w:rsidRDefault="00F57A60" w:rsidP="006128F6">
            <w:pPr>
              <w:pStyle w:val="lbltxt"/>
              <w:rPr>
                <w:noProof w:val="0"/>
                <w:szCs w:val="22"/>
              </w:rPr>
            </w:pPr>
            <w:r w:rsidRPr="006128F6">
              <w:rPr>
                <w:noProof w:val="0"/>
                <w:szCs w:val="22"/>
              </w:rPr>
              <w:t>Sími: +354 535 7000</w:t>
            </w:r>
          </w:p>
          <w:p w14:paraId="14CAC6E6" w14:textId="77777777" w:rsidR="00F57A60" w:rsidRPr="006128F6" w:rsidRDefault="00F57A60" w:rsidP="006128F6">
            <w:pPr>
              <w:rPr>
                <w:szCs w:val="22"/>
              </w:rPr>
            </w:pPr>
          </w:p>
        </w:tc>
        <w:tc>
          <w:tcPr>
            <w:tcW w:w="2501" w:type="pct"/>
            <w:shd w:val="clear" w:color="auto" w:fill="auto"/>
          </w:tcPr>
          <w:p w14:paraId="423D319B" w14:textId="77777777" w:rsidR="00F57A60" w:rsidRPr="009437B6" w:rsidRDefault="00F57A60" w:rsidP="006128F6">
            <w:pPr>
              <w:pStyle w:val="lbltxt"/>
              <w:rPr>
                <w:b/>
                <w:noProof w:val="0"/>
                <w:szCs w:val="22"/>
                <w:lang w:val="nl-NL"/>
              </w:rPr>
            </w:pPr>
            <w:r w:rsidRPr="009437B6">
              <w:rPr>
                <w:b/>
                <w:noProof w:val="0"/>
                <w:szCs w:val="22"/>
                <w:lang w:val="nl-NL"/>
              </w:rPr>
              <w:t>Slovenská republika</w:t>
            </w:r>
          </w:p>
          <w:p w14:paraId="40A4EF29" w14:textId="77777777" w:rsidR="00F57A60" w:rsidRPr="009437B6" w:rsidRDefault="00F57A60" w:rsidP="006128F6">
            <w:pPr>
              <w:pStyle w:val="lbltxt"/>
              <w:rPr>
                <w:bCs/>
                <w:noProof w:val="0"/>
                <w:szCs w:val="22"/>
                <w:lang w:val="nl-NL"/>
              </w:rPr>
            </w:pPr>
            <w:r w:rsidRPr="009437B6">
              <w:rPr>
                <w:bCs/>
                <w:noProof w:val="0"/>
                <w:szCs w:val="22"/>
                <w:lang w:val="nl-NL"/>
              </w:rPr>
              <w:t>Amgen Slovakia s.r.o.</w:t>
            </w:r>
          </w:p>
          <w:p w14:paraId="1277C84C" w14:textId="64CE6294" w:rsidR="00F57A60" w:rsidRPr="006128F6" w:rsidRDefault="00F57A60" w:rsidP="006128F6">
            <w:pPr>
              <w:pStyle w:val="lbltxt"/>
              <w:rPr>
                <w:bCs/>
                <w:noProof w:val="0"/>
                <w:szCs w:val="22"/>
              </w:rPr>
            </w:pPr>
            <w:r w:rsidRPr="006128F6">
              <w:rPr>
                <w:bCs/>
                <w:noProof w:val="0"/>
                <w:szCs w:val="22"/>
              </w:rPr>
              <w:t xml:space="preserve">Tel: +421 </w:t>
            </w:r>
            <w:r w:rsidRPr="006128F6">
              <w:rPr>
                <w:noProof w:val="0"/>
                <w:szCs w:val="22"/>
                <w:lang w:eastAsia="ja-JP"/>
              </w:rPr>
              <w:t>2 321 114 49</w:t>
            </w:r>
          </w:p>
          <w:p w14:paraId="184BBB44" w14:textId="77777777" w:rsidR="00F57A60" w:rsidRPr="006128F6" w:rsidRDefault="00F57A60" w:rsidP="006128F6">
            <w:pPr>
              <w:pStyle w:val="lbltxt"/>
              <w:rPr>
                <w:bCs/>
                <w:noProof w:val="0"/>
                <w:szCs w:val="22"/>
              </w:rPr>
            </w:pPr>
          </w:p>
          <w:p w14:paraId="2C5BE743" w14:textId="77777777" w:rsidR="00F57A60" w:rsidRPr="006128F6" w:rsidRDefault="00F57A60" w:rsidP="006128F6">
            <w:pPr>
              <w:rPr>
                <w:szCs w:val="22"/>
              </w:rPr>
            </w:pPr>
          </w:p>
        </w:tc>
      </w:tr>
      <w:tr w:rsidR="00F57A60" w:rsidRPr="006128F6" w14:paraId="06D2C05A" w14:textId="77777777" w:rsidTr="00DE02D6">
        <w:trPr>
          <w:cantSplit/>
        </w:trPr>
        <w:tc>
          <w:tcPr>
            <w:tcW w:w="2499" w:type="pct"/>
            <w:shd w:val="clear" w:color="auto" w:fill="auto"/>
          </w:tcPr>
          <w:p w14:paraId="5BDF2CB0" w14:textId="77777777" w:rsidR="00F57A60" w:rsidRPr="00C25AB7" w:rsidRDefault="00F57A60" w:rsidP="006128F6">
            <w:pPr>
              <w:pStyle w:val="lbltxt"/>
              <w:rPr>
                <w:noProof w:val="0"/>
                <w:szCs w:val="22"/>
                <w:lang w:val="de-DE"/>
              </w:rPr>
            </w:pPr>
            <w:r w:rsidRPr="00C25AB7">
              <w:rPr>
                <w:b/>
                <w:noProof w:val="0"/>
                <w:szCs w:val="22"/>
                <w:lang w:val="de-DE"/>
              </w:rPr>
              <w:t>Italia</w:t>
            </w:r>
          </w:p>
          <w:p w14:paraId="1BC241D8" w14:textId="77777777" w:rsidR="00F57A60" w:rsidRPr="00C25AB7" w:rsidRDefault="00F57A60" w:rsidP="006128F6">
            <w:pPr>
              <w:pStyle w:val="lbltxt"/>
              <w:rPr>
                <w:noProof w:val="0"/>
                <w:szCs w:val="22"/>
                <w:lang w:val="de-DE"/>
              </w:rPr>
            </w:pPr>
            <w:r w:rsidRPr="00C25AB7">
              <w:rPr>
                <w:noProof w:val="0"/>
                <w:szCs w:val="22"/>
                <w:lang w:val="de-DE"/>
              </w:rPr>
              <w:t>Amgen S.r.l.</w:t>
            </w:r>
          </w:p>
          <w:p w14:paraId="0664B026" w14:textId="77777777" w:rsidR="00F57A60" w:rsidRPr="006128F6" w:rsidRDefault="00F57A60" w:rsidP="006128F6">
            <w:pPr>
              <w:pStyle w:val="lbltxt"/>
              <w:rPr>
                <w:noProof w:val="0"/>
                <w:szCs w:val="22"/>
              </w:rPr>
            </w:pPr>
            <w:r w:rsidRPr="006128F6">
              <w:rPr>
                <w:noProof w:val="0"/>
                <w:szCs w:val="22"/>
              </w:rPr>
              <w:t>Tel: +39 02 6241121</w:t>
            </w:r>
          </w:p>
          <w:p w14:paraId="5FC64984" w14:textId="77777777" w:rsidR="00F57A60" w:rsidRPr="006128F6" w:rsidRDefault="00F57A60" w:rsidP="006128F6">
            <w:pPr>
              <w:rPr>
                <w:szCs w:val="22"/>
              </w:rPr>
            </w:pPr>
          </w:p>
        </w:tc>
        <w:tc>
          <w:tcPr>
            <w:tcW w:w="2501" w:type="pct"/>
            <w:shd w:val="clear" w:color="auto" w:fill="auto"/>
          </w:tcPr>
          <w:p w14:paraId="54FF3122" w14:textId="77777777" w:rsidR="00F57A60" w:rsidRPr="00C25AB7" w:rsidRDefault="00F57A60" w:rsidP="006128F6">
            <w:pPr>
              <w:pStyle w:val="lbltxt"/>
              <w:rPr>
                <w:noProof w:val="0"/>
                <w:szCs w:val="22"/>
                <w:lang w:val="de-DE"/>
              </w:rPr>
            </w:pPr>
            <w:r w:rsidRPr="00C25AB7">
              <w:rPr>
                <w:b/>
                <w:noProof w:val="0"/>
                <w:szCs w:val="22"/>
                <w:lang w:val="de-DE"/>
              </w:rPr>
              <w:t>Suomi/Finland</w:t>
            </w:r>
          </w:p>
          <w:p w14:paraId="5D0CB992" w14:textId="77777777" w:rsidR="00F57A60" w:rsidRPr="00C25AB7" w:rsidRDefault="00F57A60" w:rsidP="006128F6">
            <w:pPr>
              <w:pStyle w:val="lbltxt"/>
              <w:rPr>
                <w:noProof w:val="0"/>
                <w:szCs w:val="22"/>
                <w:lang w:val="de-DE"/>
              </w:rPr>
            </w:pPr>
            <w:r w:rsidRPr="00C25AB7">
              <w:rPr>
                <w:noProof w:val="0"/>
                <w:szCs w:val="22"/>
                <w:lang w:val="de-DE"/>
              </w:rPr>
              <w:t>Amgen AB, sivuliike Suomessa/Amgen AB, filial i Finland</w:t>
            </w:r>
          </w:p>
          <w:p w14:paraId="4C37F62C" w14:textId="77777777" w:rsidR="00F57A60" w:rsidRPr="006128F6" w:rsidRDefault="00F57A60" w:rsidP="006128F6">
            <w:pPr>
              <w:pStyle w:val="lbltxt"/>
              <w:rPr>
                <w:noProof w:val="0"/>
                <w:szCs w:val="22"/>
              </w:rPr>
            </w:pPr>
            <w:r w:rsidRPr="006128F6">
              <w:rPr>
                <w:noProof w:val="0"/>
                <w:szCs w:val="22"/>
              </w:rPr>
              <w:t>Puh/Tel: +358 (0)9 54900500</w:t>
            </w:r>
          </w:p>
          <w:p w14:paraId="19EBD18D" w14:textId="77777777" w:rsidR="00F57A60" w:rsidRPr="006128F6" w:rsidRDefault="00F57A60" w:rsidP="006128F6">
            <w:pPr>
              <w:rPr>
                <w:szCs w:val="22"/>
              </w:rPr>
            </w:pPr>
          </w:p>
        </w:tc>
      </w:tr>
      <w:tr w:rsidR="00F57A60" w:rsidRPr="006128F6" w14:paraId="1B26A7E4" w14:textId="77777777" w:rsidTr="00DE02D6">
        <w:trPr>
          <w:cantSplit/>
        </w:trPr>
        <w:tc>
          <w:tcPr>
            <w:tcW w:w="2499" w:type="pct"/>
            <w:shd w:val="clear" w:color="auto" w:fill="auto"/>
          </w:tcPr>
          <w:p w14:paraId="5E2A0407" w14:textId="77777777" w:rsidR="00F57A60" w:rsidRPr="00A41744" w:rsidRDefault="00F57A60" w:rsidP="006128F6">
            <w:pPr>
              <w:pStyle w:val="lbltxt"/>
              <w:rPr>
                <w:b/>
                <w:noProof w:val="0"/>
                <w:szCs w:val="22"/>
              </w:rPr>
            </w:pPr>
            <w:r w:rsidRPr="00A41744">
              <w:rPr>
                <w:b/>
                <w:noProof w:val="0"/>
                <w:szCs w:val="22"/>
              </w:rPr>
              <w:t>K</w:t>
            </w:r>
            <w:r w:rsidRPr="006128F6">
              <w:rPr>
                <w:b/>
                <w:noProof w:val="0"/>
                <w:szCs w:val="22"/>
              </w:rPr>
              <w:t>ύπρος</w:t>
            </w:r>
          </w:p>
          <w:p w14:paraId="0CE95763" w14:textId="77777777" w:rsidR="00F57A60" w:rsidRPr="00A41744" w:rsidRDefault="00F57A60" w:rsidP="006128F6">
            <w:pPr>
              <w:rPr>
                <w:szCs w:val="22"/>
              </w:rPr>
            </w:pPr>
            <w:r w:rsidRPr="00A41744">
              <w:rPr>
                <w:szCs w:val="22"/>
              </w:rPr>
              <w:t>C.A. Papaellinas Ltd</w:t>
            </w:r>
          </w:p>
          <w:p w14:paraId="6ECA3872" w14:textId="77777777" w:rsidR="00F57A60" w:rsidRPr="00A41744" w:rsidRDefault="00F57A60" w:rsidP="006128F6">
            <w:pPr>
              <w:pStyle w:val="lbltxt"/>
              <w:rPr>
                <w:noProof w:val="0"/>
                <w:szCs w:val="22"/>
              </w:rPr>
            </w:pPr>
            <w:r w:rsidRPr="006128F6">
              <w:rPr>
                <w:noProof w:val="0"/>
                <w:szCs w:val="22"/>
              </w:rPr>
              <w:t>Τηλ</w:t>
            </w:r>
            <w:r w:rsidRPr="00A41744">
              <w:rPr>
                <w:noProof w:val="0"/>
                <w:szCs w:val="22"/>
              </w:rPr>
              <w:t>.: +357 22741 741</w:t>
            </w:r>
          </w:p>
          <w:p w14:paraId="5EE45231" w14:textId="77777777" w:rsidR="00F57A60" w:rsidRPr="00A41744" w:rsidRDefault="00F57A60" w:rsidP="006128F6">
            <w:pPr>
              <w:rPr>
                <w:szCs w:val="22"/>
              </w:rPr>
            </w:pPr>
          </w:p>
        </w:tc>
        <w:tc>
          <w:tcPr>
            <w:tcW w:w="2501" w:type="pct"/>
            <w:shd w:val="clear" w:color="auto" w:fill="auto"/>
          </w:tcPr>
          <w:p w14:paraId="7832077A" w14:textId="77777777" w:rsidR="00F57A60" w:rsidRPr="006128F6" w:rsidRDefault="00F57A60" w:rsidP="006128F6">
            <w:pPr>
              <w:pStyle w:val="lbltxt"/>
              <w:rPr>
                <w:noProof w:val="0"/>
                <w:szCs w:val="22"/>
              </w:rPr>
            </w:pPr>
            <w:r w:rsidRPr="006128F6">
              <w:rPr>
                <w:b/>
                <w:noProof w:val="0"/>
                <w:szCs w:val="22"/>
              </w:rPr>
              <w:t>Sverige</w:t>
            </w:r>
          </w:p>
          <w:p w14:paraId="3255BFD1" w14:textId="77777777" w:rsidR="00F57A60" w:rsidRPr="006128F6" w:rsidRDefault="00F57A60" w:rsidP="006128F6">
            <w:pPr>
              <w:pStyle w:val="lbltxt"/>
              <w:rPr>
                <w:noProof w:val="0"/>
                <w:szCs w:val="22"/>
              </w:rPr>
            </w:pPr>
            <w:r w:rsidRPr="006128F6">
              <w:rPr>
                <w:noProof w:val="0"/>
                <w:szCs w:val="22"/>
              </w:rPr>
              <w:t xml:space="preserve">Amgen AB </w:t>
            </w:r>
          </w:p>
          <w:p w14:paraId="1EAC8F5E" w14:textId="77777777" w:rsidR="00F57A60" w:rsidRPr="006128F6" w:rsidRDefault="00F57A60" w:rsidP="006128F6">
            <w:pPr>
              <w:pStyle w:val="lbltxt"/>
              <w:rPr>
                <w:noProof w:val="0"/>
                <w:szCs w:val="22"/>
              </w:rPr>
            </w:pPr>
            <w:r w:rsidRPr="006128F6">
              <w:rPr>
                <w:noProof w:val="0"/>
                <w:szCs w:val="22"/>
              </w:rPr>
              <w:t>Tel: +46 (0)8 6951100</w:t>
            </w:r>
          </w:p>
          <w:p w14:paraId="5D04C5D7" w14:textId="77777777" w:rsidR="00F57A60" w:rsidRPr="006128F6" w:rsidRDefault="00F57A60" w:rsidP="006128F6">
            <w:pPr>
              <w:rPr>
                <w:szCs w:val="22"/>
              </w:rPr>
            </w:pPr>
          </w:p>
        </w:tc>
      </w:tr>
      <w:tr w:rsidR="00F57A60" w:rsidRPr="006128F6" w14:paraId="37520BF6" w14:textId="77777777" w:rsidTr="00DE02D6">
        <w:trPr>
          <w:cantSplit/>
        </w:trPr>
        <w:tc>
          <w:tcPr>
            <w:tcW w:w="2499" w:type="pct"/>
            <w:shd w:val="clear" w:color="auto" w:fill="auto"/>
          </w:tcPr>
          <w:p w14:paraId="3503A70D" w14:textId="77777777" w:rsidR="00F57A60" w:rsidRPr="00C25AB7" w:rsidRDefault="00F57A60" w:rsidP="006128F6">
            <w:pPr>
              <w:pStyle w:val="lbltxt"/>
              <w:rPr>
                <w:b/>
                <w:bCs/>
                <w:noProof w:val="0"/>
                <w:szCs w:val="22"/>
                <w:lang w:val="de-DE"/>
              </w:rPr>
            </w:pPr>
            <w:r w:rsidRPr="00C25AB7">
              <w:rPr>
                <w:b/>
                <w:bCs/>
                <w:noProof w:val="0"/>
                <w:szCs w:val="22"/>
                <w:lang w:val="de-DE"/>
              </w:rPr>
              <w:t>Latvija</w:t>
            </w:r>
          </w:p>
          <w:p w14:paraId="682C73AA" w14:textId="77777777" w:rsidR="00F57A60" w:rsidRPr="00C25AB7" w:rsidRDefault="00F57A60" w:rsidP="006128F6">
            <w:pPr>
              <w:pStyle w:val="lbltxt"/>
              <w:rPr>
                <w:noProof w:val="0"/>
                <w:szCs w:val="22"/>
                <w:lang w:val="de-DE"/>
              </w:rPr>
            </w:pPr>
            <w:r w:rsidRPr="00C25AB7">
              <w:rPr>
                <w:noProof w:val="0"/>
                <w:szCs w:val="22"/>
                <w:lang w:val="de-DE"/>
              </w:rPr>
              <w:t>Amgen Switzerland AG Rīgas filiāle</w:t>
            </w:r>
          </w:p>
          <w:p w14:paraId="0C5E27B6" w14:textId="77777777" w:rsidR="00F57A60" w:rsidRPr="006128F6" w:rsidRDefault="00F57A60" w:rsidP="006128F6">
            <w:pPr>
              <w:pStyle w:val="lbltxt"/>
              <w:rPr>
                <w:noProof w:val="0"/>
                <w:szCs w:val="22"/>
              </w:rPr>
            </w:pPr>
            <w:r w:rsidRPr="006128F6">
              <w:rPr>
                <w:bCs/>
                <w:noProof w:val="0"/>
                <w:szCs w:val="22"/>
              </w:rPr>
              <w:t>Tel: +</w:t>
            </w:r>
            <w:r w:rsidRPr="006128F6">
              <w:rPr>
                <w:noProof w:val="0"/>
                <w:szCs w:val="22"/>
              </w:rPr>
              <w:t>371 257 25888</w:t>
            </w:r>
          </w:p>
          <w:p w14:paraId="13263AA0" w14:textId="77777777" w:rsidR="00F57A60" w:rsidRPr="006128F6" w:rsidRDefault="00F57A60" w:rsidP="006128F6">
            <w:pPr>
              <w:rPr>
                <w:szCs w:val="22"/>
              </w:rPr>
            </w:pPr>
          </w:p>
        </w:tc>
        <w:tc>
          <w:tcPr>
            <w:tcW w:w="2501" w:type="pct"/>
            <w:shd w:val="clear" w:color="auto" w:fill="auto"/>
          </w:tcPr>
          <w:p w14:paraId="3CA3C6DF" w14:textId="2880DE4D" w:rsidR="00F57A60" w:rsidRPr="006128F6" w:rsidRDefault="00F57A60" w:rsidP="006128F6">
            <w:pPr>
              <w:pStyle w:val="lbltxt"/>
              <w:rPr>
                <w:noProof w:val="0"/>
                <w:szCs w:val="22"/>
              </w:rPr>
            </w:pPr>
            <w:r w:rsidRPr="006128F6">
              <w:rPr>
                <w:b/>
                <w:noProof w:val="0"/>
                <w:szCs w:val="22"/>
              </w:rPr>
              <w:t>United Kingdom</w:t>
            </w:r>
            <w:r w:rsidR="00FE541E">
              <w:rPr>
                <w:b/>
                <w:noProof w:val="0"/>
                <w:szCs w:val="22"/>
              </w:rPr>
              <w:t xml:space="preserve"> (Northern Ireland)</w:t>
            </w:r>
          </w:p>
          <w:p w14:paraId="72111C12" w14:textId="77777777" w:rsidR="00F57A60" w:rsidRPr="006128F6" w:rsidRDefault="00F57A60" w:rsidP="006128F6">
            <w:pPr>
              <w:pStyle w:val="lbltxt"/>
              <w:rPr>
                <w:noProof w:val="0"/>
                <w:szCs w:val="22"/>
              </w:rPr>
            </w:pPr>
            <w:r w:rsidRPr="006128F6">
              <w:rPr>
                <w:noProof w:val="0"/>
                <w:szCs w:val="22"/>
              </w:rPr>
              <w:t>Amgen Limited</w:t>
            </w:r>
          </w:p>
          <w:p w14:paraId="156ECE2F" w14:textId="77777777" w:rsidR="00F57A60" w:rsidRPr="006128F6" w:rsidRDefault="00F57A60" w:rsidP="006128F6">
            <w:pPr>
              <w:pStyle w:val="lbltxt"/>
              <w:rPr>
                <w:noProof w:val="0"/>
                <w:szCs w:val="22"/>
              </w:rPr>
            </w:pPr>
            <w:r w:rsidRPr="006128F6">
              <w:rPr>
                <w:noProof w:val="0"/>
                <w:szCs w:val="22"/>
              </w:rPr>
              <w:t>Tel: +44 (0)1223 420305</w:t>
            </w:r>
          </w:p>
          <w:p w14:paraId="56E8AD6D" w14:textId="77777777" w:rsidR="00F57A60" w:rsidRPr="006128F6" w:rsidRDefault="00F57A60" w:rsidP="006128F6">
            <w:pPr>
              <w:rPr>
                <w:szCs w:val="22"/>
              </w:rPr>
            </w:pPr>
          </w:p>
        </w:tc>
      </w:tr>
    </w:tbl>
    <w:p w14:paraId="61A19C47" w14:textId="77777777" w:rsidR="00F57A60" w:rsidRPr="006128F6" w:rsidRDefault="00F57A60" w:rsidP="005477BB">
      <w:pPr>
        <w:spacing w:line="240" w:lineRule="auto"/>
        <w:rPr>
          <w:szCs w:val="22"/>
        </w:rPr>
      </w:pPr>
    </w:p>
    <w:p w14:paraId="46CAC10D" w14:textId="09B6D8A9" w:rsidR="00C017B9" w:rsidRPr="006128F6" w:rsidRDefault="00C017B9" w:rsidP="006128F6">
      <w:pPr>
        <w:numPr>
          <w:ilvl w:val="12"/>
          <w:numId w:val="0"/>
        </w:numPr>
        <w:tabs>
          <w:tab w:val="clear" w:pos="567"/>
        </w:tabs>
        <w:spacing w:line="240" w:lineRule="auto"/>
        <w:ind w:right="-2"/>
        <w:outlineLvl w:val="0"/>
        <w:rPr>
          <w:szCs w:val="22"/>
        </w:rPr>
      </w:pPr>
      <w:r w:rsidRPr="006128F6">
        <w:rPr>
          <w:b/>
          <w:szCs w:val="22"/>
        </w:rPr>
        <w:t xml:space="preserve">This leaflet was last </w:t>
      </w:r>
      <w:r w:rsidRPr="006128F6">
        <w:rPr>
          <w:b/>
        </w:rPr>
        <w:t>revised in</w:t>
      </w:r>
    </w:p>
    <w:p w14:paraId="6B5CF087" w14:textId="77777777" w:rsidR="00C017B9" w:rsidRPr="006128F6" w:rsidRDefault="00C017B9" w:rsidP="006128F6">
      <w:pPr>
        <w:numPr>
          <w:ilvl w:val="12"/>
          <w:numId w:val="0"/>
        </w:numPr>
        <w:spacing w:line="240" w:lineRule="auto"/>
        <w:ind w:right="-2"/>
        <w:rPr>
          <w:szCs w:val="22"/>
        </w:rPr>
      </w:pPr>
    </w:p>
    <w:p w14:paraId="67845EF4" w14:textId="77777777" w:rsidR="00C017B9" w:rsidRPr="006128F6" w:rsidRDefault="00C017B9" w:rsidP="006128F6">
      <w:pPr>
        <w:numPr>
          <w:ilvl w:val="12"/>
          <w:numId w:val="0"/>
        </w:numPr>
        <w:tabs>
          <w:tab w:val="clear" w:pos="567"/>
        </w:tabs>
        <w:spacing w:line="240" w:lineRule="auto"/>
        <w:ind w:right="-2"/>
        <w:rPr>
          <w:b/>
        </w:rPr>
      </w:pPr>
      <w:r w:rsidRPr="006128F6">
        <w:rPr>
          <w:b/>
        </w:rPr>
        <w:t>Other sources of information</w:t>
      </w:r>
    </w:p>
    <w:p w14:paraId="5C3BB6D7" w14:textId="77777777" w:rsidR="00C017B9" w:rsidRPr="006128F6" w:rsidRDefault="00C017B9" w:rsidP="006128F6">
      <w:pPr>
        <w:numPr>
          <w:ilvl w:val="12"/>
          <w:numId w:val="0"/>
        </w:numPr>
        <w:spacing w:line="240" w:lineRule="auto"/>
        <w:ind w:right="-2"/>
      </w:pPr>
    </w:p>
    <w:p w14:paraId="79E24E23" w14:textId="79FA3455" w:rsidR="00C017B9" w:rsidRPr="006128F6" w:rsidRDefault="00C017B9" w:rsidP="006128F6">
      <w:pPr>
        <w:numPr>
          <w:ilvl w:val="12"/>
          <w:numId w:val="0"/>
        </w:numPr>
        <w:spacing w:line="240" w:lineRule="auto"/>
        <w:ind w:right="-2"/>
      </w:pPr>
      <w:r w:rsidRPr="006128F6">
        <w:t xml:space="preserve">Detailed information on this medicine is available on the European Medicines Agency web site: </w:t>
      </w:r>
      <w:hyperlink r:id="rId20" w:history="1">
        <w:r w:rsidR="00B02894">
          <w:rPr>
            <w:rStyle w:val="Hyperlink"/>
            <w:szCs w:val="22"/>
          </w:rPr>
          <w:t>http://www.ema.europa.eu</w:t>
        </w:r>
      </w:hyperlink>
      <w:r w:rsidRPr="006128F6">
        <w:rPr>
          <w:szCs w:val="22"/>
        </w:rPr>
        <w:t>.</w:t>
      </w:r>
    </w:p>
    <w:p w14:paraId="79DC9477" w14:textId="77777777" w:rsidR="00577F9F" w:rsidRPr="006128F6" w:rsidRDefault="00577F9F" w:rsidP="006128F6">
      <w:pPr>
        <w:numPr>
          <w:ilvl w:val="12"/>
          <w:numId w:val="0"/>
        </w:numPr>
        <w:tabs>
          <w:tab w:val="clear" w:pos="567"/>
        </w:tabs>
        <w:spacing w:line="240" w:lineRule="auto"/>
      </w:pPr>
    </w:p>
    <w:p w14:paraId="46E1BB7B" w14:textId="4F29CC3E" w:rsidR="00550C7C" w:rsidRPr="00CE427E" w:rsidRDefault="00550C7C" w:rsidP="00550C7C">
      <w:pPr>
        <w:autoSpaceDE w:val="0"/>
        <w:autoSpaceDN w:val="0"/>
        <w:adjustRightInd w:val="0"/>
        <w:spacing w:line="240" w:lineRule="auto"/>
        <w:rPr>
          <w:rFonts w:eastAsia="Calibri"/>
          <w:color w:val="000000"/>
          <w:szCs w:val="22"/>
        </w:rPr>
      </w:pPr>
      <w:r w:rsidRPr="00CE427E">
        <w:rPr>
          <w:rFonts w:eastAsia="Calibri"/>
          <w:color w:val="000000"/>
          <w:szCs w:val="22"/>
        </w:rPr>
        <w:t>This leaflet is available in all EU/EEA languages on the European Medicines Agency website.</w:t>
      </w:r>
    </w:p>
    <w:p w14:paraId="7391B9F4" w14:textId="7E6CDDEB" w:rsidR="000B79D6" w:rsidRDefault="000B79D6" w:rsidP="000B79D6">
      <w:pPr>
        <w:numPr>
          <w:ilvl w:val="12"/>
          <w:numId w:val="0"/>
        </w:numPr>
        <w:spacing w:line="240" w:lineRule="auto"/>
        <w:ind w:right="-2"/>
        <w:rPr>
          <w:noProof/>
          <w:szCs w:val="22"/>
        </w:rPr>
      </w:pPr>
    </w:p>
    <w:p w14:paraId="3897BC8D" w14:textId="77777777" w:rsidR="000B79D6" w:rsidRPr="000643D3" w:rsidRDefault="000B79D6" w:rsidP="000B79D6">
      <w:pPr>
        <w:numPr>
          <w:ilvl w:val="12"/>
          <w:numId w:val="0"/>
        </w:numPr>
        <w:tabs>
          <w:tab w:val="clear" w:pos="567"/>
        </w:tabs>
        <w:spacing w:line="240" w:lineRule="auto"/>
        <w:ind w:right="-2"/>
        <w:rPr>
          <w:noProof/>
          <w:szCs w:val="22"/>
        </w:rPr>
      </w:pPr>
      <w:r w:rsidRPr="008225EB">
        <w:rPr>
          <w:noProof/>
          <w:szCs w:val="22"/>
        </w:rPr>
        <w:t>---------------------------------------------------------------------------------------------</w:t>
      </w:r>
      <w:r>
        <w:rPr>
          <w:noProof/>
          <w:szCs w:val="22"/>
        </w:rPr>
        <w:t>---------------------------</w:t>
      </w:r>
    </w:p>
    <w:p w14:paraId="30295141" w14:textId="77777777" w:rsidR="000B79D6" w:rsidRPr="00DE29B2" w:rsidRDefault="000B79D6" w:rsidP="000B79D6">
      <w:pPr>
        <w:autoSpaceDE w:val="0"/>
        <w:autoSpaceDN w:val="0"/>
        <w:adjustRightInd w:val="0"/>
        <w:spacing w:line="240" w:lineRule="auto"/>
        <w:rPr>
          <w:rFonts w:eastAsia="Calibri"/>
          <w:color w:val="000000"/>
          <w:szCs w:val="22"/>
        </w:rPr>
      </w:pPr>
    </w:p>
    <w:p w14:paraId="3C1EF0E6" w14:textId="77777777" w:rsidR="000B79D6" w:rsidRPr="00DE29B2" w:rsidRDefault="000B79D6" w:rsidP="000B79D6">
      <w:pPr>
        <w:autoSpaceDE w:val="0"/>
        <w:autoSpaceDN w:val="0"/>
        <w:adjustRightInd w:val="0"/>
        <w:spacing w:line="240" w:lineRule="auto"/>
        <w:rPr>
          <w:rFonts w:eastAsia="Calibri"/>
          <w:b/>
          <w:color w:val="000000"/>
          <w:szCs w:val="22"/>
        </w:rPr>
      </w:pPr>
      <w:r w:rsidRPr="00DE29B2">
        <w:rPr>
          <w:rFonts w:eastAsia="Calibri"/>
          <w:b/>
          <w:color w:val="000000"/>
          <w:szCs w:val="22"/>
        </w:rPr>
        <w:t>The following information is intended for medical or healthcare professionals only</w:t>
      </w:r>
    </w:p>
    <w:p w14:paraId="6B67F925" w14:textId="77777777" w:rsidR="00550C7C" w:rsidRPr="00CE427E" w:rsidRDefault="00550C7C" w:rsidP="00550C7C">
      <w:pPr>
        <w:autoSpaceDE w:val="0"/>
        <w:autoSpaceDN w:val="0"/>
        <w:adjustRightInd w:val="0"/>
        <w:spacing w:line="240" w:lineRule="auto"/>
        <w:rPr>
          <w:rFonts w:eastAsia="Calibri"/>
          <w:color w:val="000000"/>
          <w:szCs w:val="22"/>
        </w:rPr>
      </w:pPr>
    </w:p>
    <w:p w14:paraId="6414CAE1" w14:textId="47533ABA" w:rsidR="0049102A" w:rsidRPr="00CE427E" w:rsidRDefault="0049102A" w:rsidP="00550C7C">
      <w:pPr>
        <w:autoSpaceDE w:val="0"/>
        <w:autoSpaceDN w:val="0"/>
        <w:adjustRightInd w:val="0"/>
        <w:spacing w:line="240" w:lineRule="auto"/>
        <w:rPr>
          <w:rFonts w:eastAsia="Calibri"/>
          <w:color w:val="000000"/>
          <w:szCs w:val="22"/>
          <w:lang w:val="en-US"/>
        </w:rPr>
      </w:pPr>
      <w:r w:rsidRPr="00CE427E">
        <w:rPr>
          <w:rFonts w:eastAsia="Calibri"/>
          <w:bCs/>
          <w:color w:val="000000"/>
          <w:szCs w:val="22"/>
          <w:lang w:val="en-US"/>
        </w:rPr>
        <w:t>I</w:t>
      </w:r>
      <w:r w:rsidRPr="00CE427E">
        <w:rPr>
          <w:rFonts w:eastAsia="Calibri"/>
          <w:color w:val="000000"/>
          <w:szCs w:val="22"/>
          <w:lang w:val="en-US"/>
        </w:rPr>
        <w:t xml:space="preserve">n order to prevent medication errors it is important to check the vial labels to ensure that the medicine being prepared and given is </w:t>
      </w:r>
      <w:r w:rsidR="00875563" w:rsidRPr="00CE427E">
        <w:rPr>
          <w:rFonts w:eastAsia="Calibri"/>
          <w:color w:val="000000"/>
          <w:szCs w:val="22"/>
        </w:rPr>
        <w:t>KANJINTI</w:t>
      </w:r>
      <w:r w:rsidRPr="00CE427E">
        <w:rPr>
          <w:rFonts w:eastAsia="Calibri"/>
          <w:color w:val="000000"/>
          <w:szCs w:val="22"/>
          <w:lang w:val="en-US"/>
        </w:rPr>
        <w:t xml:space="preserve"> (trastuzumab) and not another trastuzumab-containing product (e.g. trastuzumab emtansine or trastuzumab deruxtecan).</w:t>
      </w:r>
    </w:p>
    <w:p w14:paraId="238E4EA3" w14:textId="77777777" w:rsidR="0049102A" w:rsidRPr="00CE427E" w:rsidRDefault="0049102A" w:rsidP="00550C7C">
      <w:pPr>
        <w:autoSpaceDE w:val="0"/>
        <w:autoSpaceDN w:val="0"/>
        <w:adjustRightInd w:val="0"/>
        <w:spacing w:line="240" w:lineRule="auto"/>
        <w:rPr>
          <w:rFonts w:eastAsia="Calibri"/>
          <w:color w:val="000000"/>
          <w:szCs w:val="22"/>
          <w:lang w:val="en-US"/>
        </w:rPr>
      </w:pPr>
    </w:p>
    <w:p w14:paraId="0ECDF735" w14:textId="0BED3B62" w:rsidR="00550C7C" w:rsidRPr="00CE427E" w:rsidRDefault="00AE0CEF" w:rsidP="00550C7C">
      <w:pPr>
        <w:autoSpaceDE w:val="0"/>
        <w:autoSpaceDN w:val="0"/>
        <w:adjustRightInd w:val="0"/>
        <w:spacing w:line="240" w:lineRule="auto"/>
        <w:rPr>
          <w:rFonts w:eastAsia="Calibri"/>
          <w:color w:val="000000"/>
          <w:szCs w:val="22"/>
        </w:rPr>
      </w:pPr>
      <w:r w:rsidRPr="008C65EB">
        <w:rPr>
          <w:rFonts w:eastAsia="Calibri"/>
          <w:color w:val="000000"/>
          <w:szCs w:val="22"/>
        </w:rPr>
        <w:t xml:space="preserve">Always </w:t>
      </w:r>
      <w:r w:rsidR="00550C7C" w:rsidRPr="00CE427E">
        <w:rPr>
          <w:rFonts w:eastAsia="Calibri"/>
          <w:color w:val="000000"/>
          <w:szCs w:val="22"/>
        </w:rPr>
        <w:t>keep this medicine in the closed original pack at a temperature of 2</w:t>
      </w:r>
      <w:r w:rsidR="003F5C29">
        <w:rPr>
          <w:rFonts w:eastAsia="Calibri"/>
          <w:color w:val="000000"/>
          <w:szCs w:val="22"/>
        </w:rPr>
        <w:t>°</w:t>
      </w:r>
      <w:r w:rsidR="00550C7C" w:rsidRPr="00CE427E">
        <w:rPr>
          <w:rFonts w:eastAsia="Calibri"/>
          <w:color w:val="000000"/>
          <w:szCs w:val="22"/>
        </w:rPr>
        <w:t>C</w:t>
      </w:r>
      <w:r w:rsidR="00FD4897" w:rsidRPr="006128F6">
        <w:rPr>
          <w:color w:val="000000"/>
        </w:rPr>
        <w:t> </w:t>
      </w:r>
      <w:r w:rsidR="00FD4897" w:rsidRPr="006128F6">
        <w:rPr>
          <w:color w:val="000000"/>
        </w:rPr>
        <w:noBreakHyphen/>
        <w:t> </w:t>
      </w:r>
      <w:r w:rsidR="00550C7C" w:rsidRPr="00CE427E">
        <w:rPr>
          <w:rFonts w:eastAsia="Calibri"/>
          <w:color w:val="000000"/>
          <w:szCs w:val="22"/>
        </w:rPr>
        <w:t>8</w:t>
      </w:r>
      <w:r w:rsidR="003F5C29">
        <w:rPr>
          <w:rFonts w:eastAsia="Calibri"/>
          <w:color w:val="000000"/>
          <w:szCs w:val="22"/>
        </w:rPr>
        <w:t>°</w:t>
      </w:r>
      <w:r w:rsidR="00550C7C" w:rsidRPr="00CE427E">
        <w:rPr>
          <w:rFonts w:eastAsia="Calibri"/>
          <w:color w:val="000000"/>
          <w:szCs w:val="22"/>
        </w:rPr>
        <w:t>C in a refrigerator.</w:t>
      </w:r>
    </w:p>
    <w:p w14:paraId="7C04212E" w14:textId="77777777" w:rsidR="0097704B" w:rsidRDefault="0097704B" w:rsidP="0097704B">
      <w:pPr>
        <w:autoSpaceDE w:val="0"/>
        <w:autoSpaceDN w:val="0"/>
        <w:adjustRightInd w:val="0"/>
        <w:spacing w:line="240" w:lineRule="auto"/>
        <w:rPr>
          <w:rFonts w:eastAsia="Calibri"/>
          <w:color w:val="000000"/>
          <w:szCs w:val="22"/>
        </w:rPr>
      </w:pPr>
    </w:p>
    <w:p w14:paraId="4579EAE8" w14:textId="77777777" w:rsidR="0097704B" w:rsidRPr="00EA53B5" w:rsidRDefault="0097704B" w:rsidP="0097704B">
      <w:pPr>
        <w:autoSpaceDE w:val="0"/>
        <w:autoSpaceDN w:val="0"/>
        <w:adjustRightInd w:val="0"/>
        <w:spacing w:line="240" w:lineRule="auto"/>
        <w:rPr>
          <w:rFonts w:eastAsia="Calibri"/>
          <w:szCs w:val="22"/>
          <w:lang w:eastAsia="zh-CN"/>
        </w:rPr>
      </w:pPr>
      <w:r w:rsidRPr="00EA53B5">
        <w:rPr>
          <w:rFonts w:eastAsia="Calibri"/>
          <w:szCs w:val="22"/>
          <w:lang w:eastAsia="zh-CN"/>
        </w:rPr>
        <w:t>Appropriate aseptic technique should be used for reconstitution and dilution procedures. Care must be taken to ensure the sterility of prepared solutions. Since the medicinal product does not contain any anti-microbial preservative or bacteriostatic agents, aseptic technique must be observed.</w:t>
      </w:r>
    </w:p>
    <w:p w14:paraId="2EEB325A" w14:textId="77777777" w:rsidR="0097704B" w:rsidRPr="00CE427E" w:rsidRDefault="0097704B" w:rsidP="00550C7C">
      <w:pPr>
        <w:autoSpaceDE w:val="0"/>
        <w:autoSpaceDN w:val="0"/>
        <w:adjustRightInd w:val="0"/>
        <w:spacing w:line="240" w:lineRule="auto"/>
        <w:rPr>
          <w:rFonts w:eastAsia="Calibri"/>
          <w:color w:val="000000"/>
          <w:szCs w:val="22"/>
        </w:rPr>
      </w:pPr>
    </w:p>
    <w:p w14:paraId="0E915BFD" w14:textId="09B84FC3" w:rsidR="00550C7C" w:rsidRPr="00CE427E" w:rsidRDefault="00550C7C" w:rsidP="00550C7C">
      <w:pPr>
        <w:autoSpaceDE w:val="0"/>
        <w:autoSpaceDN w:val="0"/>
        <w:adjustRightInd w:val="0"/>
        <w:spacing w:line="240" w:lineRule="auto"/>
        <w:rPr>
          <w:rFonts w:eastAsia="Calibri"/>
          <w:color w:val="000000"/>
          <w:szCs w:val="22"/>
        </w:rPr>
      </w:pPr>
      <w:r w:rsidRPr="00CE427E">
        <w:rPr>
          <w:rFonts w:eastAsia="Calibri"/>
          <w:color w:val="000000"/>
          <w:szCs w:val="22"/>
        </w:rPr>
        <w:t xml:space="preserve">A vial of KANJINTI </w:t>
      </w:r>
      <w:r w:rsidR="00330411" w:rsidRPr="00CE427E">
        <w:rPr>
          <w:rFonts w:eastAsia="Calibri"/>
          <w:color w:val="000000"/>
          <w:szCs w:val="22"/>
        </w:rPr>
        <w:t xml:space="preserve">aseptically </w:t>
      </w:r>
      <w:r w:rsidRPr="00CE427E">
        <w:rPr>
          <w:rFonts w:eastAsia="Calibri"/>
          <w:color w:val="000000"/>
          <w:szCs w:val="22"/>
        </w:rPr>
        <w:t xml:space="preserve">reconstituted with </w:t>
      </w:r>
      <w:r w:rsidR="00330411" w:rsidRPr="00CE427E">
        <w:rPr>
          <w:rFonts w:eastAsia="Calibri"/>
          <w:color w:val="000000"/>
          <w:szCs w:val="22"/>
        </w:rPr>
        <w:t xml:space="preserve">sterile </w:t>
      </w:r>
      <w:r w:rsidRPr="00CE427E">
        <w:rPr>
          <w:rFonts w:eastAsia="Calibri"/>
          <w:color w:val="000000"/>
          <w:szCs w:val="22"/>
        </w:rPr>
        <w:t xml:space="preserve">water for injections (not supplied) is </w:t>
      </w:r>
      <w:r w:rsidR="0097704B" w:rsidRPr="00C13441">
        <w:rPr>
          <w:rFonts w:eastAsia="Calibri"/>
          <w:color w:val="000000"/>
          <w:szCs w:val="22"/>
        </w:rPr>
        <w:t>chemically and physically</w:t>
      </w:r>
      <w:r w:rsidR="0097704B">
        <w:rPr>
          <w:rFonts w:eastAsia="Calibri"/>
          <w:color w:val="000000"/>
          <w:szCs w:val="22"/>
        </w:rPr>
        <w:t xml:space="preserve"> </w:t>
      </w:r>
      <w:r w:rsidRPr="00CE427E">
        <w:rPr>
          <w:rFonts w:eastAsia="Calibri"/>
          <w:color w:val="000000"/>
          <w:szCs w:val="22"/>
        </w:rPr>
        <w:t>stable for 48</w:t>
      </w:r>
      <w:r w:rsidR="008E7F93" w:rsidRPr="006128F6">
        <w:rPr>
          <w:color w:val="000000"/>
        </w:rPr>
        <w:t> </w:t>
      </w:r>
      <w:r w:rsidRPr="00CE427E">
        <w:rPr>
          <w:rFonts w:eastAsia="Calibri"/>
          <w:color w:val="000000"/>
          <w:szCs w:val="22"/>
        </w:rPr>
        <w:t>hours at 2</w:t>
      </w:r>
      <w:r w:rsidR="00951DE2">
        <w:rPr>
          <w:rFonts w:eastAsia="Calibri"/>
          <w:color w:val="000000"/>
          <w:szCs w:val="22"/>
        </w:rPr>
        <w:t>°</w:t>
      </w:r>
      <w:r w:rsidRPr="00CE427E">
        <w:rPr>
          <w:rFonts w:eastAsia="Calibri"/>
          <w:color w:val="000000"/>
          <w:szCs w:val="22"/>
        </w:rPr>
        <w:t>C</w:t>
      </w:r>
      <w:r w:rsidR="00FD4897" w:rsidRPr="006128F6">
        <w:rPr>
          <w:color w:val="000000"/>
        </w:rPr>
        <w:t> </w:t>
      </w:r>
      <w:r w:rsidR="00FD4897" w:rsidRPr="006128F6">
        <w:rPr>
          <w:color w:val="000000"/>
        </w:rPr>
        <w:noBreakHyphen/>
        <w:t> </w:t>
      </w:r>
      <w:r w:rsidRPr="00CE427E">
        <w:rPr>
          <w:rFonts w:eastAsia="Calibri"/>
          <w:color w:val="000000"/>
          <w:szCs w:val="22"/>
        </w:rPr>
        <w:t>8</w:t>
      </w:r>
      <w:r w:rsidR="00951DE2">
        <w:rPr>
          <w:rFonts w:eastAsia="Calibri"/>
          <w:color w:val="000000"/>
          <w:szCs w:val="22"/>
        </w:rPr>
        <w:t>°</w:t>
      </w:r>
      <w:r w:rsidRPr="00CE427E">
        <w:rPr>
          <w:rFonts w:eastAsia="Calibri"/>
          <w:color w:val="000000"/>
          <w:szCs w:val="22"/>
        </w:rPr>
        <w:t>C after reconstitution and must not be frozen.</w:t>
      </w:r>
    </w:p>
    <w:p w14:paraId="4BCBD2E1" w14:textId="77777777" w:rsidR="0097704B" w:rsidRDefault="0097704B" w:rsidP="0097704B">
      <w:pPr>
        <w:autoSpaceDE w:val="0"/>
        <w:autoSpaceDN w:val="0"/>
        <w:adjustRightInd w:val="0"/>
        <w:spacing w:line="240" w:lineRule="auto"/>
        <w:rPr>
          <w:rFonts w:eastAsia="Calibri"/>
          <w:color w:val="000000"/>
          <w:szCs w:val="22"/>
        </w:rPr>
      </w:pPr>
    </w:p>
    <w:p w14:paraId="6565D522" w14:textId="2A311587" w:rsidR="0097704B" w:rsidRPr="006128F6" w:rsidRDefault="0097704B" w:rsidP="0097704B">
      <w:pPr>
        <w:autoSpaceDE w:val="0"/>
        <w:autoSpaceDN w:val="0"/>
        <w:adjustRightInd w:val="0"/>
        <w:spacing w:line="240" w:lineRule="auto"/>
        <w:rPr>
          <w:color w:val="000000"/>
        </w:rPr>
      </w:pPr>
      <w:r w:rsidRPr="00867A7B">
        <w:rPr>
          <w:rFonts w:eastAsia="Calibri"/>
          <w:color w:val="000000"/>
          <w:szCs w:val="22"/>
        </w:rPr>
        <w:t>After aseptic dilution</w:t>
      </w:r>
      <w:r>
        <w:rPr>
          <w:rFonts w:eastAsia="Calibri"/>
          <w:color w:val="000000"/>
          <w:szCs w:val="22"/>
        </w:rPr>
        <w:t xml:space="preserve"> </w:t>
      </w:r>
      <w:r w:rsidRPr="000C0476">
        <w:rPr>
          <w:rFonts w:eastAsia="Calibri"/>
          <w:color w:val="000000"/>
          <w:szCs w:val="22"/>
        </w:rPr>
        <w:t>in polyvinylchloride, polyethylene or polypropylene bags containing sodium chloride 9 mg/mL (0.9%) solution for injection</w:t>
      </w:r>
      <w:r>
        <w:rPr>
          <w:rFonts w:eastAsia="Calibri"/>
          <w:color w:val="000000"/>
          <w:szCs w:val="22"/>
        </w:rPr>
        <w:t xml:space="preserve">, </w:t>
      </w:r>
      <w:r w:rsidRPr="00867A7B">
        <w:rPr>
          <w:rFonts w:eastAsia="Calibri"/>
          <w:color w:val="000000"/>
          <w:szCs w:val="22"/>
        </w:rPr>
        <w:t>chemical and physical stability of</w:t>
      </w:r>
      <w:r>
        <w:rPr>
          <w:rFonts w:eastAsia="Calibri"/>
          <w:color w:val="000000"/>
          <w:szCs w:val="22"/>
        </w:rPr>
        <w:t xml:space="preserve"> </w:t>
      </w:r>
      <w:r w:rsidRPr="000C0476">
        <w:rPr>
          <w:rFonts w:eastAsia="Calibri"/>
          <w:color w:val="000000"/>
          <w:szCs w:val="22"/>
        </w:rPr>
        <w:t>KANJINTI</w:t>
      </w:r>
      <w:r w:rsidRPr="00867A7B">
        <w:rPr>
          <w:rFonts w:eastAsia="Calibri"/>
          <w:color w:val="000000"/>
          <w:szCs w:val="22"/>
        </w:rPr>
        <w:t xml:space="preserve"> has been demonstrated</w:t>
      </w:r>
      <w:r w:rsidRPr="000C0476">
        <w:rPr>
          <w:rFonts w:eastAsia="Calibri"/>
          <w:color w:val="000000"/>
          <w:szCs w:val="22"/>
        </w:rPr>
        <w:t xml:space="preserve"> for </w:t>
      </w:r>
      <w:r>
        <w:rPr>
          <w:rFonts w:eastAsia="Calibri"/>
          <w:color w:val="000000"/>
          <w:szCs w:val="22"/>
        </w:rPr>
        <w:t>up to 3</w:t>
      </w:r>
      <w:r w:rsidR="00690E12">
        <w:rPr>
          <w:rFonts w:eastAsia="Calibri"/>
          <w:color w:val="000000"/>
          <w:szCs w:val="22"/>
        </w:rPr>
        <w:t>0</w:t>
      </w:r>
      <w:r w:rsidR="00863366" w:rsidRPr="000C0476">
        <w:rPr>
          <w:rFonts w:eastAsia="Calibri"/>
          <w:color w:val="000000"/>
          <w:szCs w:val="22"/>
        </w:rPr>
        <w:t> </w:t>
      </w:r>
      <w:r>
        <w:rPr>
          <w:rFonts w:eastAsia="Calibri"/>
          <w:color w:val="000000"/>
          <w:szCs w:val="22"/>
        </w:rPr>
        <w:t xml:space="preserve">days at </w:t>
      </w:r>
      <w:r w:rsidRPr="000C0476">
        <w:rPr>
          <w:rFonts w:eastAsia="Calibri"/>
          <w:color w:val="000000"/>
          <w:szCs w:val="22"/>
        </w:rPr>
        <w:t>2°C </w:t>
      </w:r>
      <w:r w:rsidRPr="000C0476">
        <w:rPr>
          <w:rFonts w:eastAsia="Calibri"/>
          <w:color w:val="000000"/>
          <w:szCs w:val="22"/>
        </w:rPr>
        <w:noBreakHyphen/>
        <w:t> 8°C</w:t>
      </w:r>
      <w:r>
        <w:rPr>
          <w:rFonts w:eastAsia="Calibri"/>
          <w:color w:val="000000"/>
          <w:szCs w:val="22"/>
        </w:rPr>
        <w:t xml:space="preserve">, and </w:t>
      </w:r>
      <w:r w:rsidR="000A75D6">
        <w:rPr>
          <w:rFonts w:eastAsia="Calibri"/>
          <w:color w:val="000000"/>
          <w:szCs w:val="22"/>
        </w:rPr>
        <w:t xml:space="preserve">subsequently for </w:t>
      </w:r>
      <w:r w:rsidRPr="000C0476">
        <w:rPr>
          <w:rFonts w:eastAsia="Calibri"/>
          <w:color w:val="000000"/>
          <w:szCs w:val="22"/>
        </w:rPr>
        <w:t>24 hours at temperatures not exceeding 30°</w:t>
      </w:r>
      <w:r w:rsidRPr="006128F6">
        <w:rPr>
          <w:color w:val="000000"/>
        </w:rPr>
        <w:t xml:space="preserve">C. </w:t>
      </w:r>
    </w:p>
    <w:p w14:paraId="0EAE5990" w14:textId="77777777" w:rsidR="0097704B" w:rsidRPr="000C0476" w:rsidRDefault="0097704B" w:rsidP="0097704B">
      <w:pPr>
        <w:tabs>
          <w:tab w:val="clear" w:pos="567"/>
        </w:tabs>
        <w:autoSpaceDE w:val="0"/>
        <w:autoSpaceDN w:val="0"/>
        <w:adjustRightInd w:val="0"/>
        <w:spacing w:line="240" w:lineRule="auto"/>
        <w:rPr>
          <w:rFonts w:eastAsia="Calibri"/>
          <w:color w:val="000000"/>
          <w:szCs w:val="22"/>
        </w:rPr>
      </w:pPr>
    </w:p>
    <w:p w14:paraId="51AEA57B" w14:textId="6BC6B3C0" w:rsidR="0097704B" w:rsidRDefault="0097704B" w:rsidP="00EB138E">
      <w:pPr>
        <w:keepNext/>
        <w:keepLines/>
        <w:autoSpaceDE w:val="0"/>
        <w:autoSpaceDN w:val="0"/>
        <w:adjustRightInd w:val="0"/>
        <w:spacing w:line="240" w:lineRule="auto"/>
        <w:rPr>
          <w:rFonts w:eastAsia="Calibri"/>
          <w:color w:val="000000"/>
          <w:szCs w:val="22"/>
        </w:rPr>
      </w:pPr>
      <w:r w:rsidRPr="000C0476">
        <w:rPr>
          <w:rFonts w:eastAsia="Calibri"/>
          <w:color w:val="000000"/>
          <w:szCs w:val="22"/>
        </w:rPr>
        <w:lastRenderedPageBreak/>
        <w:t>From a microbiological point of view, the reconstituted solution and KANJINTI infusion solution should be used immediately. If not used immediately, in</w:t>
      </w:r>
      <w:r w:rsidRPr="000C0476">
        <w:rPr>
          <w:rFonts w:eastAsia="Calibri"/>
          <w:color w:val="000000"/>
          <w:szCs w:val="22"/>
        </w:rPr>
        <w:noBreakHyphen/>
        <w:t xml:space="preserve">use storage times and conditions </w:t>
      </w:r>
      <w:r>
        <w:rPr>
          <w:rFonts w:eastAsia="Calibri"/>
          <w:color w:val="000000"/>
          <w:szCs w:val="22"/>
        </w:rPr>
        <w:t xml:space="preserve">prior to use </w:t>
      </w:r>
      <w:r w:rsidRPr="000C0476">
        <w:rPr>
          <w:rFonts w:eastAsia="Calibri"/>
          <w:color w:val="000000"/>
          <w:szCs w:val="22"/>
        </w:rPr>
        <w:t>are the responsibility of the user</w:t>
      </w:r>
      <w:r>
        <w:rPr>
          <w:rFonts w:eastAsia="Calibri"/>
          <w:color w:val="000000"/>
          <w:szCs w:val="22"/>
        </w:rPr>
        <w:t xml:space="preserve">, </w:t>
      </w:r>
      <w:r w:rsidRPr="00867A7B">
        <w:rPr>
          <w:rFonts w:eastAsia="Calibri"/>
          <w:color w:val="000000"/>
          <w:szCs w:val="22"/>
        </w:rPr>
        <w:t xml:space="preserve">and would </w:t>
      </w:r>
      <w:r>
        <w:rPr>
          <w:rFonts w:eastAsia="Calibri"/>
          <w:color w:val="000000"/>
          <w:szCs w:val="22"/>
        </w:rPr>
        <w:t xml:space="preserve">not </w:t>
      </w:r>
      <w:r w:rsidRPr="00867A7B">
        <w:rPr>
          <w:rFonts w:eastAsia="Calibri"/>
          <w:color w:val="000000"/>
          <w:szCs w:val="22"/>
        </w:rPr>
        <w:t>normally</w:t>
      </w:r>
      <w:r>
        <w:rPr>
          <w:rFonts w:eastAsia="Calibri"/>
          <w:color w:val="000000"/>
          <w:szCs w:val="22"/>
        </w:rPr>
        <w:t xml:space="preserve"> </w:t>
      </w:r>
      <w:r w:rsidRPr="00867A7B">
        <w:rPr>
          <w:rFonts w:eastAsia="Calibri"/>
          <w:color w:val="000000"/>
          <w:szCs w:val="22"/>
        </w:rPr>
        <w:t>be longer than 24</w:t>
      </w:r>
      <w:r w:rsidR="00863366" w:rsidRPr="000C0476">
        <w:rPr>
          <w:rFonts w:eastAsia="Calibri"/>
          <w:color w:val="000000"/>
          <w:szCs w:val="22"/>
        </w:rPr>
        <w:t> </w:t>
      </w:r>
      <w:r w:rsidRPr="00867A7B">
        <w:rPr>
          <w:rFonts w:eastAsia="Calibri"/>
          <w:color w:val="000000"/>
          <w:szCs w:val="22"/>
        </w:rPr>
        <w:t xml:space="preserve">hours at </w:t>
      </w:r>
      <w:r w:rsidRPr="000C0476">
        <w:rPr>
          <w:rFonts w:eastAsia="Calibri"/>
          <w:color w:val="000000"/>
          <w:szCs w:val="22"/>
        </w:rPr>
        <w:t>2°C </w:t>
      </w:r>
      <w:r w:rsidRPr="000C0476">
        <w:rPr>
          <w:rFonts w:eastAsia="Calibri"/>
          <w:color w:val="000000"/>
          <w:szCs w:val="22"/>
        </w:rPr>
        <w:noBreakHyphen/>
        <w:t> 8°C</w:t>
      </w:r>
      <w:r w:rsidRPr="00867A7B">
        <w:rPr>
          <w:rFonts w:eastAsia="Calibri"/>
          <w:color w:val="000000"/>
          <w:szCs w:val="22"/>
        </w:rPr>
        <w:t>, unless reconstitution and dilution have taken place under controlled and validated</w:t>
      </w:r>
      <w:r>
        <w:rPr>
          <w:rFonts w:eastAsia="Calibri"/>
          <w:color w:val="000000"/>
          <w:szCs w:val="22"/>
        </w:rPr>
        <w:t xml:space="preserve"> </w:t>
      </w:r>
      <w:r w:rsidRPr="00867A7B">
        <w:rPr>
          <w:rFonts w:eastAsia="Calibri"/>
          <w:color w:val="000000"/>
          <w:szCs w:val="22"/>
        </w:rPr>
        <w:t>aseptic conditions.</w:t>
      </w:r>
    </w:p>
    <w:p w14:paraId="340F340E" w14:textId="77777777" w:rsidR="0097704B" w:rsidRDefault="0097704B" w:rsidP="0097704B">
      <w:pPr>
        <w:autoSpaceDE w:val="0"/>
        <w:autoSpaceDN w:val="0"/>
        <w:adjustRightInd w:val="0"/>
        <w:spacing w:line="240" w:lineRule="auto"/>
        <w:rPr>
          <w:rFonts w:eastAsia="Calibri"/>
          <w:color w:val="000000"/>
          <w:szCs w:val="22"/>
        </w:rPr>
      </w:pPr>
    </w:p>
    <w:p w14:paraId="464CC4CB" w14:textId="7ED8AA2D" w:rsidR="0097704B" w:rsidRDefault="0097704B" w:rsidP="0097704B">
      <w:pPr>
        <w:autoSpaceDE w:val="0"/>
        <w:autoSpaceDN w:val="0"/>
        <w:adjustRightInd w:val="0"/>
        <w:spacing w:line="240" w:lineRule="auto"/>
        <w:rPr>
          <w:rFonts w:eastAsia="Calibri"/>
          <w:color w:val="000000"/>
          <w:szCs w:val="22"/>
          <w:u w:val="single"/>
        </w:rPr>
      </w:pPr>
      <w:r w:rsidRPr="003A44ED">
        <w:rPr>
          <w:rFonts w:eastAsia="Calibri"/>
          <w:color w:val="000000"/>
          <w:szCs w:val="22"/>
          <w:u w:val="single"/>
        </w:rPr>
        <w:t>Aseptic preparation, handling and storage</w:t>
      </w:r>
    </w:p>
    <w:p w14:paraId="07FF7E42" w14:textId="77777777" w:rsidR="00863366" w:rsidRPr="003A44ED" w:rsidRDefault="00863366" w:rsidP="0097704B">
      <w:pPr>
        <w:autoSpaceDE w:val="0"/>
        <w:autoSpaceDN w:val="0"/>
        <w:adjustRightInd w:val="0"/>
        <w:spacing w:line="240" w:lineRule="auto"/>
        <w:rPr>
          <w:rFonts w:eastAsia="Calibri"/>
          <w:color w:val="000000"/>
          <w:szCs w:val="22"/>
          <w:u w:val="single"/>
        </w:rPr>
      </w:pPr>
    </w:p>
    <w:p w14:paraId="0A267312" w14:textId="77777777" w:rsidR="0097704B" w:rsidRPr="00C13441" w:rsidRDefault="0097704B" w:rsidP="0097704B">
      <w:pPr>
        <w:autoSpaceDE w:val="0"/>
        <w:autoSpaceDN w:val="0"/>
        <w:adjustRightInd w:val="0"/>
        <w:spacing w:line="240" w:lineRule="auto"/>
        <w:rPr>
          <w:rFonts w:eastAsia="Calibri"/>
          <w:color w:val="000000"/>
          <w:szCs w:val="22"/>
        </w:rPr>
      </w:pPr>
      <w:r w:rsidRPr="00C13441">
        <w:rPr>
          <w:rFonts w:eastAsia="Calibri"/>
          <w:color w:val="000000"/>
          <w:szCs w:val="22"/>
        </w:rPr>
        <w:t>Aseptic handling must be ensured when preparing the infusion. Preparation should be:</w:t>
      </w:r>
    </w:p>
    <w:p w14:paraId="00192C6B" w14:textId="77777777" w:rsidR="0097704B" w:rsidRPr="00C13441" w:rsidRDefault="0097704B" w:rsidP="003A44ED">
      <w:pPr>
        <w:numPr>
          <w:ilvl w:val="0"/>
          <w:numId w:val="29"/>
        </w:numPr>
        <w:autoSpaceDE w:val="0"/>
        <w:autoSpaceDN w:val="0"/>
        <w:adjustRightInd w:val="0"/>
        <w:spacing w:line="240" w:lineRule="auto"/>
        <w:ind w:left="567" w:hanging="567"/>
        <w:rPr>
          <w:rFonts w:eastAsia="Calibri"/>
          <w:color w:val="000000"/>
          <w:szCs w:val="22"/>
        </w:rPr>
      </w:pPr>
      <w:r w:rsidRPr="00C13441">
        <w:rPr>
          <w:rFonts w:eastAsia="Calibri"/>
          <w:color w:val="000000"/>
          <w:szCs w:val="22"/>
        </w:rPr>
        <w:t>performed under aseptic conditions by trained personnel in accordance with good practice rules</w:t>
      </w:r>
      <w:r>
        <w:rPr>
          <w:rFonts w:eastAsia="Calibri"/>
          <w:color w:val="000000"/>
          <w:szCs w:val="22"/>
        </w:rPr>
        <w:t xml:space="preserve"> </w:t>
      </w:r>
      <w:r w:rsidRPr="00C13441">
        <w:rPr>
          <w:rFonts w:eastAsia="Calibri"/>
          <w:color w:val="000000"/>
          <w:szCs w:val="22"/>
        </w:rPr>
        <w:t>especially with respect to the aseptic preparation of parenteral products.</w:t>
      </w:r>
    </w:p>
    <w:p w14:paraId="60C9C528" w14:textId="77777777" w:rsidR="0097704B" w:rsidRPr="00C13441" w:rsidRDefault="0097704B" w:rsidP="003A44ED">
      <w:pPr>
        <w:numPr>
          <w:ilvl w:val="0"/>
          <w:numId w:val="29"/>
        </w:numPr>
        <w:autoSpaceDE w:val="0"/>
        <w:autoSpaceDN w:val="0"/>
        <w:adjustRightInd w:val="0"/>
        <w:spacing w:line="240" w:lineRule="auto"/>
        <w:ind w:left="567" w:hanging="567"/>
        <w:rPr>
          <w:rFonts w:eastAsia="Calibri"/>
          <w:color w:val="000000"/>
          <w:szCs w:val="22"/>
        </w:rPr>
      </w:pPr>
      <w:r w:rsidRPr="00C13441">
        <w:rPr>
          <w:rFonts w:eastAsia="Calibri"/>
          <w:color w:val="000000"/>
          <w:szCs w:val="22"/>
        </w:rPr>
        <w:t>prepared in a laminar flow hood or biological safety cabinet using standard precautions for the</w:t>
      </w:r>
      <w:r>
        <w:rPr>
          <w:rFonts w:eastAsia="Calibri"/>
          <w:color w:val="000000"/>
          <w:szCs w:val="22"/>
        </w:rPr>
        <w:t xml:space="preserve"> </w:t>
      </w:r>
      <w:r w:rsidRPr="00C13441">
        <w:rPr>
          <w:rFonts w:eastAsia="Calibri"/>
          <w:color w:val="000000"/>
          <w:szCs w:val="22"/>
        </w:rPr>
        <w:t>safe handling of intravenous agents.</w:t>
      </w:r>
    </w:p>
    <w:p w14:paraId="314EC28F" w14:textId="23813DE1" w:rsidR="0097704B" w:rsidRPr="003A44ED" w:rsidRDefault="0097704B" w:rsidP="003A44ED">
      <w:pPr>
        <w:pStyle w:val="ListParagraph"/>
        <w:numPr>
          <w:ilvl w:val="0"/>
          <w:numId w:val="29"/>
        </w:numPr>
        <w:autoSpaceDE w:val="0"/>
        <w:autoSpaceDN w:val="0"/>
        <w:adjustRightInd w:val="0"/>
        <w:spacing w:line="240" w:lineRule="auto"/>
        <w:ind w:left="567" w:hanging="567"/>
        <w:rPr>
          <w:color w:val="000000"/>
          <w:u w:val="single"/>
        </w:rPr>
      </w:pPr>
      <w:r w:rsidRPr="003A44ED">
        <w:rPr>
          <w:rFonts w:eastAsia="Calibri"/>
          <w:color w:val="000000"/>
          <w:szCs w:val="22"/>
        </w:rPr>
        <w:t>followed by adequate storage of the prepared solution for intravenous infusion to ensure maintenance of the aseptic conditions</w:t>
      </w:r>
      <w:r w:rsidR="003A44ED" w:rsidRPr="00081416">
        <w:rPr>
          <w:color w:val="000000"/>
        </w:rPr>
        <w:t>.</w:t>
      </w:r>
    </w:p>
    <w:p w14:paraId="24C0D082" w14:textId="77777777" w:rsidR="0097704B" w:rsidRDefault="0097704B" w:rsidP="0097704B">
      <w:pPr>
        <w:autoSpaceDE w:val="0"/>
        <w:autoSpaceDN w:val="0"/>
        <w:adjustRightInd w:val="0"/>
        <w:spacing w:line="240" w:lineRule="auto"/>
        <w:rPr>
          <w:color w:val="000000"/>
          <w:u w:val="single"/>
        </w:rPr>
      </w:pPr>
    </w:p>
    <w:p w14:paraId="7EA31FEF" w14:textId="0FF0C73F" w:rsidR="00863366" w:rsidRPr="00AA2C64" w:rsidRDefault="0097704B" w:rsidP="0097704B">
      <w:pPr>
        <w:autoSpaceDE w:val="0"/>
        <w:autoSpaceDN w:val="0"/>
        <w:adjustRightInd w:val="0"/>
        <w:spacing w:line="240" w:lineRule="auto"/>
        <w:rPr>
          <w:i/>
          <w:iCs/>
          <w:color w:val="000000"/>
        </w:rPr>
      </w:pPr>
      <w:r w:rsidRPr="00AA2C64">
        <w:rPr>
          <w:i/>
          <w:iCs/>
          <w:color w:val="000000"/>
          <w:u w:val="single"/>
        </w:rPr>
        <w:t>KANJINTI 150 mg powder for concentrate for solution for infusion</w:t>
      </w:r>
    </w:p>
    <w:p w14:paraId="6A0E6806" w14:textId="77777777" w:rsidR="00863366" w:rsidRDefault="00863366" w:rsidP="0097704B">
      <w:pPr>
        <w:autoSpaceDE w:val="0"/>
        <w:autoSpaceDN w:val="0"/>
        <w:adjustRightInd w:val="0"/>
        <w:spacing w:line="240" w:lineRule="auto"/>
        <w:rPr>
          <w:color w:val="000000"/>
        </w:rPr>
      </w:pPr>
    </w:p>
    <w:p w14:paraId="03F0F2FF" w14:textId="3813ADB7" w:rsidR="0097704B" w:rsidRPr="000C0476" w:rsidRDefault="0097704B" w:rsidP="0097704B">
      <w:pPr>
        <w:autoSpaceDE w:val="0"/>
        <w:autoSpaceDN w:val="0"/>
        <w:adjustRightInd w:val="0"/>
        <w:spacing w:line="240" w:lineRule="auto"/>
        <w:rPr>
          <w:rFonts w:eastAsia="Calibri"/>
          <w:color w:val="000000"/>
          <w:szCs w:val="22"/>
        </w:rPr>
      </w:pPr>
      <w:r w:rsidRPr="000C0476">
        <w:rPr>
          <w:rFonts w:eastAsia="Calibri"/>
          <w:color w:val="000000"/>
          <w:szCs w:val="22"/>
        </w:rPr>
        <w:t>Each 150 mg vial of KANJINTI is reconstituted with 7.2 mL of sterile water for injections (not supplied). Use of other reconstitution solvents should be avoided. This yields a 7.4 mL solution for single</w:t>
      </w:r>
      <w:r w:rsidRPr="000C0476">
        <w:rPr>
          <w:rFonts w:eastAsia="Calibri"/>
          <w:color w:val="000000"/>
          <w:szCs w:val="22"/>
        </w:rPr>
        <w:noBreakHyphen/>
        <w:t>dose use, containing approximately 21 mg/mL trastuzumab. A volume overage of 4% ensures that the labelled dose of 150 mg can be withdrawn from each vial.</w:t>
      </w:r>
    </w:p>
    <w:p w14:paraId="38078831" w14:textId="77777777" w:rsidR="00550C7C" w:rsidRPr="00CE427E" w:rsidRDefault="00550C7C" w:rsidP="00550C7C">
      <w:pPr>
        <w:tabs>
          <w:tab w:val="clear" w:pos="567"/>
          <w:tab w:val="left" w:pos="2295"/>
        </w:tabs>
        <w:autoSpaceDE w:val="0"/>
        <w:autoSpaceDN w:val="0"/>
        <w:adjustRightInd w:val="0"/>
        <w:spacing w:line="240" w:lineRule="auto"/>
        <w:rPr>
          <w:rFonts w:eastAsia="Calibri"/>
          <w:color w:val="000000"/>
          <w:szCs w:val="22"/>
        </w:rPr>
      </w:pPr>
    </w:p>
    <w:p w14:paraId="0A392BB9" w14:textId="530D1B25" w:rsidR="0097704B" w:rsidRPr="00AA2C64" w:rsidRDefault="0097704B" w:rsidP="0097704B">
      <w:pPr>
        <w:keepNext/>
        <w:tabs>
          <w:tab w:val="clear" w:pos="567"/>
          <w:tab w:val="left" w:pos="2295"/>
        </w:tabs>
        <w:autoSpaceDE w:val="0"/>
        <w:autoSpaceDN w:val="0"/>
        <w:adjustRightInd w:val="0"/>
        <w:spacing w:line="240" w:lineRule="auto"/>
        <w:rPr>
          <w:i/>
          <w:iCs/>
          <w:color w:val="000000"/>
          <w:u w:val="single"/>
        </w:rPr>
      </w:pPr>
      <w:r w:rsidRPr="00AA2C64">
        <w:rPr>
          <w:i/>
          <w:iCs/>
          <w:color w:val="000000"/>
          <w:u w:val="single"/>
        </w:rPr>
        <w:t>KANJINTI 420 mg powder for concentrate for solution for infusion</w:t>
      </w:r>
    </w:p>
    <w:p w14:paraId="38D73614" w14:textId="77777777" w:rsidR="00863366" w:rsidRDefault="00863366" w:rsidP="0097704B">
      <w:pPr>
        <w:keepNext/>
        <w:tabs>
          <w:tab w:val="clear" w:pos="567"/>
          <w:tab w:val="left" w:pos="2295"/>
        </w:tabs>
        <w:autoSpaceDE w:val="0"/>
        <w:autoSpaceDN w:val="0"/>
        <w:adjustRightInd w:val="0"/>
        <w:spacing w:line="240" w:lineRule="auto"/>
        <w:rPr>
          <w:color w:val="000000"/>
        </w:rPr>
      </w:pPr>
    </w:p>
    <w:p w14:paraId="4E4F0756" w14:textId="26CFC8EE" w:rsidR="0097704B" w:rsidRPr="000C0476" w:rsidRDefault="0097704B" w:rsidP="0097704B">
      <w:pPr>
        <w:tabs>
          <w:tab w:val="clear" w:pos="567"/>
        </w:tabs>
        <w:autoSpaceDE w:val="0"/>
        <w:autoSpaceDN w:val="0"/>
        <w:adjustRightInd w:val="0"/>
        <w:spacing w:line="240" w:lineRule="auto"/>
        <w:rPr>
          <w:rFonts w:eastAsia="Calibri"/>
          <w:color w:val="000000"/>
          <w:szCs w:val="22"/>
        </w:rPr>
      </w:pPr>
      <w:r w:rsidRPr="000C0476">
        <w:rPr>
          <w:rFonts w:eastAsia="Calibri"/>
          <w:color w:val="000000"/>
          <w:szCs w:val="22"/>
        </w:rPr>
        <w:t>Each 420</w:t>
      </w:r>
      <w:r w:rsidR="00951DE2">
        <w:rPr>
          <w:rFonts w:eastAsia="Calibri"/>
          <w:color w:val="000000"/>
          <w:szCs w:val="22"/>
        </w:rPr>
        <w:t> </w:t>
      </w:r>
      <w:r w:rsidRPr="000C0476">
        <w:rPr>
          <w:rFonts w:eastAsia="Calibri"/>
          <w:color w:val="000000"/>
          <w:szCs w:val="22"/>
        </w:rPr>
        <w:t>mg vial of KANJINTI is reconstituted with 20 mL of sterile water for injections (not supplied). Use of other reconstitution solvents should be avoided. This yields a 21 mL solution for single</w:t>
      </w:r>
      <w:r w:rsidRPr="000C0476">
        <w:rPr>
          <w:rFonts w:eastAsia="Calibri"/>
          <w:color w:val="000000"/>
          <w:szCs w:val="22"/>
        </w:rPr>
        <w:noBreakHyphen/>
        <w:t>dose use, containing approximately 21 mg/mL trastuzumab. A volume overage of 5% ensures that the labelled dose of 420 mg can be withdrawn from each vial.</w:t>
      </w:r>
    </w:p>
    <w:p w14:paraId="5B434801" w14:textId="77777777" w:rsidR="00D55CB3" w:rsidRPr="00CE427E" w:rsidRDefault="00D55CB3" w:rsidP="00D55CB3">
      <w:pPr>
        <w:tabs>
          <w:tab w:val="clear" w:pos="567"/>
        </w:tabs>
        <w:autoSpaceDE w:val="0"/>
        <w:autoSpaceDN w:val="0"/>
        <w:adjustRightInd w:val="0"/>
        <w:spacing w:line="240" w:lineRule="auto"/>
        <w:rPr>
          <w:rFonts w:eastAsia="Calibri"/>
          <w:color w:val="000000"/>
          <w:szCs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451"/>
        <w:gridCol w:w="2694"/>
        <w:gridCol w:w="425"/>
        <w:gridCol w:w="3678"/>
      </w:tblGrid>
      <w:tr w:rsidR="008F6721" w14:paraId="128F47F6" w14:textId="77777777" w:rsidTr="00CE427E">
        <w:tc>
          <w:tcPr>
            <w:tcW w:w="1812" w:type="dxa"/>
            <w:shd w:val="clear" w:color="auto" w:fill="auto"/>
          </w:tcPr>
          <w:p w14:paraId="3F2E43B4" w14:textId="77777777" w:rsidR="00D55CB3" w:rsidRPr="00CE427E" w:rsidRDefault="00D55CB3" w:rsidP="00CE427E">
            <w:pPr>
              <w:tabs>
                <w:tab w:val="clear" w:pos="567"/>
              </w:tabs>
              <w:autoSpaceDE w:val="0"/>
              <w:autoSpaceDN w:val="0"/>
              <w:adjustRightInd w:val="0"/>
              <w:spacing w:line="240" w:lineRule="auto"/>
              <w:rPr>
                <w:rFonts w:eastAsia="Calibri"/>
                <w:color w:val="000000"/>
                <w:sz w:val="20"/>
                <w:szCs w:val="22"/>
                <w:lang w:val="en-US"/>
              </w:rPr>
            </w:pPr>
            <w:r w:rsidRPr="00CE427E">
              <w:rPr>
                <w:rFonts w:eastAsia="Calibri"/>
                <w:color w:val="000000"/>
                <w:sz w:val="20"/>
                <w:szCs w:val="22"/>
                <w:lang w:val="en-US"/>
              </w:rPr>
              <w:t>KANJINTI vial</w:t>
            </w:r>
          </w:p>
        </w:tc>
        <w:tc>
          <w:tcPr>
            <w:tcW w:w="451" w:type="dxa"/>
            <w:shd w:val="clear" w:color="auto" w:fill="auto"/>
          </w:tcPr>
          <w:p w14:paraId="6CE81519" w14:textId="77777777" w:rsidR="00D55CB3" w:rsidRPr="00CE427E" w:rsidRDefault="00D55CB3" w:rsidP="00CE427E">
            <w:pPr>
              <w:tabs>
                <w:tab w:val="clear" w:pos="567"/>
              </w:tabs>
              <w:autoSpaceDE w:val="0"/>
              <w:autoSpaceDN w:val="0"/>
              <w:adjustRightInd w:val="0"/>
              <w:spacing w:line="240" w:lineRule="auto"/>
              <w:rPr>
                <w:rFonts w:eastAsia="Calibri"/>
                <w:color w:val="000000"/>
                <w:sz w:val="20"/>
                <w:szCs w:val="22"/>
                <w:lang w:val="en-US"/>
              </w:rPr>
            </w:pPr>
          </w:p>
        </w:tc>
        <w:tc>
          <w:tcPr>
            <w:tcW w:w="2694" w:type="dxa"/>
            <w:shd w:val="clear" w:color="auto" w:fill="auto"/>
          </w:tcPr>
          <w:p w14:paraId="1E7E4F94" w14:textId="77777777" w:rsidR="00D55CB3" w:rsidRPr="00CE427E" w:rsidRDefault="00D55CB3" w:rsidP="00CE427E">
            <w:pPr>
              <w:tabs>
                <w:tab w:val="clear" w:pos="567"/>
              </w:tabs>
              <w:autoSpaceDE w:val="0"/>
              <w:autoSpaceDN w:val="0"/>
              <w:adjustRightInd w:val="0"/>
              <w:spacing w:line="240" w:lineRule="auto"/>
              <w:rPr>
                <w:rFonts w:eastAsia="Calibri"/>
                <w:color w:val="000000"/>
                <w:sz w:val="20"/>
                <w:szCs w:val="22"/>
                <w:lang w:val="en-US"/>
              </w:rPr>
            </w:pPr>
            <w:r w:rsidRPr="00CE427E">
              <w:rPr>
                <w:rFonts w:eastAsia="Calibri"/>
                <w:color w:val="000000"/>
                <w:sz w:val="20"/>
                <w:szCs w:val="22"/>
                <w:lang w:val="en-US"/>
              </w:rPr>
              <w:t>Volume of sterile water for injections</w:t>
            </w:r>
          </w:p>
        </w:tc>
        <w:tc>
          <w:tcPr>
            <w:tcW w:w="425" w:type="dxa"/>
            <w:shd w:val="clear" w:color="auto" w:fill="auto"/>
          </w:tcPr>
          <w:p w14:paraId="6EBF9F07" w14:textId="77777777" w:rsidR="00D55CB3" w:rsidRPr="00CE427E" w:rsidRDefault="00D55CB3" w:rsidP="00CE427E">
            <w:pPr>
              <w:tabs>
                <w:tab w:val="clear" w:pos="567"/>
              </w:tabs>
              <w:autoSpaceDE w:val="0"/>
              <w:autoSpaceDN w:val="0"/>
              <w:adjustRightInd w:val="0"/>
              <w:spacing w:line="240" w:lineRule="auto"/>
              <w:rPr>
                <w:rFonts w:eastAsia="Calibri"/>
                <w:color w:val="000000"/>
                <w:sz w:val="20"/>
                <w:szCs w:val="22"/>
                <w:lang w:val="en-US"/>
              </w:rPr>
            </w:pPr>
          </w:p>
        </w:tc>
        <w:tc>
          <w:tcPr>
            <w:tcW w:w="3678" w:type="dxa"/>
            <w:shd w:val="clear" w:color="auto" w:fill="auto"/>
          </w:tcPr>
          <w:p w14:paraId="4844CD92" w14:textId="77777777" w:rsidR="00D55CB3" w:rsidRPr="00CE427E" w:rsidRDefault="00D55CB3" w:rsidP="00CE427E">
            <w:pPr>
              <w:tabs>
                <w:tab w:val="clear" w:pos="567"/>
              </w:tabs>
              <w:autoSpaceDE w:val="0"/>
              <w:autoSpaceDN w:val="0"/>
              <w:adjustRightInd w:val="0"/>
              <w:spacing w:line="240" w:lineRule="auto"/>
              <w:rPr>
                <w:rFonts w:eastAsia="Calibri"/>
                <w:color w:val="000000"/>
                <w:sz w:val="20"/>
                <w:szCs w:val="22"/>
                <w:lang w:val="en-US"/>
              </w:rPr>
            </w:pPr>
            <w:r w:rsidRPr="00CE427E">
              <w:rPr>
                <w:rFonts w:eastAsia="Calibri"/>
                <w:color w:val="000000"/>
                <w:sz w:val="20"/>
                <w:szCs w:val="22"/>
                <w:lang w:val="en-US"/>
              </w:rPr>
              <w:t>Final concentration</w:t>
            </w:r>
          </w:p>
        </w:tc>
      </w:tr>
      <w:tr w:rsidR="008F6721" w14:paraId="6F94129C" w14:textId="77777777" w:rsidTr="00CE427E">
        <w:tc>
          <w:tcPr>
            <w:tcW w:w="1812" w:type="dxa"/>
            <w:shd w:val="clear" w:color="auto" w:fill="auto"/>
          </w:tcPr>
          <w:p w14:paraId="1DC86DC1" w14:textId="59058558" w:rsidR="00D55CB3" w:rsidRPr="00CE427E" w:rsidRDefault="00D55CB3" w:rsidP="00CE427E">
            <w:pPr>
              <w:tabs>
                <w:tab w:val="clear" w:pos="567"/>
              </w:tabs>
              <w:autoSpaceDE w:val="0"/>
              <w:autoSpaceDN w:val="0"/>
              <w:adjustRightInd w:val="0"/>
              <w:spacing w:line="240" w:lineRule="auto"/>
              <w:rPr>
                <w:rFonts w:eastAsia="Calibri"/>
                <w:color w:val="000000"/>
                <w:sz w:val="20"/>
                <w:szCs w:val="22"/>
                <w:lang w:val="en-US"/>
              </w:rPr>
            </w:pPr>
            <w:r w:rsidRPr="00CE427E">
              <w:rPr>
                <w:rFonts w:eastAsia="Calibri"/>
                <w:color w:val="000000"/>
                <w:sz w:val="20"/>
                <w:szCs w:val="22"/>
                <w:lang w:val="en-US"/>
              </w:rPr>
              <w:t>150</w:t>
            </w:r>
            <w:r w:rsidR="00951DE2">
              <w:rPr>
                <w:rFonts w:eastAsia="Calibri"/>
                <w:color w:val="000000"/>
                <w:sz w:val="20"/>
                <w:szCs w:val="22"/>
                <w:lang w:val="en-US"/>
              </w:rPr>
              <w:t> </w:t>
            </w:r>
            <w:r w:rsidRPr="00CE427E">
              <w:rPr>
                <w:rFonts w:eastAsia="Calibri"/>
                <w:color w:val="000000"/>
                <w:sz w:val="20"/>
                <w:szCs w:val="22"/>
                <w:lang w:val="en-US"/>
              </w:rPr>
              <w:t>mg vial</w:t>
            </w:r>
          </w:p>
        </w:tc>
        <w:tc>
          <w:tcPr>
            <w:tcW w:w="451" w:type="dxa"/>
            <w:shd w:val="clear" w:color="auto" w:fill="auto"/>
          </w:tcPr>
          <w:p w14:paraId="2D27403C" w14:textId="77777777" w:rsidR="00D55CB3" w:rsidRPr="00CE427E" w:rsidRDefault="00D55CB3" w:rsidP="00CE427E">
            <w:pPr>
              <w:tabs>
                <w:tab w:val="clear" w:pos="567"/>
              </w:tabs>
              <w:autoSpaceDE w:val="0"/>
              <w:autoSpaceDN w:val="0"/>
              <w:adjustRightInd w:val="0"/>
              <w:spacing w:line="240" w:lineRule="auto"/>
              <w:rPr>
                <w:rFonts w:eastAsia="Calibri"/>
                <w:color w:val="000000"/>
                <w:sz w:val="20"/>
                <w:szCs w:val="22"/>
                <w:lang w:val="en-US"/>
              </w:rPr>
            </w:pPr>
            <w:r w:rsidRPr="00CE427E">
              <w:rPr>
                <w:rFonts w:eastAsia="Calibri"/>
                <w:color w:val="000000"/>
                <w:sz w:val="20"/>
                <w:szCs w:val="22"/>
                <w:lang w:val="en-US"/>
              </w:rPr>
              <w:t>+</w:t>
            </w:r>
          </w:p>
        </w:tc>
        <w:tc>
          <w:tcPr>
            <w:tcW w:w="2694" w:type="dxa"/>
            <w:shd w:val="clear" w:color="auto" w:fill="auto"/>
          </w:tcPr>
          <w:p w14:paraId="55D7FD56" w14:textId="43D96AB1" w:rsidR="00D55CB3" w:rsidRPr="00CE427E" w:rsidRDefault="00D55CB3" w:rsidP="00CE427E">
            <w:pPr>
              <w:tabs>
                <w:tab w:val="clear" w:pos="567"/>
              </w:tabs>
              <w:autoSpaceDE w:val="0"/>
              <w:autoSpaceDN w:val="0"/>
              <w:adjustRightInd w:val="0"/>
              <w:spacing w:line="240" w:lineRule="auto"/>
              <w:rPr>
                <w:rFonts w:eastAsia="Calibri"/>
                <w:color w:val="000000"/>
                <w:sz w:val="20"/>
                <w:szCs w:val="22"/>
                <w:lang w:val="en-US"/>
              </w:rPr>
            </w:pPr>
            <w:r w:rsidRPr="00CE427E">
              <w:rPr>
                <w:rFonts w:eastAsia="Calibri"/>
                <w:color w:val="000000"/>
                <w:sz w:val="20"/>
                <w:szCs w:val="22"/>
                <w:lang w:val="en-US"/>
              </w:rPr>
              <w:t>7.2</w:t>
            </w:r>
            <w:r w:rsidR="00951DE2">
              <w:rPr>
                <w:rFonts w:eastAsia="Calibri"/>
                <w:color w:val="000000"/>
                <w:sz w:val="20"/>
                <w:szCs w:val="22"/>
                <w:lang w:val="en-US"/>
              </w:rPr>
              <w:t> </w:t>
            </w:r>
            <w:r w:rsidRPr="00CE427E">
              <w:rPr>
                <w:rFonts w:eastAsia="Calibri"/>
                <w:color w:val="000000"/>
                <w:sz w:val="20"/>
                <w:szCs w:val="22"/>
                <w:lang w:val="en-US"/>
              </w:rPr>
              <w:t>mL</w:t>
            </w:r>
          </w:p>
        </w:tc>
        <w:tc>
          <w:tcPr>
            <w:tcW w:w="425" w:type="dxa"/>
            <w:shd w:val="clear" w:color="auto" w:fill="auto"/>
          </w:tcPr>
          <w:p w14:paraId="5A1EA747" w14:textId="77777777" w:rsidR="00D55CB3" w:rsidRPr="00CE427E" w:rsidRDefault="00D55CB3" w:rsidP="00CE427E">
            <w:pPr>
              <w:tabs>
                <w:tab w:val="clear" w:pos="567"/>
              </w:tabs>
              <w:autoSpaceDE w:val="0"/>
              <w:autoSpaceDN w:val="0"/>
              <w:adjustRightInd w:val="0"/>
              <w:spacing w:line="240" w:lineRule="auto"/>
              <w:rPr>
                <w:rFonts w:eastAsia="Calibri"/>
                <w:color w:val="000000"/>
                <w:sz w:val="20"/>
                <w:szCs w:val="22"/>
                <w:lang w:val="en-US"/>
              </w:rPr>
            </w:pPr>
            <w:r w:rsidRPr="00CE427E">
              <w:rPr>
                <w:rFonts w:eastAsia="Calibri"/>
                <w:color w:val="000000"/>
                <w:sz w:val="20"/>
                <w:szCs w:val="22"/>
                <w:lang w:val="en-US"/>
              </w:rPr>
              <w:t>=</w:t>
            </w:r>
          </w:p>
        </w:tc>
        <w:tc>
          <w:tcPr>
            <w:tcW w:w="3678" w:type="dxa"/>
            <w:shd w:val="clear" w:color="auto" w:fill="auto"/>
          </w:tcPr>
          <w:p w14:paraId="6504433B" w14:textId="06DEED75" w:rsidR="00D55CB3" w:rsidRPr="00CE427E" w:rsidRDefault="00D55CB3" w:rsidP="00CE427E">
            <w:pPr>
              <w:tabs>
                <w:tab w:val="clear" w:pos="567"/>
              </w:tabs>
              <w:autoSpaceDE w:val="0"/>
              <w:autoSpaceDN w:val="0"/>
              <w:adjustRightInd w:val="0"/>
              <w:spacing w:line="240" w:lineRule="auto"/>
              <w:rPr>
                <w:rFonts w:eastAsia="Calibri"/>
                <w:color w:val="000000"/>
                <w:sz w:val="20"/>
                <w:szCs w:val="22"/>
                <w:lang w:val="en-US"/>
              </w:rPr>
            </w:pPr>
            <w:r w:rsidRPr="00CE427E">
              <w:rPr>
                <w:rFonts w:eastAsia="Calibri"/>
                <w:color w:val="000000"/>
                <w:sz w:val="20"/>
                <w:szCs w:val="22"/>
                <w:lang w:val="en-US"/>
              </w:rPr>
              <w:t>21</w:t>
            </w:r>
            <w:r w:rsidR="00951DE2">
              <w:rPr>
                <w:rFonts w:eastAsia="Calibri"/>
                <w:color w:val="000000"/>
                <w:sz w:val="20"/>
                <w:szCs w:val="22"/>
                <w:lang w:val="en-US"/>
              </w:rPr>
              <w:t> </w:t>
            </w:r>
            <w:r w:rsidRPr="00CE427E">
              <w:rPr>
                <w:rFonts w:eastAsia="Calibri"/>
                <w:color w:val="000000"/>
                <w:sz w:val="20"/>
                <w:szCs w:val="22"/>
                <w:lang w:val="en-US"/>
              </w:rPr>
              <w:t>mg/mL</w:t>
            </w:r>
          </w:p>
        </w:tc>
      </w:tr>
      <w:tr w:rsidR="008F6721" w14:paraId="458E4C66" w14:textId="77777777" w:rsidTr="00CE427E">
        <w:tc>
          <w:tcPr>
            <w:tcW w:w="1812" w:type="dxa"/>
            <w:shd w:val="clear" w:color="auto" w:fill="auto"/>
          </w:tcPr>
          <w:p w14:paraId="1E9AE542" w14:textId="31485D39" w:rsidR="00D55CB3" w:rsidRPr="00CE427E" w:rsidRDefault="00D55CB3" w:rsidP="00CE427E">
            <w:pPr>
              <w:tabs>
                <w:tab w:val="clear" w:pos="567"/>
              </w:tabs>
              <w:autoSpaceDE w:val="0"/>
              <w:autoSpaceDN w:val="0"/>
              <w:adjustRightInd w:val="0"/>
              <w:spacing w:line="240" w:lineRule="auto"/>
              <w:rPr>
                <w:rFonts w:eastAsia="Calibri"/>
                <w:color w:val="000000"/>
                <w:sz w:val="20"/>
                <w:szCs w:val="22"/>
                <w:lang w:val="en-US"/>
              </w:rPr>
            </w:pPr>
            <w:r w:rsidRPr="00CE427E">
              <w:rPr>
                <w:rFonts w:eastAsia="Calibri"/>
                <w:color w:val="000000"/>
                <w:sz w:val="20"/>
                <w:szCs w:val="22"/>
                <w:lang w:val="en-US"/>
              </w:rPr>
              <w:t>420</w:t>
            </w:r>
            <w:r w:rsidR="00951DE2">
              <w:rPr>
                <w:rFonts w:eastAsia="Calibri"/>
                <w:color w:val="000000"/>
                <w:sz w:val="20"/>
                <w:szCs w:val="22"/>
                <w:lang w:val="en-US"/>
              </w:rPr>
              <w:t> </w:t>
            </w:r>
            <w:r w:rsidRPr="00CE427E">
              <w:rPr>
                <w:rFonts w:eastAsia="Calibri"/>
                <w:color w:val="000000"/>
                <w:sz w:val="20"/>
                <w:szCs w:val="22"/>
                <w:lang w:val="en-US"/>
              </w:rPr>
              <w:t>mg vial</w:t>
            </w:r>
          </w:p>
        </w:tc>
        <w:tc>
          <w:tcPr>
            <w:tcW w:w="451" w:type="dxa"/>
            <w:shd w:val="clear" w:color="auto" w:fill="auto"/>
          </w:tcPr>
          <w:p w14:paraId="3759CEBF" w14:textId="77777777" w:rsidR="00D55CB3" w:rsidRPr="00CE427E" w:rsidRDefault="00D55CB3" w:rsidP="00CE427E">
            <w:pPr>
              <w:tabs>
                <w:tab w:val="clear" w:pos="567"/>
              </w:tabs>
              <w:autoSpaceDE w:val="0"/>
              <w:autoSpaceDN w:val="0"/>
              <w:adjustRightInd w:val="0"/>
              <w:spacing w:line="240" w:lineRule="auto"/>
              <w:rPr>
                <w:rFonts w:eastAsia="Calibri"/>
                <w:color w:val="000000"/>
                <w:sz w:val="20"/>
                <w:szCs w:val="22"/>
                <w:lang w:val="en-US"/>
              </w:rPr>
            </w:pPr>
            <w:r w:rsidRPr="00CE427E">
              <w:rPr>
                <w:rFonts w:eastAsia="Calibri"/>
                <w:color w:val="000000"/>
                <w:sz w:val="20"/>
                <w:szCs w:val="22"/>
                <w:lang w:val="en-US"/>
              </w:rPr>
              <w:t>+</w:t>
            </w:r>
          </w:p>
        </w:tc>
        <w:tc>
          <w:tcPr>
            <w:tcW w:w="2694" w:type="dxa"/>
            <w:shd w:val="clear" w:color="auto" w:fill="auto"/>
          </w:tcPr>
          <w:p w14:paraId="0B5D50F4" w14:textId="402D24A1" w:rsidR="00D55CB3" w:rsidRPr="00CE427E" w:rsidRDefault="00D55CB3" w:rsidP="00CE427E">
            <w:pPr>
              <w:tabs>
                <w:tab w:val="clear" w:pos="567"/>
              </w:tabs>
              <w:autoSpaceDE w:val="0"/>
              <w:autoSpaceDN w:val="0"/>
              <w:adjustRightInd w:val="0"/>
              <w:spacing w:line="240" w:lineRule="auto"/>
              <w:rPr>
                <w:rFonts w:eastAsia="Calibri"/>
                <w:color w:val="000000"/>
                <w:sz w:val="20"/>
                <w:szCs w:val="22"/>
                <w:lang w:val="en-US"/>
              </w:rPr>
            </w:pPr>
            <w:r w:rsidRPr="00CE427E">
              <w:rPr>
                <w:rFonts w:eastAsia="Calibri"/>
                <w:color w:val="000000"/>
                <w:sz w:val="20"/>
                <w:szCs w:val="22"/>
                <w:lang w:val="en-US"/>
              </w:rPr>
              <w:t>20</w:t>
            </w:r>
            <w:r w:rsidR="00951DE2">
              <w:rPr>
                <w:rFonts w:eastAsia="Calibri"/>
                <w:color w:val="000000"/>
                <w:sz w:val="20"/>
                <w:szCs w:val="22"/>
                <w:lang w:val="en-US"/>
              </w:rPr>
              <w:t> </w:t>
            </w:r>
            <w:r w:rsidRPr="00CE427E">
              <w:rPr>
                <w:rFonts w:eastAsia="Calibri"/>
                <w:color w:val="000000"/>
                <w:sz w:val="20"/>
                <w:szCs w:val="22"/>
                <w:lang w:val="en-US"/>
              </w:rPr>
              <w:t>mL</w:t>
            </w:r>
          </w:p>
        </w:tc>
        <w:tc>
          <w:tcPr>
            <w:tcW w:w="425" w:type="dxa"/>
            <w:shd w:val="clear" w:color="auto" w:fill="auto"/>
          </w:tcPr>
          <w:p w14:paraId="15F752C5" w14:textId="77777777" w:rsidR="00D55CB3" w:rsidRPr="00CE427E" w:rsidRDefault="00D55CB3" w:rsidP="00CE427E">
            <w:pPr>
              <w:tabs>
                <w:tab w:val="clear" w:pos="567"/>
              </w:tabs>
              <w:autoSpaceDE w:val="0"/>
              <w:autoSpaceDN w:val="0"/>
              <w:adjustRightInd w:val="0"/>
              <w:spacing w:line="240" w:lineRule="auto"/>
              <w:rPr>
                <w:rFonts w:eastAsia="Calibri"/>
                <w:color w:val="000000"/>
                <w:sz w:val="20"/>
                <w:szCs w:val="22"/>
                <w:lang w:val="en-US"/>
              </w:rPr>
            </w:pPr>
            <w:r w:rsidRPr="00CE427E">
              <w:rPr>
                <w:rFonts w:eastAsia="Calibri"/>
                <w:color w:val="000000"/>
                <w:sz w:val="20"/>
                <w:szCs w:val="22"/>
                <w:lang w:val="en-US"/>
              </w:rPr>
              <w:t>=</w:t>
            </w:r>
          </w:p>
        </w:tc>
        <w:tc>
          <w:tcPr>
            <w:tcW w:w="3678" w:type="dxa"/>
            <w:shd w:val="clear" w:color="auto" w:fill="auto"/>
          </w:tcPr>
          <w:p w14:paraId="4C2F16E6" w14:textId="1EE314EC" w:rsidR="00D55CB3" w:rsidRPr="00CE427E" w:rsidRDefault="00D55CB3" w:rsidP="00CE427E">
            <w:pPr>
              <w:tabs>
                <w:tab w:val="clear" w:pos="567"/>
              </w:tabs>
              <w:autoSpaceDE w:val="0"/>
              <w:autoSpaceDN w:val="0"/>
              <w:adjustRightInd w:val="0"/>
              <w:spacing w:line="240" w:lineRule="auto"/>
              <w:rPr>
                <w:rFonts w:eastAsia="Calibri"/>
                <w:color w:val="000000"/>
                <w:sz w:val="20"/>
                <w:szCs w:val="22"/>
                <w:lang w:val="en-US"/>
              </w:rPr>
            </w:pPr>
            <w:r w:rsidRPr="00CE427E">
              <w:rPr>
                <w:rFonts w:eastAsia="Calibri"/>
                <w:color w:val="000000"/>
                <w:sz w:val="20"/>
                <w:szCs w:val="22"/>
                <w:lang w:val="en-US"/>
              </w:rPr>
              <w:t>21</w:t>
            </w:r>
            <w:r w:rsidR="00951DE2">
              <w:rPr>
                <w:rFonts w:eastAsia="Calibri"/>
                <w:color w:val="000000"/>
                <w:sz w:val="20"/>
                <w:szCs w:val="22"/>
                <w:lang w:val="en-US"/>
              </w:rPr>
              <w:t> </w:t>
            </w:r>
            <w:r w:rsidRPr="00CE427E">
              <w:rPr>
                <w:rFonts w:eastAsia="Calibri"/>
                <w:color w:val="000000"/>
                <w:sz w:val="20"/>
                <w:szCs w:val="22"/>
                <w:lang w:val="en-US"/>
              </w:rPr>
              <w:t>mg/mL</w:t>
            </w:r>
          </w:p>
        </w:tc>
      </w:tr>
    </w:tbl>
    <w:p w14:paraId="1678CDF6" w14:textId="77777777" w:rsidR="00550C7C" w:rsidRPr="00CE427E" w:rsidRDefault="00550C7C" w:rsidP="00550C7C">
      <w:pPr>
        <w:tabs>
          <w:tab w:val="clear" w:pos="567"/>
        </w:tabs>
        <w:autoSpaceDE w:val="0"/>
        <w:autoSpaceDN w:val="0"/>
        <w:adjustRightInd w:val="0"/>
        <w:spacing w:line="240" w:lineRule="auto"/>
        <w:rPr>
          <w:rFonts w:eastAsia="Calibri"/>
          <w:color w:val="000000"/>
          <w:szCs w:val="22"/>
          <w:u w:val="single"/>
        </w:rPr>
      </w:pPr>
    </w:p>
    <w:p w14:paraId="3382221F" w14:textId="5421EE9E" w:rsidR="00550C7C" w:rsidRPr="00CE427E" w:rsidRDefault="00550C7C" w:rsidP="004E4B56">
      <w:pPr>
        <w:keepNext/>
        <w:tabs>
          <w:tab w:val="clear" w:pos="567"/>
        </w:tabs>
        <w:autoSpaceDE w:val="0"/>
        <w:autoSpaceDN w:val="0"/>
        <w:adjustRightInd w:val="0"/>
        <w:spacing w:line="240" w:lineRule="auto"/>
        <w:rPr>
          <w:rFonts w:eastAsia="Calibri"/>
          <w:color w:val="000000"/>
          <w:szCs w:val="22"/>
          <w:u w:val="single"/>
        </w:rPr>
      </w:pPr>
      <w:r w:rsidRPr="00CE427E">
        <w:rPr>
          <w:rFonts w:eastAsia="Calibri"/>
          <w:color w:val="000000"/>
          <w:szCs w:val="22"/>
          <w:u w:val="single"/>
        </w:rPr>
        <w:t xml:space="preserve">Instructions for </w:t>
      </w:r>
      <w:r w:rsidR="0097704B">
        <w:rPr>
          <w:rFonts w:eastAsia="Calibri"/>
          <w:color w:val="000000"/>
          <w:szCs w:val="22"/>
          <w:u w:val="single"/>
        </w:rPr>
        <w:t xml:space="preserve">aseptic </w:t>
      </w:r>
      <w:r w:rsidRPr="00CE427E">
        <w:rPr>
          <w:rFonts w:eastAsia="Calibri"/>
          <w:color w:val="000000"/>
          <w:szCs w:val="22"/>
          <w:u w:val="single"/>
        </w:rPr>
        <w:t>reconstitution</w:t>
      </w:r>
    </w:p>
    <w:p w14:paraId="2263CB3E" w14:textId="77777777" w:rsidR="00550C7C" w:rsidRPr="00CE427E" w:rsidRDefault="00550C7C" w:rsidP="004E4B56">
      <w:pPr>
        <w:keepNext/>
        <w:tabs>
          <w:tab w:val="clear" w:pos="567"/>
        </w:tabs>
        <w:autoSpaceDE w:val="0"/>
        <w:autoSpaceDN w:val="0"/>
        <w:adjustRightInd w:val="0"/>
        <w:spacing w:line="240" w:lineRule="auto"/>
        <w:rPr>
          <w:rFonts w:eastAsia="Calibri"/>
          <w:color w:val="000000"/>
          <w:szCs w:val="22"/>
        </w:rPr>
      </w:pPr>
    </w:p>
    <w:p w14:paraId="41F764D0" w14:textId="77777777" w:rsidR="00B71C6D" w:rsidRPr="00CE427E" w:rsidRDefault="00B71C6D" w:rsidP="00B71C6D">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KANJINTI should be carefully handled during reconstitution. Causing excessive foaming during reconstitution or shaking the reconstituted solution may result in problems with the amount of KANJINTI that can be withdrawn from the vial.</w:t>
      </w:r>
    </w:p>
    <w:p w14:paraId="1D9D98B0" w14:textId="77777777" w:rsidR="00B71C6D" w:rsidRPr="00CE427E" w:rsidRDefault="00B71C6D" w:rsidP="00550C7C">
      <w:pPr>
        <w:tabs>
          <w:tab w:val="clear" w:pos="567"/>
        </w:tabs>
        <w:autoSpaceDE w:val="0"/>
        <w:autoSpaceDN w:val="0"/>
        <w:adjustRightInd w:val="0"/>
        <w:spacing w:line="240" w:lineRule="auto"/>
        <w:rPr>
          <w:rFonts w:eastAsia="Calibri"/>
          <w:color w:val="000000"/>
          <w:szCs w:val="22"/>
        </w:rPr>
      </w:pPr>
    </w:p>
    <w:p w14:paraId="6978C40A" w14:textId="73FE3A33" w:rsidR="00550C7C" w:rsidRPr="00CE427E" w:rsidRDefault="00550C7C" w:rsidP="00550C7C">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 xml:space="preserve">1) Using a sterile syringe, slowly inject the appropriate volume (as noted above) of </w:t>
      </w:r>
      <w:r w:rsidR="008D5A11" w:rsidRPr="00CE427E">
        <w:rPr>
          <w:rFonts w:eastAsia="Calibri"/>
          <w:color w:val="000000"/>
          <w:szCs w:val="22"/>
        </w:rPr>
        <w:t xml:space="preserve">sterile </w:t>
      </w:r>
      <w:r w:rsidRPr="00CE427E">
        <w:rPr>
          <w:rFonts w:eastAsia="Calibri"/>
          <w:color w:val="000000"/>
          <w:szCs w:val="22"/>
        </w:rPr>
        <w:t>water for injection</w:t>
      </w:r>
      <w:r w:rsidR="008D5A11" w:rsidRPr="00CE427E">
        <w:rPr>
          <w:rFonts w:eastAsia="Calibri"/>
          <w:color w:val="000000"/>
          <w:szCs w:val="22"/>
        </w:rPr>
        <w:t>s</w:t>
      </w:r>
      <w:r w:rsidRPr="00CE427E">
        <w:rPr>
          <w:rFonts w:eastAsia="Calibri"/>
          <w:color w:val="000000"/>
          <w:szCs w:val="22"/>
        </w:rPr>
        <w:t xml:space="preserve"> in the vial containing the lyophilised KANJINTI, directing the stream into the lyophilised cake.</w:t>
      </w:r>
    </w:p>
    <w:p w14:paraId="07156141" w14:textId="77777777" w:rsidR="00C33F49" w:rsidRPr="00CE427E" w:rsidRDefault="00C33F49" w:rsidP="00550C7C">
      <w:pPr>
        <w:tabs>
          <w:tab w:val="clear" w:pos="567"/>
        </w:tabs>
        <w:autoSpaceDE w:val="0"/>
        <w:autoSpaceDN w:val="0"/>
        <w:adjustRightInd w:val="0"/>
        <w:spacing w:line="240" w:lineRule="auto"/>
        <w:rPr>
          <w:rFonts w:eastAsia="Calibri"/>
          <w:color w:val="000000"/>
          <w:szCs w:val="22"/>
        </w:rPr>
      </w:pPr>
    </w:p>
    <w:p w14:paraId="5905AE84" w14:textId="4CF33F80" w:rsidR="00550C7C" w:rsidRPr="00CE427E" w:rsidRDefault="00550C7C" w:rsidP="00550C7C">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2) Swirl the vial gently to aid reconstitution. DO NOT SHAKE</w:t>
      </w:r>
      <w:r w:rsidR="00C33F49" w:rsidRPr="00CE427E">
        <w:rPr>
          <w:rFonts w:eastAsia="Calibri"/>
          <w:color w:val="000000"/>
          <w:szCs w:val="22"/>
        </w:rPr>
        <w:t>.</w:t>
      </w:r>
    </w:p>
    <w:p w14:paraId="4A04D399" w14:textId="77777777" w:rsidR="00550C7C" w:rsidRPr="00CE427E" w:rsidRDefault="00550C7C" w:rsidP="00550C7C">
      <w:pPr>
        <w:tabs>
          <w:tab w:val="clear" w:pos="567"/>
        </w:tabs>
        <w:autoSpaceDE w:val="0"/>
        <w:autoSpaceDN w:val="0"/>
        <w:adjustRightInd w:val="0"/>
        <w:spacing w:line="240" w:lineRule="auto"/>
        <w:rPr>
          <w:rFonts w:eastAsia="Calibri"/>
          <w:color w:val="000000"/>
          <w:szCs w:val="22"/>
        </w:rPr>
      </w:pPr>
    </w:p>
    <w:p w14:paraId="36365FA9" w14:textId="77777777" w:rsidR="00550C7C" w:rsidRPr="00CE427E" w:rsidRDefault="00550C7C" w:rsidP="00550C7C">
      <w:pPr>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Slight foaming of the product upon reconstitution is not unusual. Allow the vial to stand undisturbed for approximately 5 minutes. The reconstituted KANJINTI results in a colourless to pale yellow transparent solution and should be essentially free of visible particulates.</w:t>
      </w:r>
    </w:p>
    <w:p w14:paraId="2E40D361" w14:textId="77777777" w:rsidR="0097704B" w:rsidRDefault="0097704B" w:rsidP="0097704B">
      <w:pPr>
        <w:tabs>
          <w:tab w:val="clear" w:pos="567"/>
        </w:tabs>
        <w:autoSpaceDE w:val="0"/>
        <w:autoSpaceDN w:val="0"/>
        <w:adjustRightInd w:val="0"/>
        <w:spacing w:line="240" w:lineRule="auto"/>
        <w:rPr>
          <w:rFonts w:eastAsia="Calibri"/>
          <w:color w:val="000000"/>
          <w:szCs w:val="22"/>
        </w:rPr>
      </w:pPr>
    </w:p>
    <w:p w14:paraId="2E1EDF17" w14:textId="77777777" w:rsidR="003A44ED" w:rsidRPr="00CE427E" w:rsidRDefault="0097704B" w:rsidP="00EB138E">
      <w:pPr>
        <w:keepNext/>
        <w:keepLines/>
        <w:tabs>
          <w:tab w:val="clear" w:pos="567"/>
        </w:tabs>
        <w:autoSpaceDE w:val="0"/>
        <w:autoSpaceDN w:val="0"/>
        <w:adjustRightInd w:val="0"/>
        <w:spacing w:line="240" w:lineRule="auto"/>
        <w:rPr>
          <w:rFonts w:eastAsia="Calibri"/>
          <w:color w:val="000000"/>
          <w:szCs w:val="22"/>
        </w:rPr>
      </w:pPr>
      <w:r w:rsidRPr="00EA53B5">
        <w:rPr>
          <w:rFonts w:eastAsia="Calibri"/>
          <w:szCs w:val="22"/>
          <w:u w:val="single"/>
          <w:lang w:eastAsia="zh-CN"/>
        </w:rPr>
        <w:lastRenderedPageBreak/>
        <w:t>Instructions for aseptic dilution of the reconstituted solution</w:t>
      </w:r>
    </w:p>
    <w:p w14:paraId="5AFD972F" w14:textId="71614BAC" w:rsidR="0097704B" w:rsidRPr="00CE427E" w:rsidRDefault="0097704B" w:rsidP="00EB138E">
      <w:pPr>
        <w:keepNext/>
        <w:keepLines/>
        <w:tabs>
          <w:tab w:val="clear" w:pos="567"/>
        </w:tabs>
        <w:autoSpaceDE w:val="0"/>
        <w:autoSpaceDN w:val="0"/>
        <w:adjustRightInd w:val="0"/>
        <w:spacing w:line="240" w:lineRule="auto"/>
        <w:rPr>
          <w:rFonts w:eastAsia="Calibri"/>
          <w:color w:val="000000"/>
          <w:szCs w:val="22"/>
        </w:rPr>
      </w:pPr>
    </w:p>
    <w:p w14:paraId="387B7F36" w14:textId="0D85A452" w:rsidR="00550C7C" w:rsidRPr="00CE427E" w:rsidRDefault="00550C7C" w:rsidP="00EB138E">
      <w:pPr>
        <w:keepNext/>
        <w:keepLines/>
        <w:tabs>
          <w:tab w:val="clear" w:pos="567"/>
        </w:tabs>
        <w:autoSpaceDE w:val="0"/>
        <w:autoSpaceDN w:val="0"/>
        <w:adjustRightInd w:val="0"/>
        <w:spacing w:line="240" w:lineRule="auto"/>
        <w:rPr>
          <w:rFonts w:eastAsia="Calibri"/>
          <w:color w:val="000000"/>
          <w:szCs w:val="22"/>
        </w:rPr>
      </w:pPr>
      <w:r w:rsidRPr="00CE427E">
        <w:rPr>
          <w:rFonts w:eastAsia="Calibri"/>
          <w:color w:val="000000"/>
          <w:szCs w:val="22"/>
        </w:rPr>
        <w:t>Determine the volume of the solution required:</w:t>
      </w:r>
    </w:p>
    <w:p w14:paraId="74CC0BC3" w14:textId="77777777" w:rsidR="00550C7C" w:rsidRPr="00CE427E" w:rsidRDefault="00550C7C" w:rsidP="00EB138E">
      <w:pPr>
        <w:keepNext/>
        <w:keepLines/>
        <w:numPr>
          <w:ilvl w:val="0"/>
          <w:numId w:val="10"/>
        </w:numPr>
        <w:tabs>
          <w:tab w:val="clear" w:pos="567"/>
        </w:tabs>
        <w:autoSpaceDE w:val="0"/>
        <w:autoSpaceDN w:val="0"/>
        <w:adjustRightInd w:val="0"/>
        <w:spacing w:line="240" w:lineRule="auto"/>
        <w:ind w:left="567" w:hanging="567"/>
        <w:contextualSpacing/>
        <w:rPr>
          <w:rFonts w:eastAsia="Calibri"/>
          <w:color w:val="000000"/>
          <w:szCs w:val="22"/>
        </w:rPr>
      </w:pPr>
      <w:r w:rsidRPr="00CE427E">
        <w:rPr>
          <w:rFonts w:eastAsia="Calibri"/>
          <w:color w:val="000000"/>
          <w:szCs w:val="22"/>
        </w:rPr>
        <w:t>based on a loading dose of 4 mg trastuzumab/kg body weight, or a subsequent weekly dose of 2 mg trastuzumab/kg body weight:</w:t>
      </w:r>
    </w:p>
    <w:p w14:paraId="52EC2D2D" w14:textId="77777777" w:rsidR="00550C7C" w:rsidRPr="00CE427E" w:rsidRDefault="00550C7C" w:rsidP="00EB138E">
      <w:pPr>
        <w:keepNext/>
        <w:keepLines/>
        <w:tabs>
          <w:tab w:val="clear" w:pos="567"/>
        </w:tabs>
        <w:autoSpaceDE w:val="0"/>
        <w:autoSpaceDN w:val="0"/>
        <w:adjustRightInd w:val="0"/>
        <w:spacing w:line="240" w:lineRule="auto"/>
        <w:rPr>
          <w:rFonts w:eastAsia="Calibri"/>
          <w:b/>
          <w:bCs/>
          <w:color w:val="000000"/>
          <w:szCs w:val="22"/>
        </w:rPr>
      </w:pPr>
    </w:p>
    <w:p w14:paraId="498E0292" w14:textId="08A672CF" w:rsidR="00550C7C" w:rsidRPr="00CE427E" w:rsidRDefault="00550C7C" w:rsidP="00EB138E">
      <w:pPr>
        <w:keepNext/>
        <w:keepLines/>
        <w:tabs>
          <w:tab w:val="clear" w:pos="567"/>
        </w:tabs>
        <w:autoSpaceDE w:val="0"/>
        <w:autoSpaceDN w:val="0"/>
        <w:adjustRightInd w:val="0"/>
        <w:spacing w:line="240" w:lineRule="auto"/>
        <w:rPr>
          <w:rFonts w:eastAsia="Calibri"/>
          <w:color w:val="000000"/>
          <w:szCs w:val="22"/>
          <w:u w:val="single"/>
        </w:rPr>
      </w:pPr>
      <w:r w:rsidRPr="00CE427E">
        <w:rPr>
          <w:rFonts w:eastAsia="Calibri"/>
          <w:b/>
          <w:bCs/>
          <w:color w:val="000000"/>
          <w:szCs w:val="22"/>
        </w:rPr>
        <w:t xml:space="preserve">Volume </w:t>
      </w:r>
      <w:r w:rsidRPr="00CE427E">
        <w:rPr>
          <w:rFonts w:eastAsia="Calibri"/>
          <w:color w:val="000000"/>
          <w:szCs w:val="22"/>
        </w:rPr>
        <w:t>(mL) = </w:t>
      </w:r>
      <w:r w:rsidRPr="00CE427E">
        <w:rPr>
          <w:rFonts w:eastAsia="Calibri"/>
          <w:b/>
          <w:bCs/>
          <w:color w:val="000000"/>
          <w:szCs w:val="22"/>
          <w:u w:val="single"/>
        </w:rPr>
        <w:t xml:space="preserve">Body weight </w:t>
      </w:r>
      <w:r w:rsidRPr="00CE427E">
        <w:rPr>
          <w:rFonts w:eastAsia="Calibri"/>
          <w:color w:val="000000"/>
          <w:szCs w:val="22"/>
          <w:u w:val="single"/>
        </w:rPr>
        <w:t xml:space="preserve">(kg) </w:t>
      </w:r>
      <w:r w:rsidR="00951DE2">
        <w:rPr>
          <w:rFonts w:eastAsia="Calibri"/>
          <w:color w:val="000000"/>
          <w:szCs w:val="22"/>
          <w:u w:val="single"/>
        </w:rPr>
        <w:t>×</w:t>
      </w:r>
      <w:r w:rsidRPr="00CE427E">
        <w:rPr>
          <w:rFonts w:eastAsia="Calibri"/>
          <w:color w:val="000000"/>
          <w:szCs w:val="22"/>
          <w:u w:val="single"/>
        </w:rPr>
        <w:t xml:space="preserve"> </w:t>
      </w:r>
      <w:r w:rsidRPr="00CE427E">
        <w:rPr>
          <w:rFonts w:eastAsia="Calibri"/>
          <w:b/>
          <w:bCs/>
          <w:color w:val="000000"/>
          <w:szCs w:val="22"/>
          <w:u w:val="single"/>
        </w:rPr>
        <w:t xml:space="preserve">dose </w:t>
      </w:r>
      <w:r w:rsidRPr="00CE427E">
        <w:rPr>
          <w:rFonts w:eastAsia="Calibri"/>
          <w:color w:val="000000"/>
          <w:szCs w:val="22"/>
          <w:u w:val="single"/>
        </w:rPr>
        <w:t>(</w:t>
      </w:r>
      <w:r w:rsidRPr="00CE427E">
        <w:rPr>
          <w:rFonts w:eastAsia="Calibri"/>
          <w:b/>
          <w:bCs/>
          <w:color w:val="000000"/>
          <w:szCs w:val="22"/>
          <w:u w:val="single"/>
        </w:rPr>
        <w:t>4 </w:t>
      </w:r>
      <w:r w:rsidRPr="00CE427E">
        <w:rPr>
          <w:rFonts w:eastAsia="Calibri"/>
          <w:color w:val="000000"/>
          <w:szCs w:val="22"/>
          <w:u w:val="single"/>
        </w:rPr>
        <w:t xml:space="preserve">mg/kg for loading or </w:t>
      </w:r>
      <w:r w:rsidRPr="00CE427E">
        <w:rPr>
          <w:rFonts w:eastAsia="Calibri"/>
          <w:b/>
          <w:bCs/>
          <w:color w:val="000000"/>
          <w:szCs w:val="22"/>
          <w:u w:val="single"/>
        </w:rPr>
        <w:t>2 </w:t>
      </w:r>
      <w:r w:rsidRPr="00CE427E">
        <w:rPr>
          <w:rFonts w:eastAsia="Calibri"/>
          <w:color w:val="000000"/>
          <w:szCs w:val="22"/>
          <w:u w:val="single"/>
        </w:rPr>
        <w:t>mg/kg for maintenance)</w:t>
      </w:r>
    </w:p>
    <w:p w14:paraId="6805721B" w14:textId="77777777" w:rsidR="00550C7C" w:rsidRPr="00CE427E" w:rsidRDefault="00550C7C" w:rsidP="00EB138E">
      <w:pPr>
        <w:keepNext/>
        <w:keepLines/>
        <w:tabs>
          <w:tab w:val="clear" w:pos="567"/>
        </w:tabs>
        <w:autoSpaceDE w:val="0"/>
        <w:autoSpaceDN w:val="0"/>
        <w:adjustRightInd w:val="0"/>
        <w:spacing w:line="240" w:lineRule="auto"/>
        <w:ind w:left="2269"/>
        <w:rPr>
          <w:rFonts w:eastAsia="Calibri"/>
          <w:color w:val="000000"/>
          <w:szCs w:val="22"/>
        </w:rPr>
      </w:pPr>
      <w:r w:rsidRPr="00CE427E">
        <w:rPr>
          <w:rFonts w:eastAsia="Calibri"/>
          <w:b/>
          <w:color w:val="000000"/>
          <w:szCs w:val="22"/>
        </w:rPr>
        <w:t>21 </w:t>
      </w:r>
      <w:r w:rsidRPr="00CE427E">
        <w:rPr>
          <w:rFonts w:eastAsia="Calibri"/>
          <w:color w:val="000000"/>
          <w:szCs w:val="22"/>
        </w:rPr>
        <w:t>(mg/mL, concentration of reconstituted solution)</w:t>
      </w:r>
    </w:p>
    <w:p w14:paraId="33F75232" w14:textId="77777777" w:rsidR="00550C7C" w:rsidRPr="00CE427E" w:rsidRDefault="00550C7C" w:rsidP="00550C7C">
      <w:pPr>
        <w:tabs>
          <w:tab w:val="clear" w:pos="567"/>
        </w:tabs>
        <w:autoSpaceDE w:val="0"/>
        <w:autoSpaceDN w:val="0"/>
        <w:adjustRightInd w:val="0"/>
        <w:spacing w:line="240" w:lineRule="auto"/>
        <w:rPr>
          <w:rFonts w:eastAsia="Calibri"/>
          <w:color w:val="000000"/>
          <w:szCs w:val="22"/>
          <w:u w:val="single"/>
        </w:rPr>
      </w:pPr>
    </w:p>
    <w:p w14:paraId="32192095" w14:textId="77777777" w:rsidR="00550C7C" w:rsidRPr="00CE427E" w:rsidRDefault="00550C7C" w:rsidP="005477BB">
      <w:pPr>
        <w:numPr>
          <w:ilvl w:val="0"/>
          <w:numId w:val="10"/>
        </w:numPr>
        <w:tabs>
          <w:tab w:val="clear" w:pos="567"/>
        </w:tabs>
        <w:autoSpaceDE w:val="0"/>
        <w:autoSpaceDN w:val="0"/>
        <w:adjustRightInd w:val="0"/>
        <w:spacing w:line="240" w:lineRule="auto"/>
        <w:ind w:left="567" w:hanging="567"/>
        <w:contextualSpacing/>
        <w:rPr>
          <w:rFonts w:eastAsia="Calibri"/>
          <w:color w:val="000000"/>
          <w:szCs w:val="22"/>
        </w:rPr>
      </w:pPr>
      <w:r w:rsidRPr="00CE427E">
        <w:rPr>
          <w:rFonts w:eastAsia="Calibri"/>
          <w:color w:val="000000"/>
          <w:szCs w:val="22"/>
        </w:rPr>
        <w:t>based on a loading dose of 8 mg trastuzumab/kg body weight, or a subsequent 3</w:t>
      </w:r>
      <w:r w:rsidRPr="00CE427E">
        <w:rPr>
          <w:rFonts w:eastAsia="Calibri"/>
          <w:color w:val="000000"/>
          <w:szCs w:val="22"/>
        </w:rPr>
        <w:noBreakHyphen/>
        <w:t>weekly dose of 6 mg trastuzumab/kg body weight:</w:t>
      </w:r>
    </w:p>
    <w:p w14:paraId="0903B47F" w14:textId="77777777" w:rsidR="00550C7C" w:rsidRPr="00CE427E" w:rsidRDefault="00550C7C" w:rsidP="00550C7C">
      <w:pPr>
        <w:tabs>
          <w:tab w:val="clear" w:pos="567"/>
        </w:tabs>
        <w:autoSpaceDE w:val="0"/>
        <w:autoSpaceDN w:val="0"/>
        <w:adjustRightInd w:val="0"/>
        <w:spacing w:line="240" w:lineRule="auto"/>
        <w:contextualSpacing/>
        <w:rPr>
          <w:rFonts w:eastAsia="Calibri"/>
          <w:color w:val="000000"/>
          <w:szCs w:val="22"/>
        </w:rPr>
      </w:pPr>
    </w:p>
    <w:p w14:paraId="6E3020BC" w14:textId="748F3734" w:rsidR="00550C7C" w:rsidRPr="00CE427E" w:rsidRDefault="00550C7C" w:rsidP="00550C7C">
      <w:pPr>
        <w:tabs>
          <w:tab w:val="clear" w:pos="567"/>
        </w:tabs>
        <w:autoSpaceDE w:val="0"/>
        <w:autoSpaceDN w:val="0"/>
        <w:adjustRightInd w:val="0"/>
        <w:spacing w:line="240" w:lineRule="auto"/>
        <w:rPr>
          <w:rFonts w:eastAsia="Calibri"/>
          <w:color w:val="000000"/>
          <w:szCs w:val="22"/>
        </w:rPr>
      </w:pPr>
      <w:r w:rsidRPr="00CE427E">
        <w:rPr>
          <w:rFonts w:eastAsia="Calibri"/>
          <w:b/>
          <w:bCs/>
          <w:color w:val="000000"/>
          <w:szCs w:val="22"/>
        </w:rPr>
        <w:t xml:space="preserve">Volume </w:t>
      </w:r>
      <w:r w:rsidRPr="00CE427E">
        <w:rPr>
          <w:rFonts w:eastAsia="Calibri"/>
          <w:color w:val="000000"/>
          <w:szCs w:val="22"/>
        </w:rPr>
        <w:t>(mL) = </w:t>
      </w:r>
      <w:r w:rsidRPr="00CE427E">
        <w:rPr>
          <w:rFonts w:eastAsia="Calibri"/>
          <w:b/>
          <w:bCs/>
          <w:color w:val="000000"/>
          <w:szCs w:val="22"/>
          <w:u w:val="single"/>
        </w:rPr>
        <w:t xml:space="preserve">Body weight </w:t>
      </w:r>
      <w:r w:rsidRPr="00CE427E">
        <w:rPr>
          <w:rFonts w:eastAsia="Calibri"/>
          <w:color w:val="000000"/>
          <w:szCs w:val="22"/>
          <w:u w:val="single"/>
        </w:rPr>
        <w:t xml:space="preserve">(kg) </w:t>
      </w:r>
      <w:r w:rsidR="00951DE2">
        <w:rPr>
          <w:rFonts w:eastAsia="Calibri"/>
          <w:color w:val="000000"/>
          <w:szCs w:val="22"/>
          <w:u w:val="single"/>
        </w:rPr>
        <w:t>×</w:t>
      </w:r>
      <w:r w:rsidRPr="00CE427E">
        <w:rPr>
          <w:rFonts w:eastAsia="Calibri"/>
          <w:color w:val="000000"/>
          <w:szCs w:val="22"/>
          <w:u w:val="single"/>
        </w:rPr>
        <w:t xml:space="preserve"> </w:t>
      </w:r>
      <w:r w:rsidRPr="00CE427E">
        <w:rPr>
          <w:rFonts w:eastAsia="Calibri"/>
          <w:b/>
          <w:bCs/>
          <w:color w:val="000000"/>
          <w:szCs w:val="22"/>
          <w:u w:val="single"/>
        </w:rPr>
        <w:t xml:space="preserve">dose </w:t>
      </w:r>
      <w:r w:rsidRPr="00CE427E">
        <w:rPr>
          <w:rFonts w:eastAsia="Calibri"/>
          <w:color w:val="000000"/>
          <w:szCs w:val="22"/>
          <w:u w:val="single"/>
        </w:rPr>
        <w:t>(</w:t>
      </w:r>
      <w:r w:rsidRPr="00CE427E">
        <w:rPr>
          <w:rFonts w:eastAsia="Calibri"/>
          <w:b/>
          <w:bCs/>
          <w:color w:val="000000"/>
          <w:szCs w:val="22"/>
          <w:u w:val="single"/>
        </w:rPr>
        <w:t>8 </w:t>
      </w:r>
      <w:r w:rsidRPr="00CE427E">
        <w:rPr>
          <w:rFonts w:eastAsia="Calibri"/>
          <w:color w:val="000000"/>
          <w:szCs w:val="22"/>
          <w:u w:val="single"/>
        </w:rPr>
        <w:t xml:space="preserve">mg/kg for loading or </w:t>
      </w:r>
      <w:r w:rsidRPr="00CE427E">
        <w:rPr>
          <w:rFonts w:eastAsia="Calibri"/>
          <w:b/>
          <w:bCs/>
          <w:color w:val="000000"/>
          <w:szCs w:val="22"/>
          <w:u w:val="single"/>
        </w:rPr>
        <w:t>6 </w:t>
      </w:r>
      <w:r w:rsidRPr="00CE427E">
        <w:rPr>
          <w:rFonts w:eastAsia="Calibri"/>
          <w:color w:val="000000"/>
          <w:szCs w:val="22"/>
          <w:u w:val="single"/>
        </w:rPr>
        <w:t>mg/kg for maintenance</w:t>
      </w:r>
      <w:r w:rsidRPr="00CE427E">
        <w:rPr>
          <w:rFonts w:eastAsia="Calibri"/>
          <w:color w:val="000000"/>
          <w:szCs w:val="22"/>
        </w:rPr>
        <w:t>)</w:t>
      </w:r>
    </w:p>
    <w:p w14:paraId="4764B9C4" w14:textId="77777777" w:rsidR="00550C7C" w:rsidRPr="00CE427E" w:rsidRDefault="00550C7C" w:rsidP="005477BB">
      <w:pPr>
        <w:tabs>
          <w:tab w:val="clear" w:pos="567"/>
        </w:tabs>
        <w:autoSpaceDE w:val="0"/>
        <w:autoSpaceDN w:val="0"/>
        <w:adjustRightInd w:val="0"/>
        <w:spacing w:line="240" w:lineRule="auto"/>
        <w:ind w:left="2268"/>
        <w:rPr>
          <w:rFonts w:eastAsia="Calibri"/>
          <w:color w:val="000000"/>
          <w:szCs w:val="22"/>
        </w:rPr>
      </w:pPr>
      <w:r w:rsidRPr="00CE427E">
        <w:rPr>
          <w:rFonts w:eastAsia="Calibri"/>
          <w:b/>
          <w:bCs/>
          <w:color w:val="000000"/>
          <w:szCs w:val="22"/>
        </w:rPr>
        <w:t>21 </w:t>
      </w:r>
      <w:r w:rsidRPr="00CE427E">
        <w:rPr>
          <w:rFonts w:eastAsia="Calibri"/>
          <w:color w:val="000000"/>
          <w:szCs w:val="22"/>
        </w:rPr>
        <w:t>(mg/mL, concentration of reconstituted solution)</w:t>
      </w:r>
    </w:p>
    <w:p w14:paraId="7E377C93" w14:textId="77777777" w:rsidR="00550C7C" w:rsidRPr="00CE427E" w:rsidRDefault="00550C7C" w:rsidP="00550C7C">
      <w:pPr>
        <w:tabs>
          <w:tab w:val="clear" w:pos="567"/>
        </w:tabs>
        <w:autoSpaceDE w:val="0"/>
        <w:autoSpaceDN w:val="0"/>
        <w:adjustRightInd w:val="0"/>
        <w:spacing w:line="240" w:lineRule="auto"/>
        <w:rPr>
          <w:rFonts w:eastAsia="Calibri"/>
          <w:color w:val="000000"/>
          <w:szCs w:val="22"/>
        </w:rPr>
      </w:pPr>
    </w:p>
    <w:p w14:paraId="24ECB95E" w14:textId="4E1B9618" w:rsidR="0097704B" w:rsidRDefault="0097704B" w:rsidP="0097704B">
      <w:pPr>
        <w:keepNext/>
        <w:keepLines/>
        <w:numPr>
          <w:ilvl w:val="12"/>
          <w:numId w:val="0"/>
        </w:numPr>
        <w:tabs>
          <w:tab w:val="clear" w:pos="567"/>
        </w:tabs>
        <w:spacing w:line="240" w:lineRule="auto"/>
        <w:rPr>
          <w:rFonts w:eastAsia="Calibri"/>
          <w:color w:val="000000"/>
          <w:szCs w:val="22"/>
        </w:rPr>
      </w:pPr>
      <w:r w:rsidRPr="000C0476">
        <w:rPr>
          <w:rFonts w:eastAsia="Calibri"/>
          <w:color w:val="000000"/>
          <w:szCs w:val="22"/>
        </w:rPr>
        <w:t xml:space="preserve">The appropriate amount of solution should be withdrawn from the vial </w:t>
      </w:r>
      <w:r w:rsidR="00FE541E">
        <w:rPr>
          <w:szCs w:val="22"/>
        </w:rPr>
        <w:t xml:space="preserve">using a sterile needle and syringe </w:t>
      </w:r>
      <w:r w:rsidRPr="000C0476">
        <w:rPr>
          <w:rFonts w:eastAsia="Calibri"/>
          <w:color w:val="000000"/>
          <w:szCs w:val="22"/>
        </w:rPr>
        <w:t xml:space="preserve">and added to a polyvinylchloride, polyethylene or polypropylene infusion bag containing 250 mL of </w:t>
      </w:r>
      <w:r w:rsidRPr="002267E7">
        <w:t>sodium chloride 9 mg/m</w:t>
      </w:r>
      <w:r w:rsidR="00A41744">
        <w:t>L</w:t>
      </w:r>
      <w:r w:rsidRPr="002267E7">
        <w:t xml:space="preserve"> (0.9%) solution for injection</w:t>
      </w:r>
      <w:r w:rsidRPr="000C0476">
        <w:rPr>
          <w:rFonts w:eastAsia="Calibri"/>
          <w:color w:val="000000"/>
          <w:szCs w:val="22"/>
        </w:rPr>
        <w:t>. Do not use with glucose</w:t>
      </w:r>
      <w:r w:rsidRPr="000C0476">
        <w:rPr>
          <w:rFonts w:eastAsia="Calibri"/>
          <w:color w:val="000000"/>
          <w:szCs w:val="22"/>
        </w:rPr>
        <w:noBreakHyphen/>
        <w:t xml:space="preserve">containing solutions. The bag should be gently inverted to mix the solution in order to avoid foaming. Parenteral solutions should be inspected visually for particulates and discolouration prior to administration. </w:t>
      </w:r>
    </w:p>
    <w:p w14:paraId="651BFA59" w14:textId="77777777" w:rsidR="000272F6" w:rsidRPr="000C0476" w:rsidRDefault="000272F6" w:rsidP="0097704B">
      <w:pPr>
        <w:keepNext/>
        <w:keepLines/>
        <w:numPr>
          <w:ilvl w:val="12"/>
          <w:numId w:val="0"/>
        </w:numPr>
        <w:tabs>
          <w:tab w:val="clear" w:pos="567"/>
        </w:tabs>
        <w:spacing w:line="240" w:lineRule="auto"/>
        <w:rPr>
          <w:rFonts w:eastAsia="Calibri"/>
          <w:color w:val="000000"/>
          <w:szCs w:val="22"/>
        </w:rPr>
      </w:pPr>
    </w:p>
    <w:p w14:paraId="08FC4129" w14:textId="5B636A38" w:rsidR="006128F6" w:rsidRPr="006128F6" w:rsidRDefault="006128F6" w:rsidP="00181EDC">
      <w:pPr>
        <w:tabs>
          <w:tab w:val="clear" w:pos="567"/>
        </w:tabs>
        <w:spacing w:line="240" w:lineRule="auto"/>
      </w:pPr>
    </w:p>
    <w:sectPr w:rsidR="006128F6" w:rsidRPr="006128F6" w:rsidSect="003265E6">
      <w:endnotePr>
        <w:numFmt w:val="decimal"/>
      </w:endnotePr>
      <w:type w:val="continuous"/>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7551F" w14:textId="77777777" w:rsidR="001E66AA" w:rsidRDefault="001E66AA">
      <w:pPr>
        <w:spacing w:line="240" w:lineRule="auto"/>
      </w:pPr>
      <w:r>
        <w:separator/>
      </w:r>
    </w:p>
  </w:endnote>
  <w:endnote w:type="continuationSeparator" w:id="0">
    <w:p w14:paraId="625D6440" w14:textId="77777777" w:rsidR="001E66AA" w:rsidRDefault="001E66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00"/>
    <w:family w:val="roman"/>
    <w:notTrueType/>
    <w:pitch w:val="default"/>
    <w:sig w:usb0="00000003"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26688" w14:textId="44D64BB6" w:rsidR="0016004D" w:rsidRDefault="0016004D">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32</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1EBE2" w14:textId="77777777" w:rsidR="0016004D" w:rsidRDefault="0016004D">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D56AA" w14:textId="77777777" w:rsidR="001E66AA" w:rsidRDefault="001E66AA">
      <w:pPr>
        <w:spacing w:line="240" w:lineRule="auto"/>
      </w:pPr>
      <w:r>
        <w:separator/>
      </w:r>
    </w:p>
  </w:footnote>
  <w:footnote w:type="continuationSeparator" w:id="0">
    <w:p w14:paraId="110F862E" w14:textId="77777777" w:rsidR="001E66AA" w:rsidRDefault="001E66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1A7D5" w14:textId="3F295954" w:rsidR="0016004D" w:rsidRDefault="0016004D" w:rsidP="00DC568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3B2C52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978917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B96FA4"/>
    <w:multiLevelType w:val="hybridMultilevel"/>
    <w:tmpl w:val="F91AF37E"/>
    <w:lvl w:ilvl="0" w:tplc="E48A483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CD65E3"/>
    <w:multiLevelType w:val="hybridMultilevel"/>
    <w:tmpl w:val="E2429F0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575EF4"/>
    <w:multiLevelType w:val="hybridMultilevel"/>
    <w:tmpl w:val="111EF19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F74CA"/>
    <w:multiLevelType w:val="hybridMultilevel"/>
    <w:tmpl w:val="511AA6E6"/>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64207"/>
    <w:multiLevelType w:val="hybridMultilevel"/>
    <w:tmpl w:val="7CCACD9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2A1DC6"/>
    <w:multiLevelType w:val="multilevel"/>
    <w:tmpl w:val="323805A8"/>
    <w:lvl w:ilvl="0">
      <w:start w:val="1"/>
      <w:numFmt w:val="decimal"/>
      <w:pStyle w:val="ListNumb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214A39F8"/>
    <w:multiLevelType w:val="hybridMultilevel"/>
    <w:tmpl w:val="261C6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533FE"/>
    <w:multiLevelType w:val="hybridMultilevel"/>
    <w:tmpl w:val="98EC2E62"/>
    <w:lvl w:ilvl="0" w:tplc="AD645D98">
      <w:numFmt w:val="bullet"/>
      <w:lvlText w:val="•"/>
      <w:lvlJc w:val="left"/>
      <w:pPr>
        <w:ind w:left="720" w:hanging="360"/>
      </w:pPr>
      <w:rPr>
        <w:rFonts w:ascii="Times New Roman" w:eastAsia="Times New Roman" w:hAnsi="Times New Roman" w:cs="Times New Roman" w:hint="default"/>
      </w:rPr>
    </w:lvl>
    <w:lvl w:ilvl="1" w:tplc="AD645D98">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7644A5"/>
    <w:multiLevelType w:val="hybridMultilevel"/>
    <w:tmpl w:val="5DE8EAF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2D015A"/>
    <w:multiLevelType w:val="hybridMultilevel"/>
    <w:tmpl w:val="04C6659A"/>
    <w:lvl w:ilvl="0" w:tplc="35C2D820">
      <w:start w:val="1"/>
      <w:numFmt w:val="decimal"/>
      <w:lvlText w:val="%1."/>
      <w:lvlJc w:val="left"/>
      <w:pPr>
        <w:ind w:left="564" w:hanging="56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7371946"/>
    <w:multiLevelType w:val="hybridMultilevel"/>
    <w:tmpl w:val="7D5C989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B80DC6"/>
    <w:multiLevelType w:val="hybridMultilevel"/>
    <w:tmpl w:val="045E0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4E2E07"/>
    <w:multiLevelType w:val="hybridMultilevel"/>
    <w:tmpl w:val="D6FC1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9911CCA"/>
    <w:multiLevelType w:val="multilevel"/>
    <w:tmpl w:val="66F069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C704AAC"/>
    <w:multiLevelType w:val="hybridMultilevel"/>
    <w:tmpl w:val="045E0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1A2994"/>
    <w:multiLevelType w:val="hybridMultilevel"/>
    <w:tmpl w:val="BFF6C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237529"/>
    <w:multiLevelType w:val="hybridMultilevel"/>
    <w:tmpl w:val="A7EEC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702554"/>
    <w:multiLevelType w:val="hybridMultilevel"/>
    <w:tmpl w:val="5C8C055E"/>
    <w:lvl w:ilvl="0" w:tplc="08090001">
      <w:start w:val="1"/>
      <w:numFmt w:val="bullet"/>
      <w:lvlText w:val=""/>
      <w:lvlJc w:val="left"/>
      <w:pPr>
        <w:ind w:left="360" w:hanging="360"/>
      </w:pPr>
      <w:rPr>
        <w:rFonts w:ascii="Symbol" w:hAnsi="Symbol" w:hint="default"/>
      </w:rPr>
    </w:lvl>
    <w:lvl w:ilvl="1" w:tplc="6A8CE410" w:tentative="1">
      <w:start w:val="1"/>
      <w:numFmt w:val="bullet"/>
      <w:lvlText w:val="o"/>
      <w:lvlJc w:val="left"/>
      <w:pPr>
        <w:ind w:left="1080" w:hanging="360"/>
      </w:pPr>
      <w:rPr>
        <w:rFonts w:ascii="Courier New" w:hAnsi="Courier New" w:cs="Courier New" w:hint="default"/>
      </w:rPr>
    </w:lvl>
    <w:lvl w:ilvl="2" w:tplc="FDE86C8E" w:tentative="1">
      <w:start w:val="1"/>
      <w:numFmt w:val="bullet"/>
      <w:lvlText w:val=""/>
      <w:lvlJc w:val="left"/>
      <w:pPr>
        <w:ind w:left="1800" w:hanging="360"/>
      </w:pPr>
      <w:rPr>
        <w:rFonts w:ascii="Wingdings" w:hAnsi="Wingdings" w:hint="default"/>
      </w:rPr>
    </w:lvl>
    <w:lvl w:ilvl="3" w:tplc="DB38B610" w:tentative="1">
      <w:start w:val="1"/>
      <w:numFmt w:val="bullet"/>
      <w:lvlText w:val=""/>
      <w:lvlJc w:val="left"/>
      <w:pPr>
        <w:ind w:left="2520" w:hanging="360"/>
      </w:pPr>
      <w:rPr>
        <w:rFonts w:ascii="Symbol" w:hAnsi="Symbol" w:hint="default"/>
      </w:rPr>
    </w:lvl>
    <w:lvl w:ilvl="4" w:tplc="04EAFD32" w:tentative="1">
      <w:start w:val="1"/>
      <w:numFmt w:val="bullet"/>
      <w:lvlText w:val="o"/>
      <w:lvlJc w:val="left"/>
      <w:pPr>
        <w:ind w:left="3240" w:hanging="360"/>
      </w:pPr>
      <w:rPr>
        <w:rFonts w:ascii="Courier New" w:hAnsi="Courier New" w:cs="Courier New" w:hint="default"/>
      </w:rPr>
    </w:lvl>
    <w:lvl w:ilvl="5" w:tplc="15CC82AE" w:tentative="1">
      <w:start w:val="1"/>
      <w:numFmt w:val="bullet"/>
      <w:lvlText w:val=""/>
      <w:lvlJc w:val="left"/>
      <w:pPr>
        <w:ind w:left="3960" w:hanging="360"/>
      </w:pPr>
      <w:rPr>
        <w:rFonts w:ascii="Wingdings" w:hAnsi="Wingdings" w:hint="default"/>
      </w:rPr>
    </w:lvl>
    <w:lvl w:ilvl="6" w:tplc="E13444B2" w:tentative="1">
      <w:start w:val="1"/>
      <w:numFmt w:val="bullet"/>
      <w:lvlText w:val=""/>
      <w:lvlJc w:val="left"/>
      <w:pPr>
        <w:ind w:left="4680" w:hanging="360"/>
      </w:pPr>
      <w:rPr>
        <w:rFonts w:ascii="Symbol" w:hAnsi="Symbol" w:hint="default"/>
      </w:rPr>
    </w:lvl>
    <w:lvl w:ilvl="7" w:tplc="F280D01C" w:tentative="1">
      <w:start w:val="1"/>
      <w:numFmt w:val="bullet"/>
      <w:lvlText w:val="o"/>
      <w:lvlJc w:val="left"/>
      <w:pPr>
        <w:ind w:left="5400" w:hanging="360"/>
      </w:pPr>
      <w:rPr>
        <w:rFonts w:ascii="Courier New" w:hAnsi="Courier New" w:cs="Courier New" w:hint="default"/>
      </w:rPr>
    </w:lvl>
    <w:lvl w:ilvl="8" w:tplc="5CF69E08" w:tentative="1">
      <w:start w:val="1"/>
      <w:numFmt w:val="bullet"/>
      <w:lvlText w:val=""/>
      <w:lvlJc w:val="left"/>
      <w:pPr>
        <w:ind w:left="6120" w:hanging="360"/>
      </w:pPr>
      <w:rPr>
        <w:rFonts w:ascii="Wingdings" w:hAnsi="Wingdings" w:hint="default"/>
      </w:rPr>
    </w:lvl>
  </w:abstractNum>
  <w:abstractNum w:abstractNumId="21" w15:restartNumberingAfterBreak="0">
    <w:nsid w:val="630D2EC6"/>
    <w:multiLevelType w:val="hybridMultilevel"/>
    <w:tmpl w:val="68002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9337D0"/>
    <w:multiLevelType w:val="multilevel"/>
    <w:tmpl w:val="00000051"/>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23" w15:restartNumberingAfterBreak="0">
    <w:nsid w:val="73486620"/>
    <w:multiLevelType w:val="hybridMultilevel"/>
    <w:tmpl w:val="0DB6675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7F6193"/>
    <w:multiLevelType w:val="hybridMultilevel"/>
    <w:tmpl w:val="BA64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152C55"/>
    <w:multiLevelType w:val="hybridMultilevel"/>
    <w:tmpl w:val="F3746F22"/>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ind w:left="1440" w:hanging="360"/>
      </w:pPr>
      <w:rPr>
        <w:rFonts w:hint="default"/>
      </w:rPr>
    </w:lvl>
    <w:lvl w:ilvl="2" w:tplc="08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053209">
    <w:abstractNumId w:val="1"/>
  </w:num>
  <w:num w:numId="2" w16cid:durableId="558127135">
    <w:abstractNumId w:val="8"/>
  </w:num>
  <w:num w:numId="3" w16cid:durableId="183329479">
    <w:abstractNumId w:val="12"/>
  </w:num>
  <w:num w:numId="4" w16cid:durableId="697237882">
    <w:abstractNumId w:val="0"/>
  </w:num>
  <w:num w:numId="5" w16cid:durableId="217673519">
    <w:abstractNumId w:val="4"/>
  </w:num>
  <w:num w:numId="6" w16cid:durableId="680670849">
    <w:abstractNumId w:val="25"/>
  </w:num>
  <w:num w:numId="7" w16cid:durableId="811026220">
    <w:abstractNumId w:val="16"/>
  </w:num>
  <w:num w:numId="8" w16cid:durableId="2862756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48655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1461940">
    <w:abstractNumId w:val="24"/>
  </w:num>
  <w:num w:numId="11" w16cid:durableId="174422248">
    <w:abstractNumId w:val="11"/>
  </w:num>
  <w:num w:numId="12" w16cid:durableId="1341588757">
    <w:abstractNumId w:val="6"/>
  </w:num>
  <w:num w:numId="13" w16cid:durableId="142821083">
    <w:abstractNumId w:val="13"/>
  </w:num>
  <w:num w:numId="14" w16cid:durableId="597370130">
    <w:abstractNumId w:val="9"/>
  </w:num>
  <w:num w:numId="15" w16cid:durableId="46144501">
    <w:abstractNumId w:val="7"/>
  </w:num>
  <w:num w:numId="16" w16cid:durableId="1498495651">
    <w:abstractNumId w:val="23"/>
  </w:num>
  <w:num w:numId="17" w16cid:durableId="829250343">
    <w:abstractNumId w:val="10"/>
  </w:num>
  <w:num w:numId="18" w16cid:durableId="209417298">
    <w:abstractNumId w:val="5"/>
  </w:num>
  <w:num w:numId="19" w16cid:durableId="832915911">
    <w:abstractNumId w:val="2"/>
    <w:lvlOverride w:ilvl="0">
      <w:lvl w:ilvl="0">
        <w:start w:val="1"/>
        <w:numFmt w:val="bullet"/>
        <w:lvlText w:val="-"/>
        <w:legacy w:legacy="1" w:legacySpace="0" w:legacyIndent="360"/>
        <w:lvlJc w:val="left"/>
        <w:pPr>
          <w:ind w:left="360" w:hanging="360"/>
        </w:pPr>
      </w:lvl>
    </w:lvlOverride>
  </w:num>
  <w:num w:numId="20" w16cid:durableId="1915234173">
    <w:abstractNumId w:val="2"/>
    <w:lvlOverride w:ilvl="0">
      <w:lvl w:ilvl="0">
        <w:start w:val="1"/>
        <w:numFmt w:val="bullet"/>
        <w:lvlText w:val="-"/>
        <w:legacy w:legacy="1" w:legacySpace="0" w:legacyIndent="360"/>
        <w:lvlJc w:val="left"/>
        <w:pPr>
          <w:ind w:left="360" w:hanging="360"/>
        </w:pPr>
      </w:lvl>
    </w:lvlOverride>
  </w:num>
  <w:num w:numId="21" w16cid:durableId="1898979025">
    <w:abstractNumId w:val="2"/>
    <w:lvlOverride w:ilvl="0">
      <w:lvl w:ilvl="0">
        <w:start w:val="1"/>
        <w:numFmt w:val="bullet"/>
        <w:lvlText w:val="-"/>
        <w:legacy w:legacy="1" w:legacySpace="0" w:legacyIndent="360"/>
        <w:lvlJc w:val="left"/>
        <w:pPr>
          <w:ind w:left="360" w:hanging="360"/>
        </w:pPr>
      </w:lvl>
    </w:lvlOverride>
  </w:num>
  <w:num w:numId="22" w16cid:durableId="350379579">
    <w:abstractNumId w:val="17"/>
  </w:num>
  <w:num w:numId="23" w16cid:durableId="81143766">
    <w:abstractNumId w:val="14"/>
  </w:num>
  <w:num w:numId="24" w16cid:durableId="2110343490">
    <w:abstractNumId w:val="19"/>
  </w:num>
  <w:num w:numId="25" w16cid:durableId="826752105">
    <w:abstractNumId w:val="22"/>
  </w:num>
  <w:num w:numId="26" w16cid:durableId="449981296">
    <w:abstractNumId w:val="18"/>
  </w:num>
  <w:num w:numId="27" w16cid:durableId="152962054">
    <w:abstractNumId w:val="15"/>
  </w:num>
  <w:num w:numId="28" w16cid:durableId="779835088">
    <w:abstractNumId w:val="20"/>
  </w:num>
  <w:num w:numId="29" w16cid:durableId="446891346">
    <w:abstractNumId w:val="21"/>
  </w:num>
  <w:num w:numId="30" w16cid:durableId="572355915">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oNotTrackMoves/>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5686"/>
    <w:rsid w:val="00002C93"/>
    <w:rsid w:val="00003971"/>
    <w:rsid w:val="00004652"/>
    <w:rsid w:val="00005C1E"/>
    <w:rsid w:val="00006991"/>
    <w:rsid w:val="000124B9"/>
    <w:rsid w:val="0001506E"/>
    <w:rsid w:val="00015609"/>
    <w:rsid w:val="00016A42"/>
    <w:rsid w:val="00017AD4"/>
    <w:rsid w:val="00022CFC"/>
    <w:rsid w:val="00023BA1"/>
    <w:rsid w:val="000267FE"/>
    <w:rsid w:val="000272F6"/>
    <w:rsid w:val="0003548F"/>
    <w:rsid w:val="000429F1"/>
    <w:rsid w:val="000454C5"/>
    <w:rsid w:val="0004562F"/>
    <w:rsid w:val="00047257"/>
    <w:rsid w:val="00053C68"/>
    <w:rsid w:val="00056AAD"/>
    <w:rsid w:val="00061ADD"/>
    <w:rsid w:val="00062281"/>
    <w:rsid w:val="0006410A"/>
    <w:rsid w:val="00067FD0"/>
    <w:rsid w:val="000709D7"/>
    <w:rsid w:val="00071E21"/>
    <w:rsid w:val="000729E5"/>
    <w:rsid w:val="000730FC"/>
    <w:rsid w:val="00074E07"/>
    <w:rsid w:val="00081416"/>
    <w:rsid w:val="000840CF"/>
    <w:rsid w:val="00086219"/>
    <w:rsid w:val="000865AD"/>
    <w:rsid w:val="00087009"/>
    <w:rsid w:val="000875A7"/>
    <w:rsid w:val="00094277"/>
    <w:rsid w:val="000957B2"/>
    <w:rsid w:val="000968EF"/>
    <w:rsid w:val="000A1031"/>
    <w:rsid w:val="000A2B17"/>
    <w:rsid w:val="000A38B2"/>
    <w:rsid w:val="000A39BC"/>
    <w:rsid w:val="000A578C"/>
    <w:rsid w:val="000A75D6"/>
    <w:rsid w:val="000B03AB"/>
    <w:rsid w:val="000B3EA7"/>
    <w:rsid w:val="000B404B"/>
    <w:rsid w:val="000B44AA"/>
    <w:rsid w:val="000B5A49"/>
    <w:rsid w:val="000B75F0"/>
    <w:rsid w:val="000B79D6"/>
    <w:rsid w:val="000B7A7C"/>
    <w:rsid w:val="000C3B99"/>
    <w:rsid w:val="000C4E54"/>
    <w:rsid w:val="000C560F"/>
    <w:rsid w:val="000C7EA8"/>
    <w:rsid w:val="000D595F"/>
    <w:rsid w:val="000E1F7F"/>
    <w:rsid w:val="000E38FB"/>
    <w:rsid w:val="000E3CCC"/>
    <w:rsid w:val="000E4CEB"/>
    <w:rsid w:val="000E7191"/>
    <w:rsid w:val="000E77C9"/>
    <w:rsid w:val="000F06F3"/>
    <w:rsid w:val="000F1D7C"/>
    <w:rsid w:val="000F233F"/>
    <w:rsid w:val="001017EE"/>
    <w:rsid w:val="00101B82"/>
    <w:rsid w:val="00101E12"/>
    <w:rsid w:val="00103647"/>
    <w:rsid w:val="00103D43"/>
    <w:rsid w:val="0010638E"/>
    <w:rsid w:val="0011051F"/>
    <w:rsid w:val="00113712"/>
    <w:rsid w:val="001139D9"/>
    <w:rsid w:val="001145E0"/>
    <w:rsid w:val="001155D1"/>
    <w:rsid w:val="001216D9"/>
    <w:rsid w:val="00122488"/>
    <w:rsid w:val="0012290D"/>
    <w:rsid w:val="00124A46"/>
    <w:rsid w:val="00131B77"/>
    <w:rsid w:val="00133B18"/>
    <w:rsid w:val="001348B1"/>
    <w:rsid w:val="00135DC6"/>
    <w:rsid w:val="00137D62"/>
    <w:rsid w:val="0014376C"/>
    <w:rsid w:val="0014421E"/>
    <w:rsid w:val="00146C64"/>
    <w:rsid w:val="0016004D"/>
    <w:rsid w:val="001605BB"/>
    <w:rsid w:val="001608C3"/>
    <w:rsid w:val="00164209"/>
    <w:rsid w:val="001739C1"/>
    <w:rsid w:val="00176B67"/>
    <w:rsid w:val="00181EDC"/>
    <w:rsid w:val="00183375"/>
    <w:rsid w:val="00187AA9"/>
    <w:rsid w:val="001925F3"/>
    <w:rsid w:val="00193C21"/>
    <w:rsid w:val="00195E4C"/>
    <w:rsid w:val="001A1EB9"/>
    <w:rsid w:val="001A2F75"/>
    <w:rsid w:val="001A4491"/>
    <w:rsid w:val="001A45A3"/>
    <w:rsid w:val="001A59DE"/>
    <w:rsid w:val="001A600B"/>
    <w:rsid w:val="001A6384"/>
    <w:rsid w:val="001A72D2"/>
    <w:rsid w:val="001B5BDB"/>
    <w:rsid w:val="001B61DA"/>
    <w:rsid w:val="001B633B"/>
    <w:rsid w:val="001C1284"/>
    <w:rsid w:val="001C2357"/>
    <w:rsid w:val="001C3DBF"/>
    <w:rsid w:val="001C443F"/>
    <w:rsid w:val="001C4C5F"/>
    <w:rsid w:val="001D32B8"/>
    <w:rsid w:val="001D4B28"/>
    <w:rsid w:val="001E21E5"/>
    <w:rsid w:val="001E34F4"/>
    <w:rsid w:val="001E66AA"/>
    <w:rsid w:val="001E7CF2"/>
    <w:rsid w:val="001F2536"/>
    <w:rsid w:val="001F3376"/>
    <w:rsid w:val="001F38A5"/>
    <w:rsid w:val="00200A83"/>
    <w:rsid w:val="00201317"/>
    <w:rsid w:val="00203AF2"/>
    <w:rsid w:val="002059BE"/>
    <w:rsid w:val="0020648C"/>
    <w:rsid w:val="002067A8"/>
    <w:rsid w:val="00207FD8"/>
    <w:rsid w:val="00211448"/>
    <w:rsid w:val="00212A20"/>
    <w:rsid w:val="00212BB1"/>
    <w:rsid w:val="00213EEF"/>
    <w:rsid w:val="00214AB8"/>
    <w:rsid w:val="00215389"/>
    <w:rsid w:val="00216F14"/>
    <w:rsid w:val="00216F65"/>
    <w:rsid w:val="00217D16"/>
    <w:rsid w:val="00223279"/>
    <w:rsid w:val="00224CF8"/>
    <w:rsid w:val="00226625"/>
    <w:rsid w:val="002267E7"/>
    <w:rsid w:val="00231CDD"/>
    <w:rsid w:val="00235A4E"/>
    <w:rsid w:val="00235DED"/>
    <w:rsid w:val="00236267"/>
    <w:rsid w:val="00236BC6"/>
    <w:rsid w:val="00236DF3"/>
    <w:rsid w:val="002402CA"/>
    <w:rsid w:val="00240F27"/>
    <w:rsid w:val="00241604"/>
    <w:rsid w:val="00241934"/>
    <w:rsid w:val="002425A1"/>
    <w:rsid w:val="002506D9"/>
    <w:rsid w:val="0025186A"/>
    <w:rsid w:val="00252CCB"/>
    <w:rsid w:val="002559ED"/>
    <w:rsid w:val="00255D24"/>
    <w:rsid w:val="00257592"/>
    <w:rsid w:val="002606CD"/>
    <w:rsid w:val="00260F4F"/>
    <w:rsid w:val="00261EB1"/>
    <w:rsid w:val="002634DD"/>
    <w:rsid w:val="002672CB"/>
    <w:rsid w:val="00267685"/>
    <w:rsid w:val="00270781"/>
    <w:rsid w:val="002735B4"/>
    <w:rsid w:val="00290231"/>
    <w:rsid w:val="00292585"/>
    <w:rsid w:val="002941C1"/>
    <w:rsid w:val="00294855"/>
    <w:rsid w:val="002A28A8"/>
    <w:rsid w:val="002A38D6"/>
    <w:rsid w:val="002A5244"/>
    <w:rsid w:val="002A5A32"/>
    <w:rsid w:val="002B0015"/>
    <w:rsid w:val="002B00B5"/>
    <w:rsid w:val="002B0325"/>
    <w:rsid w:val="002B2DC4"/>
    <w:rsid w:val="002B7BA5"/>
    <w:rsid w:val="002C2274"/>
    <w:rsid w:val="002C4A9D"/>
    <w:rsid w:val="002C52FF"/>
    <w:rsid w:val="002C590A"/>
    <w:rsid w:val="002C66DB"/>
    <w:rsid w:val="002C7DC1"/>
    <w:rsid w:val="002D00E8"/>
    <w:rsid w:val="002D56F5"/>
    <w:rsid w:val="002D5A31"/>
    <w:rsid w:val="002E02E4"/>
    <w:rsid w:val="002E02FE"/>
    <w:rsid w:val="002E2311"/>
    <w:rsid w:val="002E62F2"/>
    <w:rsid w:val="002E74EF"/>
    <w:rsid w:val="002F7418"/>
    <w:rsid w:val="00303A9C"/>
    <w:rsid w:val="00304880"/>
    <w:rsid w:val="0032436C"/>
    <w:rsid w:val="003250FB"/>
    <w:rsid w:val="003265E6"/>
    <w:rsid w:val="003266C7"/>
    <w:rsid w:val="00330411"/>
    <w:rsid w:val="003321BB"/>
    <w:rsid w:val="003323FD"/>
    <w:rsid w:val="00333A59"/>
    <w:rsid w:val="00335DC4"/>
    <w:rsid w:val="00340726"/>
    <w:rsid w:val="00340950"/>
    <w:rsid w:val="003433BB"/>
    <w:rsid w:val="00344221"/>
    <w:rsid w:val="0034454B"/>
    <w:rsid w:val="00346CE8"/>
    <w:rsid w:val="00350053"/>
    <w:rsid w:val="003565F7"/>
    <w:rsid w:val="003566B3"/>
    <w:rsid w:val="00357FBB"/>
    <w:rsid w:val="0036059B"/>
    <w:rsid w:val="003621C9"/>
    <w:rsid w:val="003672B7"/>
    <w:rsid w:val="003709F6"/>
    <w:rsid w:val="003716B8"/>
    <w:rsid w:val="003761D4"/>
    <w:rsid w:val="003832F5"/>
    <w:rsid w:val="0039353D"/>
    <w:rsid w:val="00395B00"/>
    <w:rsid w:val="003966F2"/>
    <w:rsid w:val="003A44ED"/>
    <w:rsid w:val="003B0E50"/>
    <w:rsid w:val="003B2C0F"/>
    <w:rsid w:val="003B30CF"/>
    <w:rsid w:val="003C1750"/>
    <w:rsid w:val="003C177A"/>
    <w:rsid w:val="003D0DE5"/>
    <w:rsid w:val="003D4AC3"/>
    <w:rsid w:val="003E19D7"/>
    <w:rsid w:val="003E20B3"/>
    <w:rsid w:val="003E2F73"/>
    <w:rsid w:val="003E4A99"/>
    <w:rsid w:val="003F0E61"/>
    <w:rsid w:val="003F2106"/>
    <w:rsid w:val="003F2973"/>
    <w:rsid w:val="003F331E"/>
    <w:rsid w:val="003F5C29"/>
    <w:rsid w:val="003F5DF0"/>
    <w:rsid w:val="00401F96"/>
    <w:rsid w:val="00403334"/>
    <w:rsid w:val="00407C54"/>
    <w:rsid w:val="004138B6"/>
    <w:rsid w:val="00416804"/>
    <w:rsid w:val="00420080"/>
    <w:rsid w:val="00420DE6"/>
    <w:rsid w:val="00421EDE"/>
    <w:rsid w:val="0042233B"/>
    <w:rsid w:val="00427DAC"/>
    <w:rsid w:val="0043029B"/>
    <w:rsid w:val="00432A48"/>
    <w:rsid w:val="00437FF2"/>
    <w:rsid w:val="00441779"/>
    <w:rsid w:val="004442B5"/>
    <w:rsid w:val="00451779"/>
    <w:rsid w:val="004531DC"/>
    <w:rsid w:val="00457FE5"/>
    <w:rsid w:val="004618F0"/>
    <w:rsid w:val="004641E9"/>
    <w:rsid w:val="00467294"/>
    <w:rsid w:val="0047179C"/>
    <w:rsid w:val="00473533"/>
    <w:rsid w:val="0048156B"/>
    <w:rsid w:val="00482624"/>
    <w:rsid w:val="0049056B"/>
    <w:rsid w:val="0049094F"/>
    <w:rsid w:val="0049102A"/>
    <w:rsid w:val="004930F4"/>
    <w:rsid w:val="00494743"/>
    <w:rsid w:val="00496E71"/>
    <w:rsid w:val="004A3428"/>
    <w:rsid w:val="004A3AA3"/>
    <w:rsid w:val="004A4092"/>
    <w:rsid w:val="004A5EE5"/>
    <w:rsid w:val="004B1DA5"/>
    <w:rsid w:val="004B3F96"/>
    <w:rsid w:val="004B5AAE"/>
    <w:rsid w:val="004B6AD5"/>
    <w:rsid w:val="004B754F"/>
    <w:rsid w:val="004C1C51"/>
    <w:rsid w:val="004C23BF"/>
    <w:rsid w:val="004C4A74"/>
    <w:rsid w:val="004C5392"/>
    <w:rsid w:val="004E077D"/>
    <w:rsid w:val="004E1E8A"/>
    <w:rsid w:val="004E24A2"/>
    <w:rsid w:val="004E2671"/>
    <w:rsid w:val="004E2A79"/>
    <w:rsid w:val="004E3859"/>
    <w:rsid w:val="004E46B9"/>
    <w:rsid w:val="004E4B56"/>
    <w:rsid w:val="004F0AD0"/>
    <w:rsid w:val="004F3B74"/>
    <w:rsid w:val="004F3E6A"/>
    <w:rsid w:val="004F4A62"/>
    <w:rsid w:val="004F75BE"/>
    <w:rsid w:val="00500D74"/>
    <w:rsid w:val="005024DC"/>
    <w:rsid w:val="0050675F"/>
    <w:rsid w:val="005076AA"/>
    <w:rsid w:val="00510A88"/>
    <w:rsid w:val="00510B30"/>
    <w:rsid w:val="0051203C"/>
    <w:rsid w:val="005121AD"/>
    <w:rsid w:val="005123DB"/>
    <w:rsid w:val="00512FD7"/>
    <w:rsid w:val="00513618"/>
    <w:rsid w:val="005221DD"/>
    <w:rsid w:val="00524C80"/>
    <w:rsid w:val="00525EC4"/>
    <w:rsid w:val="00527614"/>
    <w:rsid w:val="00532A51"/>
    <w:rsid w:val="00540C8F"/>
    <w:rsid w:val="00541551"/>
    <w:rsid w:val="00542465"/>
    <w:rsid w:val="00543930"/>
    <w:rsid w:val="005477BB"/>
    <w:rsid w:val="005503D6"/>
    <w:rsid w:val="00550C7C"/>
    <w:rsid w:val="005515E7"/>
    <w:rsid w:val="00552C97"/>
    <w:rsid w:val="00553467"/>
    <w:rsid w:val="00553CE2"/>
    <w:rsid w:val="0055599E"/>
    <w:rsid w:val="00560970"/>
    <w:rsid w:val="005613F7"/>
    <w:rsid w:val="00562C67"/>
    <w:rsid w:val="00563427"/>
    <w:rsid w:val="00563F90"/>
    <w:rsid w:val="0056557B"/>
    <w:rsid w:val="00565B2B"/>
    <w:rsid w:val="005673CD"/>
    <w:rsid w:val="00575BA8"/>
    <w:rsid w:val="00575CAA"/>
    <w:rsid w:val="005775AD"/>
    <w:rsid w:val="00577F9F"/>
    <w:rsid w:val="0058537E"/>
    <w:rsid w:val="00591228"/>
    <w:rsid w:val="00591D35"/>
    <w:rsid w:val="005928B4"/>
    <w:rsid w:val="0059524E"/>
    <w:rsid w:val="00596F4E"/>
    <w:rsid w:val="005A1E45"/>
    <w:rsid w:val="005A5F46"/>
    <w:rsid w:val="005A69F6"/>
    <w:rsid w:val="005B189C"/>
    <w:rsid w:val="005B1D34"/>
    <w:rsid w:val="005C33D6"/>
    <w:rsid w:val="005C4C45"/>
    <w:rsid w:val="005C5DC9"/>
    <w:rsid w:val="005C756F"/>
    <w:rsid w:val="005D0325"/>
    <w:rsid w:val="005D0809"/>
    <w:rsid w:val="005D3257"/>
    <w:rsid w:val="005D4A8F"/>
    <w:rsid w:val="005D7A39"/>
    <w:rsid w:val="005E4EF1"/>
    <w:rsid w:val="005E6C3D"/>
    <w:rsid w:val="005F15B2"/>
    <w:rsid w:val="005F1878"/>
    <w:rsid w:val="005F2DEA"/>
    <w:rsid w:val="005F65B9"/>
    <w:rsid w:val="005F6773"/>
    <w:rsid w:val="0060004E"/>
    <w:rsid w:val="006006B9"/>
    <w:rsid w:val="006024B0"/>
    <w:rsid w:val="006073D5"/>
    <w:rsid w:val="006077EC"/>
    <w:rsid w:val="00607BC2"/>
    <w:rsid w:val="00610287"/>
    <w:rsid w:val="00610F50"/>
    <w:rsid w:val="00610FE6"/>
    <w:rsid w:val="006128F6"/>
    <w:rsid w:val="0061306E"/>
    <w:rsid w:val="0061532E"/>
    <w:rsid w:val="00615383"/>
    <w:rsid w:val="0061675B"/>
    <w:rsid w:val="00616B64"/>
    <w:rsid w:val="006173C1"/>
    <w:rsid w:val="00625BA9"/>
    <w:rsid w:val="00630627"/>
    <w:rsid w:val="006333C0"/>
    <w:rsid w:val="00644548"/>
    <w:rsid w:val="00645904"/>
    <w:rsid w:val="00647898"/>
    <w:rsid w:val="0065381F"/>
    <w:rsid w:val="00653E09"/>
    <w:rsid w:val="00653F0C"/>
    <w:rsid w:val="00657C11"/>
    <w:rsid w:val="00657E86"/>
    <w:rsid w:val="0066084A"/>
    <w:rsid w:val="00660E3D"/>
    <w:rsid w:val="00660F28"/>
    <w:rsid w:val="00661081"/>
    <w:rsid w:val="00682E50"/>
    <w:rsid w:val="00687869"/>
    <w:rsid w:val="006904CB"/>
    <w:rsid w:val="00690E12"/>
    <w:rsid w:val="00693D3A"/>
    <w:rsid w:val="0069466E"/>
    <w:rsid w:val="006958EC"/>
    <w:rsid w:val="00696DB9"/>
    <w:rsid w:val="006A278A"/>
    <w:rsid w:val="006A59CA"/>
    <w:rsid w:val="006B08DF"/>
    <w:rsid w:val="006B3061"/>
    <w:rsid w:val="006B310C"/>
    <w:rsid w:val="006B4561"/>
    <w:rsid w:val="006B4D5F"/>
    <w:rsid w:val="006C0381"/>
    <w:rsid w:val="006C65B8"/>
    <w:rsid w:val="006C726C"/>
    <w:rsid w:val="006D1C53"/>
    <w:rsid w:val="006D1D91"/>
    <w:rsid w:val="006D2E73"/>
    <w:rsid w:val="006D4ED1"/>
    <w:rsid w:val="006D756C"/>
    <w:rsid w:val="006D7926"/>
    <w:rsid w:val="006E01AA"/>
    <w:rsid w:val="006E0E34"/>
    <w:rsid w:val="006E75D1"/>
    <w:rsid w:val="006F701E"/>
    <w:rsid w:val="00700122"/>
    <w:rsid w:val="0070018B"/>
    <w:rsid w:val="00700501"/>
    <w:rsid w:val="00700533"/>
    <w:rsid w:val="00700B16"/>
    <w:rsid w:val="00700FCB"/>
    <w:rsid w:val="0070225C"/>
    <w:rsid w:val="00702268"/>
    <w:rsid w:val="00703123"/>
    <w:rsid w:val="007147B1"/>
    <w:rsid w:val="00715F63"/>
    <w:rsid w:val="0071666E"/>
    <w:rsid w:val="007208EE"/>
    <w:rsid w:val="00720D2E"/>
    <w:rsid w:val="00726F19"/>
    <w:rsid w:val="00727CED"/>
    <w:rsid w:val="00731150"/>
    <w:rsid w:val="00732E9E"/>
    <w:rsid w:val="0073531B"/>
    <w:rsid w:val="00735F38"/>
    <w:rsid w:val="00744D27"/>
    <w:rsid w:val="00750EC0"/>
    <w:rsid w:val="007519ED"/>
    <w:rsid w:val="00753AB4"/>
    <w:rsid w:val="00754446"/>
    <w:rsid w:val="00754456"/>
    <w:rsid w:val="00754BDD"/>
    <w:rsid w:val="007551FF"/>
    <w:rsid w:val="00760170"/>
    <w:rsid w:val="007632F4"/>
    <w:rsid w:val="00764198"/>
    <w:rsid w:val="0076782C"/>
    <w:rsid w:val="00780D8C"/>
    <w:rsid w:val="00782B5C"/>
    <w:rsid w:val="00782B9C"/>
    <w:rsid w:val="0078525E"/>
    <w:rsid w:val="007867AD"/>
    <w:rsid w:val="007869AD"/>
    <w:rsid w:val="007910C1"/>
    <w:rsid w:val="007950C1"/>
    <w:rsid w:val="007960E9"/>
    <w:rsid w:val="00796389"/>
    <w:rsid w:val="007B061E"/>
    <w:rsid w:val="007B5FA7"/>
    <w:rsid w:val="007C066F"/>
    <w:rsid w:val="007C2834"/>
    <w:rsid w:val="007C2930"/>
    <w:rsid w:val="007C4F11"/>
    <w:rsid w:val="007C651F"/>
    <w:rsid w:val="007C7498"/>
    <w:rsid w:val="007D07A4"/>
    <w:rsid w:val="007D1CAD"/>
    <w:rsid w:val="007D1E18"/>
    <w:rsid w:val="007D26F5"/>
    <w:rsid w:val="007D54B8"/>
    <w:rsid w:val="007D5B08"/>
    <w:rsid w:val="007D5E55"/>
    <w:rsid w:val="007D6359"/>
    <w:rsid w:val="007D76D6"/>
    <w:rsid w:val="007E0C18"/>
    <w:rsid w:val="007E0DDB"/>
    <w:rsid w:val="007E4FB4"/>
    <w:rsid w:val="007E5AE6"/>
    <w:rsid w:val="007E650A"/>
    <w:rsid w:val="007F47BD"/>
    <w:rsid w:val="007F4DCD"/>
    <w:rsid w:val="007F5B11"/>
    <w:rsid w:val="007F5E90"/>
    <w:rsid w:val="008004B7"/>
    <w:rsid w:val="00801B3F"/>
    <w:rsid w:val="00803733"/>
    <w:rsid w:val="00807F4D"/>
    <w:rsid w:val="00810608"/>
    <w:rsid w:val="008123AB"/>
    <w:rsid w:val="00815190"/>
    <w:rsid w:val="00816739"/>
    <w:rsid w:val="008177B4"/>
    <w:rsid w:val="00820200"/>
    <w:rsid w:val="00826BAD"/>
    <w:rsid w:val="00827D40"/>
    <w:rsid w:val="00832ED1"/>
    <w:rsid w:val="00833229"/>
    <w:rsid w:val="00842E07"/>
    <w:rsid w:val="008458CD"/>
    <w:rsid w:val="0084603D"/>
    <w:rsid w:val="00850AB5"/>
    <w:rsid w:val="00853048"/>
    <w:rsid w:val="008543BA"/>
    <w:rsid w:val="0085443D"/>
    <w:rsid w:val="008558CE"/>
    <w:rsid w:val="00863366"/>
    <w:rsid w:val="00874DA6"/>
    <w:rsid w:val="00875563"/>
    <w:rsid w:val="00875BEF"/>
    <w:rsid w:val="00881453"/>
    <w:rsid w:val="00885810"/>
    <w:rsid w:val="0088602A"/>
    <w:rsid w:val="008861C7"/>
    <w:rsid w:val="00891191"/>
    <w:rsid w:val="0089600D"/>
    <w:rsid w:val="0089793A"/>
    <w:rsid w:val="008A0B3A"/>
    <w:rsid w:val="008A28B9"/>
    <w:rsid w:val="008A2A22"/>
    <w:rsid w:val="008A3E5C"/>
    <w:rsid w:val="008B2309"/>
    <w:rsid w:val="008B2AA4"/>
    <w:rsid w:val="008B4720"/>
    <w:rsid w:val="008B7879"/>
    <w:rsid w:val="008C1E73"/>
    <w:rsid w:val="008C69C2"/>
    <w:rsid w:val="008D15B3"/>
    <w:rsid w:val="008D44FB"/>
    <w:rsid w:val="008D5A11"/>
    <w:rsid w:val="008D7DED"/>
    <w:rsid w:val="008E0EE9"/>
    <w:rsid w:val="008E19CD"/>
    <w:rsid w:val="008E26EC"/>
    <w:rsid w:val="008E35F6"/>
    <w:rsid w:val="008E42BB"/>
    <w:rsid w:val="008E50A7"/>
    <w:rsid w:val="008E5B2D"/>
    <w:rsid w:val="008E76BF"/>
    <w:rsid w:val="008E76E4"/>
    <w:rsid w:val="008E7F93"/>
    <w:rsid w:val="008F00E9"/>
    <w:rsid w:val="008F02FE"/>
    <w:rsid w:val="008F0ACE"/>
    <w:rsid w:val="008F0EDD"/>
    <w:rsid w:val="008F2F1C"/>
    <w:rsid w:val="008F61F3"/>
    <w:rsid w:val="008F6721"/>
    <w:rsid w:val="00903A3C"/>
    <w:rsid w:val="009059E0"/>
    <w:rsid w:val="00905F29"/>
    <w:rsid w:val="00907145"/>
    <w:rsid w:val="00913D87"/>
    <w:rsid w:val="0092075E"/>
    <w:rsid w:val="00920A4C"/>
    <w:rsid w:val="0092170C"/>
    <w:rsid w:val="00924337"/>
    <w:rsid w:val="00925686"/>
    <w:rsid w:val="00925E32"/>
    <w:rsid w:val="0092730B"/>
    <w:rsid w:val="009313AD"/>
    <w:rsid w:val="00931930"/>
    <w:rsid w:val="00932688"/>
    <w:rsid w:val="0093307D"/>
    <w:rsid w:val="00934050"/>
    <w:rsid w:val="00937C48"/>
    <w:rsid w:val="009437B6"/>
    <w:rsid w:val="00943910"/>
    <w:rsid w:val="00946B69"/>
    <w:rsid w:val="0094799B"/>
    <w:rsid w:val="00951DE2"/>
    <w:rsid w:val="00953B19"/>
    <w:rsid w:val="009555D5"/>
    <w:rsid w:val="009613B4"/>
    <w:rsid w:val="009626F1"/>
    <w:rsid w:val="00962715"/>
    <w:rsid w:val="0096306B"/>
    <w:rsid w:val="00965DBF"/>
    <w:rsid w:val="0096641A"/>
    <w:rsid w:val="00970436"/>
    <w:rsid w:val="00975B60"/>
    <w:rsid w:val="0097704B"/>
    <w:rsid w:val="0097778B"/>
    <w:rsid w:val="00982F33"/>
    <w:rsid w:val="009836A8"/>
    <w:rsid w:val="0099105A"/>
    <w:rsid w:val="00992CD0"/>
    <w:rsid w:val="0099545A"/>
    <w:rsid w:val="00995AE4"/>
    <w:rsid w:val="009A0A3C"/>
    <w:rsid w:val="009A107B"/>
    <w:rsid w:val="009B02EF"/>
    <w:rsid w:val="009B3909"/>
    <w:rsid w:val="009B570F"/>
    <w:rsid w:val="009B577F"/>
    <w:rsid w:val="009B5BC5"/>
    <w:rsid w:val="009C0221"/>
    <w:rsid w:val="009C3080"/>
    <w:rsid w:val="009D502F"/>
    <w:rsid w:val="009D574E"/>
    <w:rsid w:val="009D6067"/>
    <w:rsid w:val="009D6DCB"/>
    <w:rsid w:val="009D73B2"/>
    <w:rsid w:val="009E00CC"/>
    <w:rsid w:val="009E2793"/>
    <w:rsid w:val="009E7FA1"/>
    <w:rsid w:val="009F181D"/>
    <w:rsid w:val="009F77BC"/>
    <w:rsid w:val="00A0032F"/>
    <w:rsid w:val="00A00385"/>
    <w:rsid w:val="00A00EF2"/>
    <w:rsid w:val="00A07D2E"/>
    <w:rsid w:val="00A10379"/>
    <w:rsid w:val="00A13A6F"/>
    <w:rsid w:val="00A1627C"/>
    <w:rsid w:val="00A25EE8"/>
    <w:rsid w:val="00A31F03"/>
    <w:rsid w:val="00A33CC4"/>
    <w:rsid w:val="00A3405B"/>
    <w:rsid w:val="00A360FF"/>
    <w:rsid w:val="00A402C2"/>
    <w:rsid w:val="00A41744"/>
    <w:rsid w:val="00A41810"/>
    <w:rsid w:val="00A41A4C"/>
    <w:rsid w:val="00A41B80"/>
    <w:rsid w:val="00A4219B"/>
    <w:rsid w:val="00A437F7"/>
    <w:rsid w:val="00A46A5D"/>
    <w:rsid w:val="00A47B32"/>
    <w:rsid w:val="00A47F99"/>
    <w:rsid w:val="00A502D6"/>
    <w:rsid w:val="00A5763E"/>
    <w:rsid w:val="00A57654"/>
    <w:rsid w:val="00A576B6"/>
    <w:rsid w:val="00A60480"/>
    <w:rsid w:val="00A64346"/>
    <w:rsid w:val="00A803FF"/>
    <w:rsid w:val="00A813AA"/>
    <w:rsid w:val="00A84C64"/>
    <w:rsid w:val="00A877E8"/>
    <w:rsid w:val="00A92676"/>
    <w:rsid w:val="00A94A44"/>
    <w:rsid w:val="00AA064A"/>
    <w:rsid w:val="00AA181F"/>
    <w:rsid w:val="00AA2A55"/>
    <w:rsid w:val="00AA2C64"/>
    <w:rsid w:val="00AA5003"/>
    <w:rsid w:val="00AB2DE8"/>
    <w:rsid w:val="00AB2FB3"/>
    <w:rsid w:val="00AB387E"/>
    <w:rsid w:val="00AB5490"/>
    <w:rsid w:val="00AB692B"/>
    <w:rsid w:val="00AC129A"/>
    <w:rsid w:val="00AC5C92"/>
    <w:rsid w:val="00AD636B"/>
    <w:rsid w:val="00AE04CA"/>
    <w:rsid w:val="00AE0770"/>
    <w:rsid w:val="00AE09B3"/>
    <w:rsid w:val="00AE0CEF"/>
    <w:rsid w:val="00AE25D2"/>
    <w:rsid w:val="00AE26EC"/>
    <w:rsid w:val="00AE2A59"/>
    <w:rsid w:val="00AE4F65"/>
    <w:rsid w:val="00AE50A4"/>
    <w:rsid w:val="00AF19CE"/>
    <w:rsid w:val="00AF497B"/>
    <w:rsid w:val="00AF7903"/>
    <w:rsid w:val="00B00ADD"/>
    <w:rsid w:val="00B02181"/>
    <w:rsid w:val="00B02894"/>
    <w:rsid w:val="00B02FDA"/>
    <w:rsid w:val="00B0681D"/>
    <w:rsid w:val="00B06985"/>
    <w:rsid w:val="00B127E5"/>
    <w:rsid w:val="00B23698"/>
    <w:rsid w:val="00B26209"/>
    <w:rsid w:val="00B355E8"/>
    <w:rsid w:val="00B3635C"/>
    <w:rsid w:val="00B4409D"/>
    <w:rsid w:val="00B5281B"/>
    <w:rsid w:val="00B52E11"/>
    <w:rsid w:val="00B56A3C"/>
    <w:rsid w:val="00B6000E"/>
    <w:rsid w:val="00B607F6"/>
    <w:rsid w:val="00B61225"/>
    <w:rsid w:val="00B61D8D"/>
    <w:rsid w:val="00B67AD8"/>
    <w:rsid w:val="00B7040F"/>
    <w:rsid w:val="00B71C6D"/>
    <w:rsid w:val="00B72C77"/>
    <w:rsid w:val="00B72E9E"/>
    <w:rsid w:val="00B72F39"/>
    <w:rsid w:val="00B75168"/>
    <w:rsid w:val="00B80688"/>
    <w:rsid w:val="00B853DD"/>
    <w:rsid w:val="00B90476"/>
    <w:rsid w:val="00B92138"/>
    <w:rsid w:val="00B922E9"/>
    <w:rsid w:val="00B93079"/>
    <w:rsid w:val="00B95F26"/>
    <w:rsid w:val="00B97BAC"/>
    <w:rsid w:val="00BA06E3"/>
    <w:rsid w:val="00BA0830"/>
    <w:rsid w:val="00BA0FDD"/>
    <w:rsid w:val="00BA24E7"/>
    <w:rsid w:val="00BA2B8E"/>
    <w:rsid w:val="00BA4816"/>
    <w:rsid w:val="00BA55FC"/>
    <w:rsid w:val="00BB053D"/>
    <w:rsid w:val="00BB2A50"/>
    <w:rsid w:val="00BB373D"/>
    <w:rsid w:val="00BB3EDB"/>
    <w:rsid w:val="00BB4B4B"/>
    <w:rsid w:val="00BB5719"/>
    <w:rsid w:val="00BB58C2"/>
    <w:rsid w:val="00BB7A50"/>
    <w:rsid w:val="00BC0677"/>
    <w:rsid w:val="00BC0F71"/>
    <w:rsid w:val="00BC7BB2"/>
    <w:rsid w:val="00BD3527"/>
    <w:rsid w:val="00BD59F2"/>
    <w:rsid w:val="00BE2D90"/>
    <w:rsid w:val="00C017B9"/>
    <w:rsid w:val="00C037F3"/>
    <w:rsid w:val="00C067EC"/>
    <w:rsid w:val="00C06D0B"/>
    <w:rsid w:val="00C0753A"/>
    <w:rsid w:val="00C07F44"/>
    <w:rsid w:val="00C1054E"/>
    <w:rsid w:val="00C122F2"/>
    <w:rsid w:val="00C1272B"/>
    <w:rsid w:val="00C138B9"/>
    <w:rsid w:val="00C14427"/>
    <w:rsid w:val="00C17C49"/>
    <w:rsid w:val="00C230C5"/>
    <w:rsid w:val="00C23250"/>
    <w:rsid w:val="00C25AB7"/>
    <w:rsid w:val="00C26203"/>
    <w:rsid w:val="00C26CC9"/>
    <w:rsid w:val="00C33F49"/>
    <w:rsid w:val="00C360FD"/>
    <w:rsid w:val="00C41307"/>
    <w:rsid w:val="00C42926"/>
    <w:rsid w:val="00C4318F"/>
    <w:rsid w:val="00C44131"/>
    <w:rsid w:val="00C51160"/>
    <w:rsid w:val="00C5168B"/>
    <w:rsid w:val="00C57C42"/>
    <w:rsid w:val="00C615C4"/>
    <w:rsid w:val="00C61822"/>
    <w:rsid w:val="00C652CC"/>
    <w:rsid w:val="00C65BDB"/>
    <w:rsid w:val="00C677E2"/>
    <w:rsid w:val="00C73004"/>
    <w:rsid w:val="00C76E20"/>
    <w:rsid w:val="00C81C4D"/>
    <w:rsid w:val="00C835EC"/>
    <w:rsid w:val="00C87C16"/>
    <w:rsid w:val="00C917C9"/>
    <w:rsid w:val="00C91C18"/>
    <w:rsid w:val="00C92267"/>
    <w:rsid w:val="00C958E4"/>
    <w:rsid w:val="00C975FE"/>
    <w:rsid w:val="00CA1ACE"/>
    <w:rsid w:val="00CA27B9"/>
    <w:rsid w:val="00CA739C"/>
    <w:rsid w:val="00CB29F2"/>
    <w:rsid w:val="00CB3F13"/>
    <w:rsid w:val="00CB45CA"/>
    <w:rsid w:val="00CB4AB7"/>
    <w:rsid w:val="00CB6486"/>
    <w:rsid w:val="00CB7862"/>
    <w:rsid w:val="00CC0D12"/>
    <w:rsid w:val="00CC4AE0"/>
    <w:rsid w:val="00CC7EA4"/>
    <w:rsid w:val="00CD0A09"/>
    <w:rsid w:val="00CD47CF"/>
    <w:rsid w:val="00CD5CD3"/>
    <w:rsid w:val="00CE2AD1"/>
    <w:rsid w:val="00CE3C96"/>
    <w:rsid w:val="00CE427E"/>
    <w:rsid w:val="00CE6B61"/>
    <w:rsid w:val="00CE71A5"/>
    <w:rsid w:val="00CE7466"/>
    <w:rsid w:val="00CF0125"/>
    <w:rsid w:val="00CF0FE0"/>
    <w:rsid w:val="00CF1DB9"/>
    <w:rsid w:val="00CF6128"/>
    <w:rsid w:val="00D0629E"/>
    <w:rsid w:val="00D10725"/>
    <w:rsid w:val="00D12544"/>
    <w:rsid w:val="00D12790"/>
    <w:rsid w:val="00D1418C"/>
    <w:rsid w:val="00D157B8"/>
    <w:rsid w:val="00D23743"/>
    <w:rsid w:val="00D23FF7"/>
    <w:rsid w:val="00D248DE"/>
    <w:rsid w:val="00D2624B"/>
    <w:rsid w:val="00D30898"/>
    <w:rsid w:val="00D33C2D"/>
    <w:rsid w:val="00D40962"/>
    <w:rsid w:val="00D41CC1"/>
    <w:rsid w:val="00D4393C"/>
    <w:rsid w:val="00D44293"/>
    <w:rsid w:val="00D46C1D"/>
    <w:rsid w:val="00D501B8"/>
    <w:rsid w:val="00D51FBC"/>
    <w:rsid w:val="00D53411"/>
    <w:rsid w:val="00D55CB3"/>
    <w:rsid w:val="00D56338"/>
    <w:rsid w:val="00D57697"/>
    <w:rsid w:val="00D656CC"/>
    <w:rsid w:val="00D723A4"/>
    <w:rsid w:val="00D734F3"/>
    <w:rsid w:val="00D74DD4"/>
    <w:rsid w:val="00D761E0"/>
    <w:rsid w:val="00D82E56"/>
    <w:rsid w:val="00D84F3E"/>
    <w:rsid w:val="00D8588A"/>
    <w:rsid w:val="00D87BC7"/>
    <w:rsid w:val="00D87E3C"/>
    <w:rsid w:val="00D91EEF"/>
    <w:rsid w:val="00D95268"/>
    <w:rsid w:val="00DA1933"/>
    <w:rsid w:val="00DA22CB"/>
    <w:rsid w:val="00DA36B5"/>
    <w:rsid w:val="00DA4A50"/>
    <w:rsid w:val="00DA5857"/>
    <w:rsid w:val="00DA6EA5"/>
    <w:rsid w:val="00DB7ABC"/>
    <w:rsid w:val="00DC0F80"/>
    <w:rsid w:val="00DC328A"/>
    <w:rsid w:val="00DC4928"/>
    <w:rsid w:val="00DC5680"/>
    <w:rsid w:val="00DD59FA"/>
    <w:rsid w:val="00DD6086"/>
    <w:rsid w:val="00DE02D6"/>
    <w:rsid w:val="00DE0656"/>
    <w:rsid w:val="00DE0D6F"/>
    <w:rsid w:val="00DE17AD"/>
    <w:rsid w:val="00DE2E77"/>
    <w:rsid w:val="00DE3936"/>
    <w:rsid w:val="00DF54D3"/>
    <w:rsid w:val="00DF7AD4"/>
    <w:rsid w:val="00E0060D"/>
    <w:rsid w:val="00E01B20"/>
    <w:rsid w:val="00E04F0C"/>
    <w:rsid w:val="00E0652B"/>
    <w:rsid w:val="00E114D7"/>
    <w:rsid w:val="00E13BD5"/>
    <w:rsid w:val="00E16F77"/>
    <w:rsid w:val="00E20063"/>
    <w:rsid w:val="00E22409"/>
    <w:rsid w:val="00E26BF0"/>
    <w:rsid w:val="00E273C9"/>
    <w:rsid w:val="00E27E99"/>
    <w:rsid w:val="00E31B56"/>
    <w:rsid w:val="00E34A8E"/>
    <w:rsid w:val="00E37387"/>
    <w:rsid w:val="00E37929"/>
    <w:rsid w:val="00E44223"/>
    <w:rsid w:val="00E4681F"/>
    <w:rsid w:val="00E50004"/>
    <w:rsid w:val="00E50CC9"/>
    <w:rsid w:val="00E5134F"/>
    <w:rsid w:val="00E52D7F"/>
    <w:rsid w:val="00E5304D"/>
    <w:rsid w:val="00E53093"/>
    <w:rsid w:val="00E5407F"/>
    <w:rsid w:val="00E57B11"/>
    <w:rsid w:val="00E62767"/>
    <w:rsid w:val="00E6469A"/>
    <w:rsid w:val="00E71022"/>
    <w:rsid w:val="00E72C40"/>
    <w:rsid w:val="00E75306"/>
    <w:rsid w:val="00E75C69"/>
    <w:rsid w:val="00E7712A"/>
    <w:rsid w:val="00E80638"/>
    <w:rsid w:val="00E82D50"/>
    <w:rsid w:val="00E836E8"/>
    <w:rsid w:val="00E85867"/>
    <w:rsid w:val="00E95DFF"/>
    <w:rsid w:val="00E96AD3"/>
    <w:rsid w:val="00EA1224"/>
    <w:rsid w:val="00EA21EE"/>
    <w:rsid w:val="00EA53B5"/>
    <w:rsid w:val="00EA5940"/>
    <w:rsid w:val="00EA5E15"/>
    <w:rsid w:val="00EA7708"/>
    <w:rsid w:val="00EB081A"/>
    <w:rsid w:val="00EB138E"/>
    <w:rsid w:val="00EB13B4"/>
    <w:rsid w:val="00EB1543"/>
    <w:rsid w:val="00EB4973"/>
    <w:rsid w:val="00EC14A3"/>
    <w:rsid w:val="00EC1871"/>
    <w:rsid w:val="00EC3905"/>
    <w:rsid w:val="00EC4995"/>
    <w:rsid w:val="00EC7B15"/>
    <w:rsid w:val="00ED0FC2"/>
    <w:rsid w:val="00ED148E"/>
    <w:rsid w:val="00ED6498"/>
    <w:rsid w:val="00ED73BB"/>
    <w:rsid w:val="00ED7734"/>
    <w:rsid w:val="00ED7C2F"/>
    <w:rsid w:val="00EE0352"/>
    <w:rsid w:val="00EE10A1"/>
    <w:rsid w:val="00F02CEF"/>
    <w:rsid w:val="00F04FA8"/>
    <w:rsid w:val="00F122AE"/>
    <w:rsid w:val="00F12CF2"/>
    <w:rsid w:val="00F14465"/>
    <w:rsid w:val="00F2787A"/>
    <w:rsid w:val="00F32A29"/>
    <w:rsid w:val="00F32ACD"/>
    <w:rsid w:val="00F41634"/>
    <w:rsid w:val="00F42BB7"/>
    <w:rsid w:val="00F42D70"/>
    <w:rsid w:val="00F43DF6"/>
    <w:rsid w:val="00F4576C"/>
    <w:rsid w:val="00F46FB1"/>
    <w:rsid w:val="00F5077E"/>
    <w:rsid w:val="00F51A81"/>
    <w:rsid w:val="00F527CA"/>
    <w:rsid w:val="00F52F51"/>
    <w:rsid w:val="00F53DDF"/>
    <w:rsid w:val="00F55625"/>
    <w:rsid w:val="00F560E8"/>
    <w:rsid w:val="00F57A60"/>
    <w:rsid w:val="00F63E73"/>
    <w:rsid w:val="00F64BFE"/>
    <w:rsid w:val="00F657DF"/>
    <w:rsid w:val="00F6776F"/>
    <w:rsid w:val="00F72B9A"/>
    <w:rsid w:val="00F7342B"/>
    <w:rsid w:val="00F76C94"/>
    <w:rsid w:val="00F77161"/>
    <w:rsid w:val="00F8296E"/>
    <w:rsid w:val="00F82F5A"/>
    <w:rsid w:val="00F83B26"/>
    <w:rsid w:val="00F902B4"/>
    <w:rsid w:val="00F93007"/>
    <w:rsid w:val="00F94673"/>
    <w:rsid w:val="00F95C5D"/>
    <w:rsid w:val="00FA2BF0"/>
    <w:rsid w:val="00FA3630"/>
    <w:rsid w:val="00FA4A35"/>
    <w:rsid w:val="00FB26D6"/>
    <w:rsid w:val="00FB27BF"/>
    <w:rsid w:val="00FB491D"/>
    <w:rsid w:val="00FD3566"/>
    <w:rsid w:val="00FD4897"/>
    <w:rsid w:val="00FD48DC"/>
    <w:rsid w:val="00FD50AD"/>
    <w:rsid w:val="00FE1706"/>
    <w:rsid w:val="00FE4DD3"/>
    <w:rsid w:val="00FE541E"/>
    <w:rsid w:val="00FE5D33"/>
    <w:rsid w:val="00FF0E09"/>
    <w:rsid w:val="00FF373D"/>
    <w:rsid w:val="00FF655B"/>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E50BF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686"/>
    <w:pPr>
      <w:tabs>
        <w:tab w:val="left" w:pos="567"/>
      </w:tabs>
      <w:spacing w:line="260" w:lineRule="exact"/>
    </w:pPr>
    <w:rPr>
      <w:rFonts w:ascii="Times New Roman" w:eastAsia="Times New Roman" w:hAnsi="Times New Roman"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25686"/>
    <w:pPr>
      <w:tabs>
        <w:tab w:val="center" w:pos="4536"/>
        <w:tab w:val="right" w:pos="8306"/>
      </w:tabs>
    </w:pPr>
    <w:rPr>
      <w:rFonts w:ascii="Arial" w:hAnsi="Arial"/>
      <w:noProof/>
      <w:sz w:val="16"/>
    </w:rPr>
  </w:style>
  <w:style w:type="character" w:customStyle="1" w:styleId="FooterChar">
    <w:name w:val="Footer Char"/>
    <w:link w:val="Footer"/>
    <w:rsid w:val="00925686"/>
    <w:rPr>
      <w:rFonts w:ascii="Arial" w:eastAsia="Times New Roman" w:hAnsi="Arial" w:cs="Times New Roman"/>
      <w:noProof/>
      <w:sz w:val="16"/>
      <w:szCs w:val="20"/>
    </w:rPr>
  </w:style>
  <w:style w:type="paragraph" w:styleId="Header">
    <w:name w:val="header"/>
    <w:basedOn w:val="Normal"/>
    <w:link w:val="HeaderChar"/>
    <w:rsid w:val="00925686"/>
    <w:pPr>
      <w:tabs>
        <w:tab w:val="center" w:pos="4153"/>
        <w:tab w:val="right" w:pos="8306"/>
      </w:tabs>
    </w:pPr>
    <w:rPr>
      <w:rFonts w:ascii="Arial" w:hAnsi="Arial"/>
      <w:sz w:val="20"/>
    </w:rPr>
  </w:style>
  <w:style w:type="character" w:customStyle="1" w:styleId="HeaderChar">
    <w:name w:val="Header Char"/>
    <w:link w:val="Header"/>
    <w:rsid w:val="00925686"/>
    <w:rPr>
      <w:rFonts w:ascii="Arial" w:eastAsia="Times New Roman" w:hAnsi="Arial" w:cs="Times New Roman"/>
      <w:sz w:val="20"/>
      <w:szCs w:val="20"/>
    </w:rPr>
  </w:style>
  <w:style w:type="paragraph" w:customStyle="1" w:styleId="MemoHeaderStyle">
    <w:name w:val="MemoHeaderStyle"/>
    <w:basedOn w:val="Normal"/>
    <w:next w:val="Normal"/>
    <w:rsid w:val="00925686"/>
    <w:pPr>
      <w:spacing w:line="120" w:lineRule="atLeast"/>
      <w:ind w:left="1418"/>
      <w:jc w:val="both"/>
    </w:pPr>
    <w:rPr>
      <w:rFonts w:ascii="Arial" w:hAnsi="Arial"/>
      <w:b/>
      <w:smallCaps/>
    </w:rPr>
  </w:style>
  <w:style w:type="character" w:styleId="PageNumber">
    <w:name w:val="page number"/>
    <w:basedOn w:val="DefaultParagraphFont"/>
    <w:uiPriority w:val="99"/>
    <w:rsid w:val="00925686"/>
  </w:style>
  <w:style w:type="paragraph" w:styleId="BodyText">
    <w:name w:val="Body Text"/>
    <w:basedOn w:val="Normal"/>
    <w:link w:val="BodyTextChar"/>
    <w:rsid w:val="00925686"/>
    <w:pPr>
      <w:tabs>
        <w:tab w:val="clear" w:pos="567"/>
      </w:tabs>
      <w:spacing w:line="240" w:lineRule="auto"/>
    </w:pPr>
    <w:rPr>
      <w:i/>
      <w:color w:val="008000"/>
    </w:rPr>
  </w:style>
  <w:style w:type="character" w:customStyle="1" w:styleId="BodyTextChar">
    <w:name w:val="Body Text Char"/>
    <w:link w:val="BodyText"/>
    <w:rsid w:val="00925686"/>
    <w:rPr>
      <w:rFonts w:ascii="Times New Roman" w:eastAsia="Times New Roman" w:hAnsi="Times New Roman" w:cs="Times New Roman"/>
      <w:i/>
      <w:color w:val="008000"/>
      <w:szCs w:val="20"/>
    </w:rPr>
  </w:style>
  <w:style w:type="paragraph" w:styleId="CommentText">
    <w:name w:val="annotation text"/>
    <w:aliases w:val=" Char1,Char1,Char2"/>
    <w:basedOn w:val="Normal"/>
    <w:link w:val="CommentTextChar"/>
    <w:qFormat/>
    <w:rsid w:val="00925686"/>
    <w:rPr>
      <w:sz w:val="20"/>
    </w:rPr>
  </w:style>
  <w:style w:type="character" w:customStyle="1" w:styleId="CommentTextChar">
    <w:name w:val="Comment Text Char"/>
    <w:aliases w:val=" Char1 Char,Char1 Char,Char2 Char"/>
    <w:link w:val="CommentText"/>
    <w:rsid w:val="00925686"/>
    <w:rPr>
      <w:rFonts w:ascii="Times New Roman" w:eastAsia="Times New Roman" w:hAnsi="Times New Roman" w:cs="Times New Roman"/>
      <w:sz w:val="20"/>
      <w:szCs w:val="20"/>
    </w:rPr>
  </w:style>
  <w:style w:type="character" w:styleId="Hyperlink">
    <w:name w:val="Hyperlink"/>
    <w:uiPriority w:val="99"/>
    <w:rsid w:val="00925686"/>
    <w:rPr>
      <w:color w:val="0000FF"/>
      <w:u w:val="single"/>
    </w:rPr>
  </w:style>
  <w:style w:type="paragraph" w:customStyle="1" w:styleId="EMEAEnBodyText">
    <w:name w:val="EMEA En Body Text"/>
    <w:basedOn w:val="Normal"/>
    <w:rsid w:val="00925686"/>
    <w:pPr>
      <w:tabs>
        <w:tab w:val="clear" w:pos="567"/>
      </w:tabs>
      <w:spacing w:before="120" w:after="120" w:line="240" w:lineRule="auto"/>
      <w:jc w:val="both"/>
    </w:pPr>
    <w:rPr>
      <w:lang w:val="en-US"/>
    </w:rPr>
  </w:style>
  <w:style w:type="paragraph" w:styleId="BalloonText">
    <w:name w:val="Balloon Text"/>
    <w:basedOn w:val="Normal"/>
    <w:link w:val="BalloonTextChar"/>
    <w:semiHidden/>
    <w:rsid w:val="00925686"/>
    <w:rPr>
      <w:rFonts w:ascii="Tahoma" w:hAnsi="Tahoma" w:cs="Tahoma"/>
      <w:sz w:val="16"/>
      <w:szCs w:val="16"/>
    </w:rPr>
  </w:style>
  <w:style w:type="character" w:customStyle="1" w:styleId="BalloonTextChar">
    <w:name w:val="Balloon Text Char"/>
    <w:link w:val="BalloonText"/>
    <w:semiHidden/>
    <w:rsid w:val="00925686"/>
    <w:rPr>
      <w:rFonts w:ascii="Tahoma" w:eastAsia="Times New Roman" w:hAnsi="Tahoma" w:cs="Tahoma"/>
      <w:sz w:val="16"/>
      <w:szCs w:val="16"/>
    </w:rPr>
  </w:style>
  <w:style w:type="paragraph" w:customStyle="1" w:styleId="BodytextAgency">
    <w:name w:val="Body text (Agency)"/>
    <w:basedOn w:val="Normal"/>
    <w:link w:val="BodytextAgencyChar"/>
    <w:rsid w:val="00925686"/>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925686"/>
    <w:rPr>
      <w:rFonts w:ascii="Verdana" w:eastAsia="Verdana" w:hAnsi="Verdana" w:cs="Verdana"/>
      <w:sz w:val="18"/>
      <w:szCs w:val="18"/>
      <w:lang w:eastAsia="en-GB"/>
    </w:rPr>
  </w:style>
  <w:style w:type="paragraph" w:customStyle="1" w:styleId="DraftingNotesAgency">
    <w:name w:val="Drafting Notes (Agency)"/>
    <w:basedOn w:val="Normal"/>
    <w:next w:val="BodytextAgency"/>
    <w:link w:val="DraftingNotesAgencyChar"/>
    <w:rsid w:val="00925686"/>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925686"/>
    <w:rPr>
      <w:rFonts w:ascii="Courier New" w:eastAsia="Verdana" w:hAnsi="Courier New" w:cs="Times New Roman"/>
      <w:i/>
      <w:color w:val="339966"/>
      <w:szCs w:val="18"/>
      <w:lang w:eastAsia="en-GB"/>
    </w:rPr>
  </w:style>
  <w:style w:type="paragraph" w:customStyle="1" w:styleId="NormalAgency">
    <w:name w:val="Normal (Agency)"/>
    <w:link w:val="NormalAgencyChar"/>
    <w:rsid w:val="00925686"/>
    <w:rPr>
      <w:rFonts w:ascii="Verdana" w:eastAsia="Verdana" w:hAnsi="Verdana" w:cs="Verdana"/>
      <w:sz w:val="18"/>
      <w:szCs w:val="18"/>
    </w:rPr>
  </w:style>
  <w:style w:type="table" w:customStyle="1" w:styleId="TablegridAgencyblack">
    <w:name w:val="Table grid (Agency) black"/>
    <w:basedOn w:val="TableNormal"/>
    <w:semiHidden/>
    <w:rsid w:val="00925686"/>
    <w:rPr>
      <w:rFonts w:ascii="Verdana" w:eastAsia="SimSun" w:hAnsi="Verdana" w:cs="Times New Roman"/>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NewRomanPSMT" w:hAnsi="TimesNewRomanPSMT"/>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925686"/>
    <w:pPr>
      <w:keepNext/>
    </w:pPr>
    <w:rPr>
      <w:rFonts w:eastAsia="Times New Roman"/>
      <w:b/>
    </w:rPr>
  </w:style>
  <w:style w:type="paragraph" w:customStyle="1" w:styleId="TabletextrowsAgency">
    <w:name w:val="Table text rows (Agency)"/>
    <w:basedOn w:val="Normal"/>
    <w:rsid w:val="00925686"/>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925686"/>
    <w:rPr>
      <w:rFonts w:ascii="Verdana" w:eastAsia="Verdana" w:hAnsi="Verdana" w:cs="Verdana"/>
      <w:sz w:val="18"/>
      <w:szCs w:val="18"/>
      <w:lang w:eastAsia="en-GB"/>
    </w:rPr>
  </w:style>
  <w:style w:type="character" w:styleId="CommentReference">
    <w:name w:val="annotation reference"/>
    <w:rsid w:val="00925686"/>
    <w:rPr>
      <w:sz w:val="16"/>
      <w:szCs w:val="16"/>
    </w:rPr>
  </w:style>
  <w:style w:type="paragraph" w:styleId="CommentSubject">
    <w:name w:val="annotation subject"/>
    <w:basedOn w:val="CommentText"/>
    <w:next w:val="CommentText"/>
    <w:link w:val="CommentSubjectChar"/>
    <w:rsid w:val="00925686"/>
    <w:rPr>
      <w:b/>
      <w:bCs/>
    </w:rPr>
  </w:style>
  <w:style w:type="character" w:customStyle="1" w:styleId="CommentSubjectChar">
    <w:name w:val="Comment Subject Char"/>
    <w:link w:val="CommentSubject"/>
    <w:rsid w:val="00925686"/>
    <w:rPr>
      <w:rFonts w:ascii="Times New Roman" w:eastAsia="Times New Roman" w:hAnsi="Times New Roman" w:cs="Times New Roman"/>
      <w:b/>
      <w:bCs/>
      <w:sz w:val="20"/>
      <w:szCs w:val="20"/>
    </w:rPr>
  </w:style>
  <w:style w:type="paragraph" w:styleId="Caption">
    <w:name w:val="caption"/>
    <w:aliases w:val="Vion Caption,Company Caption,Bayer Caption,IB Caption,IB Caption + ...,Caption Char1 Char,Caption Char Char Char,Caption Char1,Caption Table...,Caption Char1 + 8 pt,Not B....,Caption Table,...,Caption 3,Onyx Caption,figure,Caption-FUSA,caption"/>
    <w:basedOn w:val="Normal"/>
    <w:next w:val="BodyText"/>
    <w:link w:val="CaptionChar"/>
    <w:qFormat/>
    <w:rsid w:val="00925686"/>
    <w:pPr>
      <w:keepNext/>
      <w:keepLines/>
      <w:tabs>
        <w:tab w:val="clear"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240" w:after="240" w:line="240" w:lineRule="auto"/>
      <w:jc w:val="center"/>
      <w:outlineLvl w:val="0"/>
    </w:pPr>
    <w:rPr>
      <w:rFonts w:ascii="Times New Roman Bold" w:hAnsi="Times New Roman Bold"/>
      <w:b/>
      <w:bCs/>
      <w:sz w:val="24"/>
      <w:lang w:val="en-US"/>
    </w:rPr>
  </w:style>
  <w:style w:type="paragraph" w:customStyle="1" w:styleId="TableColumnHead">
    <w:name w:val="Table Column Head"/>
    <w:basedOn w:val="Normal"/>
    <w:next w:val="Normal"/>
    <w:qFormat/>
    <w:rsid w:val="00925686"/>
    <w:pPr>
      <w:keepNext/>
      <w:keepLines/>
      <w:widowControl w:val="0"/>
      <w:tabs>
        <w:tab w:val="clear" w:pos="567"/>
      </w:tabs>
      <w:spacing w:before="40" w:after="20" w:line="240" w:lineRule="auto"/>
      <w:jc w:val="center"/>
    </w:pPr>
    <w:rPr>
      <w:b/>
      <w:sz w:val="20"/>
      <w:lang w:val="en-US"/>
    </w:rPr>
  </w:style>
  <w:style w:type="character" w:customStyle="1" w:styleId="CaptionChar">
    <w:name w:val="Caption Char"/>
    <w:aliases w:val="Vion Caption Char,Company Caption Char,Bayer Caption Char,IB Caption Char,IB Caption + ... Char,Caption Char1 Char Char,Caption Char Char Char Char,Caption Char1 Char1,Caption Table... Char,Caption Char1 + 8 pt Char,Not B.... Char,... Char"/>
    <w:link w:val="Caption"/>
    <w:locked/>
    <w:rsid w:val="00925686"/>
    <w:rPr>
      <w:rFonts w:ascii="Times New Roman Bold" w:eastAsia="Times New Roman" w:hAnsi="Times New Roman Bold" w:cs="Times New Roman"/>
      <w:b/>
      <w:bCs/>
      <w:sz w:val="24"/>
      <w:szCs w:val="20"/>
      <w:lang w:val="en-US"/>
    </w:rPr>
  </w:style>
  <w:style w:type="paragraph" w:customStyle="1" w:styleId="TableTextLeft">
    <w:name w:val="Table Text Left"/>
    <w:basedOn w:val="Normal"/>
    <w:link w:val="TableTextLeftChar"/>
    <w:qFormat/>
    <w:rsid w:val="00925686"/>
    <w:pPr>
      <w:keepNext/>
      <w:tabs>
        <w:tab w:val="clear" w:pos="567"/>
      </w:tabs>
      <w:spacing w:before="50" w:after="50" w:line="240" w:lineRule="auto"/>
    </w:pPr>
    <w:rPr>
      <w:sz w:val="20"/>
      <w:szCs w:val="24"/>
      <w:lang w:val="en-US"/>
    </w:rPr>
  </w:style>
  <w:style w:type="character" w:customStyle="1" w:styleId="TableTextLeftChar">
    <w:name w:val="Table Text Left Char"/>
    <w:link w:val="TableTextLeft"/>
    <w:rsid w:val="00925686"/>
    <w:rPr>
      <w:rFonts w:ascii="Times New Roman" w:eastAsia="Times New Roman" w:hAnsi="Times New Roman" w:cs="Times New Roman"/>
      <w:sz w:val="20"/>
      <w:szCs w:val="24"/>
      <w:lang w:val="en-US"/>
    </w:rPr>
  </w:style>
  <w:style w:type="paragraph" w:customStyle="1" w:styleId="Space">
    <w:name w:val="Space"/>
    <w:basedOn w:val="Normal"/>
    <w:uiPriority w:val="99"/>
    <w:rsid w:val="00925686"/>
    <w:pPr>
      <w:widowControl w:val="0"/>
      <w:tabs>
        <w:tab w:val="clear" w:pos="567"/>
      </w:tabs>
      <w:spacing w:line="240" w:lineRule="auto"/>
    </w:pPr>
    <w:rPr>
      <w:sz w:val="24"/>
      <w:szCs w:val="24"/>
      <w:lang w:val="en-US"/>
    </w:rPr>
  </w:style>
  <w:style w:type="paragraph" w:customStyle="1" w:styleId="TableTextLeftIndent1">
    <w:name w:val="Table Text Left Indent 1"/>
    <w:basedOn w:val="TableTextLeft"/>
    <w:qFormat/>
    <w:rsid w:val="00925686"/>
    <w:pPr>
      <w:ind w:left="360"/>
    </w:pPr>
  </w:style>
  <w:style w:type="paragraph" w:customStyle="1" w:styleId="TableTextCenter">
    <w:name w:val="Table Text Center"/>
    <w:basedOn w:val="Normal"/>
    <w:qFormat/>
    <w:rsid w:val="00925686"/>
    <w:pPr>
      <w:keepNext/>
      <w:tabs>
        <w:tab w:val="clear" w:pos="567"/>
      </w:tabs>
      <w:spacing w:before="50" w:after="50" w:line="240" w:lineRule="auto"/>
      <w:jc w:val="center"/>
    </w:pPr>
    <w:rPr>
      <w:sz w:val="20"/>
      <w:szCs w:val="24"/>
      <w:lang w:val="en-US"/>
    </w:rPr>
  </w:style>
  <w:style w:type="table" w:styleId="TableGrid">
    <w:name w:val="Table Grid"/>
    <w:basedOn w:val="TableNormal"/>
    <w:rsid w:val="0092568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rsid w:val="00925686"/>
    <w:pPr>
      <w:tabs>
        <w:tab w:val="clear" w:pos="567"/>
      </w:tabs>
      <w:spacing w:line="240" w:lineRule="auto"/>
    </w:pPr>
  </w:style>
  <w:style w:type="character" w:customStyle="1" w:styleId="DateChar">
    <w:name w:val="Date Char"/>
    <w:link w:val="Date"/>
    <w:uiPriority w:val="99"/>
    <w:rsid w:val="00925686"/>
    <w:rPr>
      <w:rFonts w:ascii="Times New Roman" w:eastAsia="Times New Roman" w:hAnsi="Times New Roman" w:cs="Times New Roman"/>
      <w:szCs w:val="20"/>
    </w:rPr>
  </w:style>
  <w:style w:type="paragraph" w:styleId="ListBullet">
    <w:name w:val="List Bullet"/>
    <w:basedOn w:val="Normal"/>
    <w:rsid w:val="00925686"/>
    <w:pPr>
      <w:numPr>
        <w:numId w:val="1"/>
      </w:numPr>
      <w:tabs>
        <w:tab w:val="clear" w:pos="567"/>
      </w:tabs>
      <w:spacing w:before="20" w:after="160" w:line="280" w:lineRule="exact"/>
    </w:pPr>
    <w:rPr>
      <w:sz w:val="24"/>
      <w:szCs w:val="24"/>
      <w:lang w:val="en-US"/>
    </w:rPr>
  </w:style>
  <w:style w:type="paragraph" w:styleId="ListNumber">
    <w:name w:val="List Number"/>
    <w:basedOn w:val="ListBullet"/>
    <w:rsid w:val="00925686"/>
    <w:pPr>
      <w:numPr>
        <w:numId w:val="2"/>
      </w:numPr>
    </w:pPr>
  </w:style>
  <w:style w:type="paragraph" w:styleId="ListParagraph">
    <w:name w:val="List Paragraph"/>
    <w:basedOn w:val="Normal"/>
    <w:uiPriority w:val="34"/>
    <w:qFormat/>
    <w:rsid w:val="00925686"/>
    <w:pPr>
      <w:ind w:left="720"/>
    </w:pPr>
  </w:style>
  <w:style w:type="character" w:customStyle="1" w:styleId="hps">
    <w:name w:val="hps"/>
    <w:rsid w:val="00925686"/>
  </w:style>
  <w:style w:type="paragraph" w:customStyle="1" w:styleId="lbltxt">
    <w:name w:val="lbltxt"/>
    <w:rsid w:val="00925686"/>
    <w:rPr>
      <w:rFonts w:ascii="Times New Roman" w:eastAsia="Times New Roman" w:hAnsi="Times New Roman" w:cs="Times New Roman"/>
      <w:noProof/>
      <w:sz w:val="22"/>
      <w:lang w:eastAsia="en-US"/>
    </w:rPr>
  </w:style>
  <w:style w:type="paragraph" w:styleId="Revision">
    <w:name w:val="Revision"/>
    <w:hidden/>
    <w:uiPriority w:val="99"/>
    <w:semiHidden/>
    <w:rsid w:val="00925686"/>
    <w:rPr>
      <w:rFonts w:ascii="Times New Roman" w:eastAsia="Times New Roman" w:hAnsi="Times New Roman" w:cs="Times New Roman"/>
      <w:sz w:val="22"/>
      <w:lang w:eastAsia="en-US"/>
    </w:rPr>
  </w:style>
  <w:style w:type="paragraph" w:styleId="EndnoteText">
    <w:name w:val="endnote text"/>
    <w:basedOn w:val="Normal"/>
    <w:link w:val="EndnoteTextChar"/>
    <w:uiPriority w:val="99"/>
    <w:unhideWhenUsed/>
    <w:rsid w:val="00925686"/>
    <w:pPr>
      <w:tabs>
        <w:tab w:val="clear" w:pos="567"/>
      </w:tabs>
      <w:suppressAutoHyphens/>
      <w:spacing w:line="240" w:lineRule="auto"/>
    </w:pPr>
    <w:rPr>
      <w:rFonts w:ascii="Arial" w:hAnsi="Arial"/>
      <w:sz w:val="20"/>
      <w:lang w:val="en-US"/>
    </w:rPr>
  </w:style>
  <w:style w:type="character" w:customStyle="1" w:styleId="EndnoteTextChar">
    <w:name w:val="Endnote Text Char"/>
    <w:link w:val="EndnoteText"/>
    <w:uiPriority w:val="99"/>
    <w:rsid w:val="00925686"/>
    <w:rPr>
      <w:rFonts w:ascii="Arial" w:eastAsia="Times New Roman" w:hAnsi="Arial" w:cs="Times New Roman"/>
      <w:sz w:val="20"/>
      <w:szCs w:val="20"/>
      <w:lang w:val="en-US"/>
    </w:rPr>
  </w:style>
  <w:style w:type="character" w:styleId="EndnoteReference">
    <w:name w:val="endnote reference"/>
    <w:uiPriority w:val="99"/>
    <w:unhideWhenUsed/>
    <w:rsid w:val="00925686"/>
    <w:rPr>
      <w:vertAlign w:val="superscript"/>
    </w:rPr>
  </w:style>
  <w:style w:type="paragraph" w:customStyle="1" w:styleId="FigureHolder">
    <w:name w:val="Figure Holder"/>
    <w:basedOn w:val="Normal"/>
    <w:next w:val="BodyText"/>
    <w:rsid w:val="00925686"/>
    <w:pPr>
      <w:tabs>
        <w:tab w:val="clear" w:pos="567"/>
      </w:tabs>
      <w:spacing w:before="240" w:after="120" w:line="276" w:lineRule="auto"/>
      <w:jc w:val="center"/>
    </w:pPr>
    <w:rPr>
      <w:rFonts w:ascii="Calibri" w:eastAsia="Calibri" w:hAnsi="Calibri"/>
      <w:szCs w:val="22"/>
      <w:lang w:val="en-US"/>
    </w:rPr>
  </w:style>
  <w:style w:type="paragraph" w:customStyle="1" w:styleId="TableFigureNote">
    <w:name w:val="Table/Figure Note"/>
    <w:basedOn w:val="Normal"/>
    <w:qFormat/>
    <w:rsid w:val="00925686"/>
    <w:pPr>
      <w:tabs>
        <w:tab w:val="clear" w:pos="567"/>
      </w:tabs>
      <w:spacing w:before="40" w:after="200" w:line="220" w:lineRule="exact"/>
      <w:ind w:left="144" w:hanging="144"/>
    </w:pPr>
    <w:rPr>
      <w:rFonts w:eastAsia="Calibri"/>
      <w:sz w:val="20"/>
      <w:szCs w:val="22"/>
      <w:lang w:val="en-US"/>
    </w:rPr>
  </w:style>
  <w:style w:type="paragraph" w:customStyle="1" w:styleId="TableCenterAlign">
    <w:name w:val="TableCenterAlign"/>
    <w:basedOn w:val="Normal"/>
    <w:rsid w:val="00925686"/>
    <w:pPr>
      <w:tabs>
        <w:tab w:val="clear" w:pos="567"/>
      </w:tabs>
      <w:suppressAutoHyphens/>
      <w:spacing w:before="60" w:after="60" w:line="240" w:lineRule="atLeast"/>
      <w:jc w:val="center"/>
    </w:pPr>
    <w:rPr>
      <w:rFonts w:ascii="Arial" w:hAnsi="Arial"/>
      <w:lang w:val="en-US"/>
    </w:rPr>
  </w:style>
  <w:style w:type="paragraph" w:styleId="ListBullet2">
    <w:name w:val="List Bullet 2"/>
    <w:basedOn w:val="Normal"/>
    <w:uiPriority w:val="99"/>
    <w:unhideWhenUsed/>
    <w:rsid w:val="00925686"/>
    <w:pPr>
      <w:numPr>
        <w:numId w:val="4"/>
      </w:numPr>
      <w:tabs>
        <w:tab w:val="clear" w:pos="567"/>
      </w:tabs>
      <w:suppressAutoHyphens/>
      <w:spacing w:line="240" w:lineRule="auto"/>
      <w:contextualSpacing/>
    </w:pPr>
    <w:rPr>
      <w:rFonts w:ascii="Arial" w:hAnsi="Arial"/>
      <w:lang w:val="en-US"/>
    </w:rPr>
  </w:style>
  <w:style w:type="paragraph" w:customStyle="1" w:styleId="Default">
    <w:name w:val="Default"/>
    <w:rsid w:val="00925686"/>
    <w:pPr>
      <w:autoSpaceDE w:val="0"/>
      <w:autoSpaceDN w:val="0"/>
      <w:adjustRightInd w:val="0"/>
    </w:pPr>
    <w:rPr>
      <w:rFonts w:ascii="Times New Roman" w:eastAsia="SimSun" w:hAnsi="Times New Roman" w:cs="Times New Roman"/>
      <w:color w:val="000000"/>
      <w:sz w:val="24"/>
      <w:szCs w:val="24"/>
    </w:rPr>
  </w:style>
  <w:style w:type="paragraph" w:styleId="BodyTextIndent">
    <w:name w:val="Body Text Indent"/>
    <w:basedOn w:val="Normal"/>
    <w:link w:val="BodyTextIndentChar"/>
    <w:rsid w:val="00925686"/>
    <w:pPr>
      <w:spacing w:after="120"/>
      <w:ind w:left="283"/>
    </w:pPr>
  </w:style>
  <w:style w:type="character" w:customStyle="1" w:styleId="BodyTextIndentChar">
    <w:name w:val="Body Text Indent Char"/>
    <w:link w:val="BodyTextIndent"/>
    <w:rsid w:val="00925686"/>
    <w:rPr>
      <w:rFonts w:ascii="Times New Roman" w:eastAsia="Times New Roman" w:hAnsi="Times New Roman" w:cs="Times New Roman"/>
      <w:szCs w:val="20"/>
    </w:rPr>
  </w:style>
  <w:style w:type="character" w:customStyle="1" w:styleId="Initial">
    <w:name w:val="Initial"/>
    <w:rsid w:val="00925686"/>
    <w:rPr>
      <w:rFonts w:ascii="CG Times" w:hAnsi="CG Times" w:cs="CG Times" w:hint="default"/>
      <w:noProof w:val="0"/>
      <w:sz w:val="24"/>
      <w:lang w:val="da-DK"/>
    </w:rPr>
  </w:style>
  <w:style w:type="character" w:styleId="Strong">
    <w:name w:val="Strong"/>
    <w:qFormat/>
    <w:rsid w:val="00925686"/>
    <w:rPr>
      <w:b/>
      <w:bCs/>
    </w:rPr>
  </w:style>
  <w:style w:type="character" w:styleId="Emphasis">
    <w:name w:val="Emphasis"/>
    <w:uiPriority w:val="99"/>
    <w:qFormat/>
    <w:rsid w:val="00925686"/>
    <w:rPr>
      <w:rFonts w:cs="Times New Roman"/>
      <w:i/>
    </w:rPr>
  </w:style>
  <w:style w:type="paragraph" w:customStyle="1" w:styleId="TitleA">
    <w:name w:val="Title A"/>
    <w:basedOn w:val="Normal"/>
    <w:qFormat/>
    <w:rsid w:val="00925686"/>
    <w:pPr>
      <w:spacing w:line="240" w:lineRule="auto"/>
      <w:jc w:val="center"/>
      <w:outlineLvl w:val="0"/>
    </w:pPr>
    <w:rPr>
      <w:b/>
    </w:rPr>
  </w:style>
  <w:style w:type="character" w:customStyle="1" w:styleId="bold">
    <w:name w:val="bold"/>
    <w:rsid w:val="00925686"/>
  </w:style>
  <w:style w:type="paragraph" w:customStyle="1" w:styleId="TitleB">
    <w:name w:val="Title B"/>
    <w:basedOn w:val="Normal"/>
    <w:qFormat/>
    <w:rsid w:val="00203AF2"/>
    <w:pPr>
      <w:keepNext/>
      <w:widowControl w:val="0"/>
      <w:tabs>
        <w:tab w:val="clear" w:pos="567"/>
      </w:tabs>
      <w:autoSpaceDE w:val="0"/>
      <w:autoSpaceDN w:val="0"/>
      <w:adjustRightInd w:val="0"/>
      <w:spacing w:line="240" w:lineRule="auto"/>
      <w:ind w:left="567" w:hanging="567"/>
    </w:pPr>
    <w:rPr>
      <w:rFonts w:eastAsia="Calibri" w:cs="Verdana"/>
      <w:b/>
      <w:bCs/>
      <w:color w:val="000000"/>
      <w:lang w:eastAsia="zh-CN"/>
    </w:rPr>
  </w:style>
  <w:style w:type="paragraph" w:customStyle="1" w:styleId="CM2">
    <w:name w:val="CM2"/>
    <w:basedOn w:val="Default"/>
    <w:next w:val="Default"/>
    <w:uiPriority w:val="99"/>
    <w:rsid w:val="00C017B9"/>
    <w:pPr>
      <w:widowControl w:val="0"/>
      <w:spacing w:line="253" w:lineRule="atLeast"/>
    </w:pPr>
    <w:rPr>
      <w:rFonts w:eastAsia="Times New Roman"/>
      <w:color w:val="auto"/>
    </w:rPr>
  </w:style>
  <w:style w:type="character" w:styleId="SubtleReference">
    <w:name w:val="Subtle Reference"/>
    <w:uiPriority w:val="31"/>
    <w:qFormat/>
    <w:rsid w:val="00903A3C"/>
    <w:rPr>
      <w:smallCaps/>
      <w:color w:val="C0504D"/>
      <w:u w:val="single"/>
    </w:rPr>
  </w:style>
  <w:style w:type="character" w:styleId="UnresolvedMention">
    <w:name w:val="Unresolved Mention"/>
    <w:uiPriority w:val="99"/>
    <w:semiHidden/>
    <w:unhideWhenUsed/>
    <w:rsid w:val="00B93079"/>
    <w:rPr>
      <w:color w:val="605E5C"/>
      <w:shd w:val="clear" w:color="auto" w:fill="E1DFDD"/>
    </w:rPr>
  </w:style>
  <w:style w:type="character" w:styleId="FollowedHyperlink">
    <w:name w:val="FollowedHyperlink"/>
    <w:uiPriority w:val="99"/>
    <w:semiHidden/>
    <w:unhideWhenUsed/>
    <w:rsid w:val="00EA5E15"/>
    <w:rPr>
      <w:color w:val="800080"/>
      <w:u w:val="single"/>
    </w:rPr>
  </w:style>
  <w:style w:type="paragraph" w:customStyle="1" w:styleId="Dnex1">
    <w:name w:val="Dnex1"/>
    <w:basedOn w:val="Normal"/>
    <w:qFormat/>
    <w:rsid w:val="00CE7466"/>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vanish/>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2325">
      <w:bodyDiv w:val="1"/>
      <w:marLeft w:val="0"/>
      <w:marRight w:val="0"/>
      <w:marTop w:val="0"/>
      <w:marBottom w:val="0"/>
      <w:divBdr>
        <w:top w:val="none" w:sz="0" w:space="0" w:color="auto"/>
        <w:left w:val="none" w:sz="0" w:space="0" w:color="auto"/>
        <w:bottom w:val="none" w:sz="0" w:space="0" w:color="auto"/>
        <w:right w:val="none" w:sz="0" w:space="0" w:color="auto"/>
      </w:divBdr>
    </w:div>
    <w:div w:id="16471709">
      <w:bodyDiv w:val="1"/>
      <w:marLeft w:val="0"/>
      <w:marRight w:val="0"/>
      <w:marTop w:val="0"/>
      <w:marBottom w:val="0"/>
      <w:divBdr>
        <w:top w:val="none" w:sz="0" w:space="0" w:color="auto"/>
        <w:left w:val="none" w:sz="0" w:space="0" w:color="auto"/>
        <w:bottom w:val="none" w:sz="0" w:space="0" w:color="auto"/>
        <w:right w:val="none" w:sz="0" w:space="0" w:color="auto"/>
      </w:divBdr>
    </w:div>
    <w:div w:id="44842972">
      <w:bodyDiv w:val="1"/>
      <w:marLeft w:val="0"/>
      <w:marRight w:val="0"/>
      <w:marTop w:val="0"/>
      <w:marBottom w:val="0"/>
      <w:divBdr>
        <w:top w:val="none" w:sz="0" w:space="0" w:color="auto"/>
        <w:left w:val="none" w:sz="0" w:space="0" w:color="auto"/>
        <w:bottom w:val="none" w:sz="0" w:space="0" w:color="auto"/>
        <w:right w:val="none" w:sz="0" w:space="0" w:color="auto"/>
      </w:divBdr>
    </w:div>
    <w:div w:id="233904707">
      <w:bodyDiv w:val="1"/>
      <w:marLeft w:val="0"/>
      <w:marRight w:val="0"/>
      <w:marTop w:val="0"/>
      <w:marBottom w:val="0"/>
      <w:divBdr>
        <w:top w:val="none" w:sz="0" w:space="0" w:color="auto"/>
        <w:left w:val="none" w:sz="0" w:space="0" w:color="auto"/>
        <w:bottom w:val="none" w:sz="0" w:space="0" w:color="auto"/>
        <w:right w:val="none" w:sz="0" w:space="0" w:color="auto"/>
      </w:divBdr>
    </w:div>
    <w:div w:id="314917700">
      <w:bodyDiv w:val="1"/>
      <w:marLeft w:val="0"/>
      <w:marRight w:val="0"/>
      <w:marTop w:val="0"/>
      <w:marBottom w:val="0"/>
      <w:divBdr>
        <w:top w:val="none" w:sz="0" w:space="0" w:color="auto"/>
        <w:left w:val="none" w:sz="0" w:space="0" w:color="auto"/>
        <w:bottom w:val="none" w:sz="0" w:space="0" w:color="auto"/>
        <w:right w:val="none" w:sz="0" w:space="0" w:color="auto"/>
      </w:divBdr>
    </w:div>
    <w:div w:id="439956932">
      <w:bodyDiv w:val="1"/>
      <w:marLeft w:val="0"/>
      <w:marRight w:val="0"/>
      <w:marTop w:val="0"/>
      <w:marBottom w:val="0"/>
      <w:divBdr>
        <w:top w:val="none" w:sz="0" w:space="0" w:color="auto"/>
        <w:left w:val="none" w:sz="0" w:space="0" w:color="auto"/>
        <w:bottom w:val="none" w:sz="0" w:space="0" w:color="auto"/>
        <w:right w:val="none" w:sz="0" w:space="0" w:color="auto"/>
      </w:divBdr>
    </w:div>
    <w:div w:id="444080791">
      <w:bodyDiv w:val="1"/>
      <w:marLeft w:val="0"/>
      <w:marRight w:val="0"/>
      <w:marTop w:val="0"/>
      <w:marBottom w:val="0"/>
      <w:divBdr>
        <w:top w:val="none" w:sz="0" w:space="0" w:color="auto"/>
        <w:left w:val="none" w:sz="0" w:space="0" w:color="auto"/>
        <w:bottom w:val="none" w:sz="0" w:space="0" w:color="auto"/>
        <w:right w:val="none" w:sz="0" w:space="0" w:color="auto"/>
      </w:divBdr>
    </w:div>
    <w:div w:id="929893229">
      <w:bodyDiv w:val="1"/>
      <w:marLeft w:val="0"/>
      <w:marRight w:val="0"/>
      <w:marTop w:val="0"/>
      <w:marBottom w:val="0"/>
      <w:divBdr>
        <w:top w:val="none" w:sz="0" w:space="0" w:color="auto"/>
        <w:left w:val="none" w:sz="0" w:space="0" w:color="auto"/>
        <w:bottom w:val="none" w:sz="0" w:space="0" w:color="auto"/>
        <w:right w:val="none" w:sz="0" w:space="0" w:color="auto"/>
      </w:divBdr>
    </w:div>
    <w:div w:id="992366727">
      <w:bodyDiv w:val="1"/>
      <w:marLeft w:val="0"/>
      <w:marRight w:val="0"/>
      <w:marTop w:val="0"/>
      <w:marBottom w:val="0"/>
      <w:divBdr>
        <w:top w:val="none" w:sz="0" w:space="0" w:color="auto"/>
        <w:left w:val="none" w:sz="0" w:space="0" w:color="auto"/>
        <w:bottom w:val="none" w:sz="0" w:space="0" w:color="auto"/>
        <w:right w:val="none" w:sz="0" w:space="0" w:color="auto"/>
      </w:divBdr>
    </w:div>
    <w:div w:id="1000736555">
      <w:bodyDiv w:val="1"/>
      <w:marLeft w:val="0"/>
      <w:marRight w:val="0"/>
      <w:marTop w:val="0"/>
      <w:marBottom w:val="0"/>
      <w:divBdr>
        <w:top w:val="none" w:sz="0" w:space="0" w:color="auto"/>
        <w:left w:val="none" w:sz="0" w:space="0" w:color="auto"/>
        <w:bottom w:val="none" w:sz="0" w:space="0" w:color="auto"/>
        <w:right w:val="none" w:sz="0" w:space="0" w:color="auto"/>
      </w:divBdr>
    </w:div>
    <w:div w:id="1035812936">
      <w:bodyDiv w:val="1"/>
      <w:marLeft w:val="0"/>
      <w:marRight w:val="0"/>
      <w:marTop w:val="0"/>
      <w:marBottom w:val="0"/>
      <w:divBdr>
        <w:top w:val="none" w:sz="0" w:space="0" w:color="auto"/>
        <w:left w:val="none" w:sz="0" w:space="0" w:color="auto"/>
        <w:bottom w:val="none" w:sz="0" w:space="0" w:color="auto"/>
        <w:right w:val="none" w:sz="0" w:space="0" w:color="auto"/>
      </w:divBdr>
    </w:div>
    <w:div w:id="1197038405">
      <w:bodyDiv w:val="1"/>
      <w:marLeft w:val="0"/>
      <w:marRight w:val="0"/>
      <w:marTop w:val="0"/>
      <w:marBottom w:val="0"/>
      <w:divBdr>
        <w:top w:val="none" w:sz="0" w:space="0" w:color="auto"/>
        <w:left w:val="none" w:sz="0" w:space="0" w:color="auto"/>
        <w:bottom w:val="none" w:sz="0" w:space="0" w:color="auto"/>
        <w:right w:val="none" w:sz="0" w:space="0" w:color="auto"/>
      </w:divBdr>
    </w:div>
    <w:div w:id="1282807016">
      <w:bodyDiv w:val="1"/>
      <w:marLeft w:val="0"/>
      <w:marRight w:val="0"/>
      <w:marTop w:val="0"/>
      <w:marBottom w:val="0"/>
      <w:divBdr>
        <w:top w:val="none" w:sz="0" w:space="0" w:color="auto"/>
        <w:left w:val="none" w:sz="0" w:space="0" w:color="auto"/>
        <w:bottom w:val="none" w:sz="0" w:space="0" w:color="auto"/>
        <w:right w:val="none" w:sz="0" w:space="0" w:color="auto"/>
      </w:divBdr>
    </w:div>
    <w:div w:id="1437367050">
      <w:bodyDiv w:val="1"/>
      <w:marLeft w:val="0"/>
      <w:marRight w:val="0"/>
      <w:marTop w:val="0"/>
      <w:marBottom w:val="0"/>
      <w:divBdr>
        <w:top w:val="none" w:sz="0" w:space="0" w:color="auto"/>
        <w:left w:val="none" w:sz="0" w:space="0" w:color="auto"/>
        <w:bottom w:val="none" w:sz="0" w:space="0" w:color="auto"/>
        <w:right w:val="none" w:sz="0" w:space="0" w:color="auto"/>
      </w:divBdr>
    </w:div>
    <w:div w:id="1681157204">
      <w:bodyDiv w:val="1"/>
      <w:marLeft w:val="0"/>
      <w:marRight w:val="0"/>
      <w:marTop w:val="0"/>
      <w:marBottom w:val="0"/>
      <w:divBdr>
        <w:top w:val="none" w:sz="0" w:space="0" w:color="auto"/>
        <w:left w:val="none" w:sz="0" w:space="0" w:color="auto"/>
        <w:bottom w:val="none" w:sz="0" w:space="0" w:color="auto"/>
        <w:right w:val="none" w:sz="0" w:space="0" w:color="auto"/>
      </w:divBdr>
    </w:div>
    <w:div w:id="1948807484">
      <w:bodyDiv w:val="1"/>
      <w:marLeft w:val="0"/>
      <w:marRight w:val="0"/>
      <w:marTop w:val="0"/>
      <w:marBottom w:val="0"/>
      <w:divBdr>
        <w:top w:val="none" w:sz="0" w:space="0" w:color="auto"/>
        <w:left w:val="none" w:sz="0" w:space="0" w:color="auto"/>
        <w:bottom w:val="none" w:sz="0" w:space="0" w:color="auto"/>
        <w:right w:val="none" w:sz="0" w:space="0" w:color="auto"/>
      </w:divBdr>
    </w:div>
    <w:div w:id="1961910759">
      <w:bodyDiv w:val="1"/>
      <w:marLeft w:val="0"/>
      <w:marRight w:val="0"/>
      <w:marTop w:val="0"/>
      <w:marBottom w:val="0"/>
      <w:divBdr>
        <w:top w:val="none" w:sz="0" w:space="0" w:color="auto"/>
        <w:left w:val="none" w:sz="0" w:space="0" w:color="auto"/>
        <w:bottom w:val="none" w:sz="0" w:space="0" w:color="auto"/>
        <w:right w:val="none" w:sz="0" w:space="0" w:color="auto"/>
      </w:divBdr>
    </w:div>
    <w:div w:id="212704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ma.europa.eu/en/medicines/human/EPAR/kanjint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e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http://www.ema.europa.e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ma.europa.eu/docs/en_GB/document_library/Template_or_form/2013/03/WC500139752.do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i="http://www.w3.org/2001/XMLSchema-instance" xmlns:xsd="http://www.w3.org/2001/XMLSchema" xmlns="http://www.boldonjames.com/2008/01/sie/internal/label" sislVersion="0" policy="82ad3a63-90ad-4a46-a3cb-757f4658e205" origin="userSelected">
  <element uid="768aceb2-b366-4b48-827b-e820edc548bd" value=""/>
</sisl>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EMADOC-1700519818-2133454</_dlc_DocId>
    <_dlc_DocIdUrl xmlns="a034c160-bfb7-45f5-8632-2eb7e0508071">
      <Url>https://euema.sharepoint.com/sites/CRM/_layouts/15/DocIdRedir.aspx?ID=EMADOC-1700519818-2133454</Url>
      <Description>EMADOC-1700519818-2133454</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C9B80C-76DA-4E9D-A2E4-B88F9754E1E9}">
  <ds:schemaRefs>
    <ds:schemaRef ds:uri="http://schemas.microsoft.com/sharepoint/v3/contenttype/forms"/>
  </ds:schemaRefs>
</ds:datastoreItem>
</file>

<file path=customXml/itemProps2.xml><?xml version="1.0" encoding="utf-8"?>
<ds:datastoreItem xmlns:ds="http://schemas.openxmlformats.org/officeDocument/2006/customXml" ds:itemID="{7E285E6F-2039-4D79-AD24-585B5F40B55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A16DA99B-3B40-454D-92C1-9B83A0D9F6FB}"/>
</file>

<file path=customXml/itemProps4.xml><?xml version="1.0" encoding="utf-8"?>
<ds:datastoreItem xmlns:ds="http://schemas.openxmlformats.org/officeDocument/2006/customXml" ds:itemID="{47EA7DD1-9C7F-40ED-93B6-7FB0F4DB1FF3}">
  <ds:schemaRefs>
    <ds:schemaRef ds:uri="http://schemas.openxmlformats.org/officeDocument/2006/bibliography"/>
  </ds:schemaRefs>
</ds:datastoreItem>
</file>

<file path=customXml/itemProps5.xml><?xml version="1.0" encoding="utf-8"?>
<ds:datastoreItem xmlns:ds="http://schemas.openxmlformats.org/officeDocument/2006/customXml" ds:itemID="{C59E1B4F-EB07-493A-B564-507F209D7300}">
  <ds:schemaRefs>
    <ds:schemaRef ds:uri="http://www.w3.org/XML/1998/namespace"/>
    <ds:schemaRef ds:uri="312f7304-ebcd-48dd-ade2-8f80d7b47256"/>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 ds:uri="5e7f6ede-f79f-49ab-b072-eddec9e3613d"/>
  </ds:schemaRefs>
</ds:datastoreItem>
</file>

<file path=customXml/itemProps6.xml><?xml version="1.0" encoding="utf-8"?>
<ds:datastoreItem xmlns:ds="http://schemas.openxmlformats.org/officeDocument/2006/customXml" ds:itemID="{13C1EE9A-A709-4CAB-AC25-214598BF47DA}"/>
</file>

<file path=docProps/app.xml><?xml version="1.0" encoding="utf-8"?>
<Properties xmlns="http://schemas.openxmlformats.org/officeDocument/2006/extended-properties" xmlns:vt="http://schemas.openxmlformats.org/officeDocument/2006/docPropsVTypes">
  <Template>Normal</Template>
  <TotalTime>0</TotalTime>
  <Pages>56</Pages>
  <Words>17811</Words>
  <Characters>101526</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Kanjinti: EPAR – Product information – tracked changes</vt:lpstr>
    </vt:vector>
  </TitlesOfParts>
  <Company/>
  <LinksUpToDate>false</LinksUpToDate>
  <CharactersWithSpaces>119099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Kanjinti: EPAR – Product information – tracked changes</dc:title>
  <dc:subject/>
  <dc:creator/>
  <cp:keywords/>
  <dc:description/>
  <cp:lastModifiedBy/>
  <cp:revision>1</cp:revision>
  <dcterms:created xsi:type="dcterms:W3CDTF">2025-02-26T07:20:00Z</dcterms:created>
  <dcterms:modified xsi:type="dcterms:W3CDTF">2025-05-06T10:22:00Z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SIP_Label_709e25d6-0896-421b-b69d-da2c03de890a_Enabled">
    <vt:lpwstr>true</vt:lpwstr>
  </property>
  <property fmtid="{D5CDD505-2E9C-101B-9397-08002B2CF9AE}" pid="4" name="MSIP_Label_709e25d6-0896-421b-b69d-da2c03de890a_SetDate">
    <vt:lpwstr>2025-05-06T09:59:02Z</vt:lpwstr>
  </property>
  <property fmtid="{D5CDD505-2E9C-101B-9397-08002B2CF9AE}" pid="5" name="MSIP_Label_709e25d6-0896-421b-b69d-da2c03de890a_Method">
    <vt:lpwstr>Privileged</vt:lpwstr>
  </property>
  <property fmtid="{D5CDD505-2E9C-101B-9397-08002B2CF9AE}" pid="6" name="MSIP_Label_709e25d6-0896-421b-b69d-da2c03de890a_Name">
    <vt:lpwstr>Confidential Ethics and Compliance (no marking)</vt:lpwstr>
  </property>
  <property fmtid="{D5CDD505-2E9C-101B-9397-08002B2CF9AE}" pid="7" name="MSIP_Label_709e25d6-0896-421b-b69d-da2c03de890a_SiteId">
    <vt:lpwstr>4b4266a6-1368-41af-ad5a-59eb634f7ad8</vt:lpwstr>
  </property>
  <property fmtid="{D5CDD505-2E9C-101B-9397-08002B2CF9AE}" pid="8" name="MSIP_Label_709e25d6-0896-421b-b69d-da2c03de890a_ActionId">
    <vt:lpwstr>eae0dc59-cdff-401c-b94d-ea3bf4150006</vt:lpwstr>
  </property>
  <property fmtid="{D5CDD505-2E9C-101B-9397-08002B2CF9AE}" pid="9" name="MSIP_Label_709e25d6-0896-421b-b69d-da2c03de890a_ContentBits">
    <vt:lpwstr>0</vt:lpwstr>
  </property>
  <property fmtid="{D5CDD505-2E9C-101B-9397-08002B2CF9AE}" pid="10" name="MSIP_Label_709e25d6-0896-421b-b69d-da2c03de890a_Tag">
    <vt:lpwstr>10, 0, 1, 1</vt:lpwstr>
  </property>
  <property fmtid="{D5CDD505-2E9C-101B-9397-08002B2CF9AE}" pid="11" name="_dlc_DocIdItemGuid">
    <vt:lpwstr>e8d660f4-a8b3-49d7-9582-cf626f7ae074</vt:lpwstr>
  </property>
</Properties>
</file>