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B27C" w14:textId="77777777" w:rsidR="00047E69" w:rsidRPr="004228B0" w:rsidRDefault="00047E69" w:rsidP="004228B0">
      <w:pPr>
        <w:adjustRightInd w:val="0"/>
        <w:snapToGrid w:val="0"/>
        <w:rPr>
          <w:rFonts w:ascii="Times New Roman" w:hAnsi="Times New Roman" w:cs="Times New Roman"/>
          <w:lang w:eastAsia="ko-KR"/>
        </w:rPr>
      </w:pPr>
    </w:p>
    <w:p w14:paraId="68E721A6" w14:textId="77777777" w:rsidR="00047E69" w:rsidRPr="004228B0" w:rsidRDefault="00047E69" w:rsidP="004228B0">
      <w:pPr>
        <w:adjustRightInd w:val="0"/>
        <w:snapToGrid w:val="0"/>
        <w:rPr>
          <w:rFonts w:ascii="Times New Roman" w:eastAsia="Times New Roman" w:hAnsi="Times New Roman" w:cs="Times New Roman"/>
        </w:rPr>
      </w:pPr>
    </w:p>
    <w:p w14:paraId="0602DF02" w14:textId="77777777" w:rsidR="00047E69" w:rsidRPr="004228B0" w:rsidRDefault="00047E69" w:rsidP="004228B0">
      <w:pPr>
        <w:adjustRightInd w:val="0"/>
        <w:snapToGrid w:val="0"/>
        <w:rPr>
          <w:rFonts w:ascii="Times New Roman" w:eastAsia="Times New Roman" w:hAnsi="Times New Roman" w:cs="Times New Roman"/>
        </w:rPr>
      </w:pPr>
    </w:p>
    <w:p w14:paraId="37321350" w14:textId="77777777" w:rsidR="00047E69" w:rsidRPr="004228B0" w:rsidRDefault="00047E69" w:rsidP="004228B0">
      <w:pPr>
        <w:adjustRightInd w:val="0"/>
        <w:snapToGrid w:val="0"/>
        <w:rPr>
          <w:rFonts w:ascii="Times New Roman" w:eastAsia="Times New Roman" w:hAnsi="Times New Roman" w:cs="Times New Roman"/>
        </w:rPr>
      </w:pPr>
    </w:p>
    <w:p w14:paraId="171BB7C3" w14:textId="77777777" w:rsidR="00047E69" w:rsidRPr="004228B0" w:rsidRDefault="00047E69" w:rsidP="004228B0">
      <w:pPr>
        <w:adjustRightInd w:val="0"/>
        <w:snapToGrid w:val="0"/>
        <w:rPr>
          <w:rFonts w:ascii="Times New Roman" w:eastAsia="Times New Roman" w:hAnsi="Times New Roman" w:cs="Times New Roman"/>
        </w:rPr>
      </w:pPr>
    </w:p>
    <w:p w14:paraId="1D656332" w14:textId="77777777" w:rsidR="00047E69" w:rsidRPr="004228B0" w:rsidRDefault="00047E69" w:rsidP="004228B0">
      <w:pPr>
        <w:adjustRightInd w:val="0"/>
        <w:snapToGrid w:val="0"/>
        <w:rPr>
          <w:rFonts w:ascii="Times New Roman" w:eastAsia="Times New Roman" w:hAnsi="Times New Roman" w:cs="Times New Roman"/>
        </w:rPr>
      </w:pPr>
    </w:p>
    <w:p w14:paraId="559B4736" w14:textId="77777777" w:rsidR="00047E69" w:rsidRPr="004228B0" w:rsidRDefault="00047E69" w:rsidP="004228B0">
      <w:pPr>
        <w:adjustRightInd w:val="0"/>
        <w:snapToGrid w:val="0"/>
        <w:rPr>
          <w:rFonts w:ascii="Times New Roman" w:eastAsia="Times New Roman" w:hAnsi="Times New Roman" w:cs="Times New Roman"/>
        </w:rPr>
      </w:pPr>
    </w:p>
    <w:p w14:paraId="4107B87C" w14:textId="77777777" w:rsidR="00047E69" w:rsidRPr="004228B0" w:rsidRDefault="00047E69" w:rsidP="004228B0">
      <w:pPr>
        <w:adjustRightInd w:val="0"/>
        <w:snapToGrid w:val="0"/>
        <w:rPr>
          <w:rFonts w:ascii="Times New Roman" w:eastAsia="Times New Roman" w:hAnsi="Times New Roman" w:cs="Times New Roman"/>
        </w:rPr>
      </w:pPr>
    </w:p>
    <w:p w14:paraId="603D4D07" w14:textId="77777777" w:rsidR="00047E69" w:rsidRPr="004228B0" w:rsidRDefault="00047E69" w:rsidP="004228B0">
      <w:pPr>
        <w:adjustRightInd w:val="0"/>
        <w:snapToGrid w:val="0"/>
        <w:rPr>
          <w:rFonts w:ascii="Times New Roman" w:eastAsia="Times New Roman" w:hAnsi="Times New Roman" w:cs="Times New Roman"/>
        </w:rPr>
      </w:pPr>
    </w:p>
    <w:p w14:paraId="2AC0F989" w14:textId="77777777" w:rsidR="00047E69" w:rsidRPr="004228B0" w:rsidRDefault="00047E69" w:rsidP="004228B0">
      <w:pPr>
        <w:adjustRightInd w:val="0"/>
        <w:snapToGrid w:val="0"/>
        <w:rPr>
          <w:rFonts w:ascii="Times New Roman" w:eastAsia="Times New Roman" w:hAnsi="Times New Roman" w:cs="Times New Roman"/>
        </w:rPr>
      </w:pPr>
    </w:p>
    <w:p w14:paraId="4831B723" w14:textId="77777777" w:rsidR="00047E69" w:rsidRPr="004228B0" w:rsidRDefault="00047E69" w:rsidP="004228B0">
      <w:pPr>
        <w:adjustRightInd w:val="0"/>
        <w:snapToGrid w:val="0"/>
        <w:rPr>
          <w:rFonts w:ascii="Times New Roman" w:eastAsia="Times New Roman" w:hAnsi="Times New Roman" w:cs="Times New Roman"/>
        </w:rPr>
      </w:pPr>
    </w:p>
    <w:p w14:paraId="364BA6A9" w14:textId="77777777" w:rsidR="00047E69" w:rsidRPr="004228B0" w:rsidRDefault="00047E69" w:rsidP="004228B0">
      <w:pPr>
        <w:adjustRightInd w:val="0"/>
        <w:snapToGrid w:val="0"/>
        <w:rPr>
          <w:rFonts w:ascii="Times New Roman" w:eastAsia="Times New Roman" w:hAnsi="Times New Roman" w:cs="Times New Roman"/>
        </w:rPr>
      </w:pPr>
    </w:p>
    <w:p w14:paraId="0F457F48" w14:textId="77777777" w:rsidR="00047E69" w:rsidRPr="004228B0" w:rsidRDefault="00047E69" w:rsidP="004228B0">
      <w:pPr>
        <w:adjustRightInd w:val="0"/>
        <w:snapToGrid w:val="0"/>
        <w:rPr>
          <w:rFonts w:ascii="Times New Roman" w:eastAsia="Times New Roman" w:hAnsi="Times New Roman" w:cs="Times New Roman"/>
        </w:rPr>
      </w:pPr>
    </w:p>
    <w:p w14:paraId="7830B77B" w14:textId="77777777" w:rsidR="00047E69" w:rsidRPr="004228B0" w:rsidRDefault="00047E69" w:rsidP="004228B0">
      <w:pPr>
        <w:adjustRightInd w:val="0"/>
        <w:snapToGrid w:val="0"/>
        <w:rPr>
          <w:rFonts w:ascii="Times New Roman" w:eastAsia="Times New Roman" w:hAnsi="Times New Roman" w:cs="Times New Roman"/>
        </w:rPr>
      </w:pPr>
    </w:p>
    <w:p w14:paraId="7FFBF113" w14:textId="77777777" w:rsidR="00047E69" w:rsidRPr="004228B0" w:rsidRDefault="00047E69" w:rsidP="004228B0">
      <w:pPr>
        <w:adjustRightInd w:val="0"/>
        <w:snapToGrid w:val="0"/>
        <w:rPr>
          <w:rFonts w:ascii="Times New Roman" w:eastAsia="Times New Roman" w:hAnsi="Times New Roman" w:cs="Times New Roman"/>
        </w:rPr>
      </w:pPr>
    </w:p>
    <w:p w14:paraId="7F5C6ECB" w14:textId="77777777" w:rsidR="00047E69" w:rsidRPr="004228B0" w:rsidRDefault="00047E69" w:rsidP="004228B0">
      <w:pPr>
        <w:adjustRightInd w:val="0"/>
        <w:snapToGrid w:val="0"/>
        <w:rPr>
          <w:rFonts w:ascii="Times New Roman" w:eastAsia="Times New Roman" w:hAnsi="Times New Roman" w:cs="Times New Roman"/>
        </w:rPr>
      </w:pPr>
    </w:p>
    <w:p w14:paraId="18135C8E" w14:textId="77777777" w:rsidR="00047E69" w:rsidRPr="004228B0" w:rsidRDefault="00047E69" w:rsidP="004228B0">
      <w:pPr>
        <w:adjustRightInd w:val="0"/>
        <w:snapToGrid w:val="0"/>
        <w:rPr>
          <w:rFonts w:ascii="Times New Roman" w:eastAsia="Times New Roman" w:hAnsi="Times New Roman" w:cs="Times New Roman"/>
        </w:rPr>
      </w:pPr>
    </w:p>
    <w:p w14:paraId="39D28256" w14:textId="77777777" w:rsidR="00047E69" w:rsidRPr="004228B0" w:rsidRDefault="00047E69" w:rsidP="004228B0">
      <w:pPr>
        <w:adjustRightInd w:val="0"/>
        <w:snapToGrid w:val="0"/>
        <w:rPr>
          <w:rFonts w:ascii="Times New Roman" w:eastAsia="Times New Roman" w:hAnsi="Times New Roman" w:cs="Times New Roman"/>
        </w:rPr>
      </w:pPr>
    </w:p>
    <w:p w14:paraId="5BDEF369" w14:textId="77777777" w:rsidR="00047E69" w:rsidRPr="004228B0" w:rsidRDefault="00047E69" w:rsidP="004228B0">
      <w:pPr>
        <w:adjustRightInd w:val="0"/>
        <w:snapToGrid w:val="0"/>
        <w:rPr>
          <w:rFonts w:ascii="Times New Roman" w:eastAsia="Times New Roman" w:hAnsi="Times New Roman" w:cs="Times New Roman"/>
        </w:rPr>
      </w:pPr>
    </w:p>
    <w:p w14:paraId="132CD8A4" w14:textId="77777777" w:rsidR="00047E69" w:rsidRPr="004228B0" w:rsidRDefault="00047E69" w:rsidP="004228B0">
      <w:pPr>
        <w:adjustRightInd w:val="0"/>
        <w:snapToGrid w:val="0"/>
        <w:rPr>
          <w:rFonts w:ascii="Times New Roman" w:eastAsia="Times New Roman" w:hAnsi="Times New Roman" w:cs="Times New Roman"/>
        </w:rPr>
      </w:pPr>
    </w:p>
    <w:p w14:paraId="3A7FC8B8" w14:textId="77777777" w:rsidR="00047E69" w:rsidRPr="004228B0" w:rsidRDefault="00047E69" w:rsidP="004228B0">
      <w:pPr>
        <w:adjustRightInd w:val="0"/>
        <w:snapToGrid w:val="0"/>
        <w:rPr>
          <w:rFonts w:ascii="Times New Roman" w:eastAsia="Times New Roman" w:hAnsi="Times New Roman" w:cs="Times New Roman"/>
        </w:rPr>
      </w:pPr>
    </w:p>
    <w:p w14:paraId="53441D13" w14:textId="77777777" w:rsidR="00047E69" w:rsidRPr="004228B0" w:rsidRDefault="00047E69" w:rsidP="004228B0">
      <w:pPr>
        <w:adjustRightInd w:val="0"/>
        <w:snapToGrid w:val="0"/>
        <w:rPr>
          <w:rFonts w:ascii="Times New Roman" w:eastAsia="Times New Roman" w:hAnsi="Times New Roman" w:cs="Times New Roman"/>
        </w:rPr>
      </w:pPr>
    </w:p>
    <w:p w14:paraId="771C40C2" w14:textId="77777777" w:rsidR="00047E69" w:rsidRPr="004228B0" w:rsidRDefault="00047E69" w:rsidP="004228B0">
      <w:pPr>
        <w:adjustRightInd w:val="0"/>
        <w:snapToGrid w:val="0"/>
        <w:spacing w:before="1"/>
        <w:rPr>
          <w:rFonts w:ascii="Times New Roman" w:eastAsia="Times New Roman" w:hAnsi="Times New Roman" w:cs="Times New Roman"/>
        </w:rPr>
      </w:pPr>
    </w:p>
    <w:p w14:paraId="4A60EA8D" w14:textId="21C8D33E" w:rsidR="006E5793" w:rsidRPr="00133CA0" w:rsidRDefault="00C210A5" w:rsidP="007739FA">
      <w:pPr>
        <w:spacing w:before="72"/>
        <w:jc w:val="center"/>
        <w:rPr>
          <w:rFonts w:ascii="Times New Roman" w:hAnsi="Times New Roman" w:cs="Times New Roman"/>
          <w:b/>
          <w:bCs/>
        </w:rPr>
      </w:pPr>
      <w:r w:rsidRPr="00133CA0">
        <w:rPr>
          <w:rFonts w:ascii="Times New Roman" w:hAnsi="Times New Roman" w:cs="Times New Roman"/>
          <w:b/>
          <w:bCs/>
          <w:spacing w:val="-1"/>
        </w:rPr>
        <w:t>ANNEX</w:t>
      </w:r>
      <w:r w:rsidRPr="00133CA0">
        <w:rPr>
          <w:rFonts w:ascii="Times New Roman" w:hAnsi="Times New Roman" w:cs="Times New Roman"/>
          <w:b/>
          <w:bCs/>
          <w:spacing w:val="1"/>
        </w:rPr>
        <w:t xml:space="preserve"> </w:t>
      </w:r>
      <w:r w:rsidRPr="00133CA0">
        <w:rPr>
          <w:rFonts w:ascii="Times New Roman" w:hAnsi="Times New Roman" w:cs="Times New Roman"/>
          <w:b/>
          <w:bCs/>
        </w:rPr>
        <w:t>I</w:t>
      </w:r>
    </w:p>
    <w:p w14:paraId="584A71CD" w14:textId="77777777" w:rsidR="00047E69" w:rsidRPr="006E5793" w:rsidRDefault="00047E69" w:rsidP="007739FA">
      <w:pPr>
        <w:spacing w:before="72"/>
      </w:pPr>
    </w:p>
    <w:p w14:paraId="0B894E6F" w14:textId="1128E9F7" w:rsidR="00047E69" w:rsidRPr="007739FA" w:rsidRDefault="00C210A5" w:rsidP="007739FA">
      <w:pPr>
        <w:pStyle w:val="TitleA"/>
        <w:rPr>
          <w:rFonts w:eastAsiaTheme="minorEastAsia" w:cs="Times New Roman"/>
          <w:lang w:eastAsia="ko-KR"/>
        </w:rPr>
        <w:sectPr w:rsidR="00047E69" w:rsidRPr="007739FA" w:rsidSect="0060266A">
          <w:footerReference w:type="default" r:id="rId12"/>
          <w:type w:val="continuous"/>
          <w:pgSz w:w="11910" w:h="16840" w:code="9"/>
          <w:pgMar w:top="1134" w:right="1418" w:bottom="1134" w:left="1418" w:header="737" w:footer="737" w:gutter="0"/>
          <w:pgNumType w:start="1"/>
          <w:cols w:space="720"/>
        </w:sectPr>
      </w:pPr>
      <w:bookmarkStart w:id="0" w:name="summary"/>
      <w:r w:rsidRPr="006E5793">
        <w:rPr>
          <w:spacing w:val="-2"/>
        </w:rPr>
        <w:t>SUMMARY</w:t>
      </w:r>
      <w:r w:rsidRPr="006E5793">
        <w:rPr>
          <w:spacing w:val="1"/>
        </w:rPr>
        <w:t xml:space="preserve"> </w:t>
      </w:r>
      <w:bookmarkEnd w:id="0"/>
      <w:r w:rsidRPr="006E5793">
        <w:t>OF</w:t>
      </w:r>
      <w:r w:rsidRPr="006E5793">
        <w:rPr>
          <w:spacing w:val="-3"/>
        </w:rPr>
        <w:t xml:space="preserve"> </w:t>
      </w:r>
      <w:r w:rsidRPr="006E5793">
        <w:rPr>
          <w:spacing w:val="-2"/>
        </w:rPr>
        <w:t>PRODUCT</w:t>
      </w:r>
      <w:r w:rsidRPr="006E5793">
        <w:rPr>
          <w:spacing w:val="4"/>
        </w:rPr>
        <w:t xml:space="preserve"> </w:t>
      </w:r>
      <w:r w:rsidRPr="006E5793">
        <w:t>CHARACTERISTICS</w:t>
      </w:r>
    </w:p>
    <w:p w14:paraId="2D929ED7" w14:textId="77777777" w:rsidR="00047E69" w:rsidRPr="00BA2598" w:rsidRDefault="00C210A5" w:rsidP="004228B0">
      <w:pPr>
        <w:pStyle w:val="a5"/>
        <w:tabs>
          <w:tab w:val="left" w:pos="686"/>
        </w:tabs>
        <w:kinsoku w:val="0"/>
        <w:overflowPunct w:val="0"/>
        <w:adjustRightInd w:val="0"/>
        <w:snapToGrid w:val="0"/>
        <w:spacing w:before="50"/>
        <w:rPr>
          <w:rFonts w:eastAsia="맑은 고딕"/>
        </w:rPr>
      </w:pPr>
      <w:r>
        <w:rPr>
          <w:noProof/>
          <w:lang w:eastAsia="ko-KR"/>
        </w:rPr>
        <w:lastRenderedPageBreak/>
        <w:drawing>
          <wp:inline distT="0" distB="0" distL="0" distR="0" wp14:anchorId="0DB9C367" wp14:editId="2A8A091B">
            <wp:extent cx="198755" cy="17462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17461" name="그림 3"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8755" cy="174625"/>
                    </a:xfrm>
                    <a:prstGeom prst="rect">
                      <a:avLst/>
                    </a:prstGeom>
                    <a:noFill/>
                    <a:ln>
                      <a:noFill/>
                    </a:ln>
                  </pic:spPr>
                </pic:pic>
              </a:graphicData>
            </a:graphic>
          </wp:inline>
        </w:drawing>
      </w:r>
      <w:r w:rsidRPr="00BA2598">
        <w:t>This medicinal product is subject to additional monitoring. This will allow quick identification of new safety information. Healthcare professionals are asked to report any suspected adverse reactions. See section 4.8 for how to report adverse reactions</w:t>
      </w:r>
      <w:r w:rsidRPr="00BA2598">
        <w:rPr>
          <w:rFonts w:eastAsia="맑은 고딕"/>
        </w:rPr>
        <w:t>.</w:t>
      </w:r>
    </w:p>
    <w:p w14:paraId="6CE45F84" w14:textId="151CB4D1" w:rsidR="00047E69" w:rsidRPr="00BA2598" w:rsidRDefault="00047E69" w:rsidP="001E6F77">
      <w:pPr>
        <w:tabs>
          <w:tab w:val="left" w:pos="683"/>
        </w:tabs>
        <w:adjustRightInd w:val="0"/>
        <w:snapToGrid w:val="0"/>
        <w:rPr>
          <w:rFonts w:ascii="Times New Roman" w:eastAsia="Times New Roman" w:hAnsi="Times New Roman" w:cs="Times New Roman"/>
        </w:rPr>
      </w:pPr>
    </w:p>
    <w:p w14:paraId="0951612A" w14:textId="77777777" w:rsidR="0093187A" w:rsidRPr="00BA2598" w:rsidRDefault="0093187A" w:rsidP="00816656">
      <w:pPr>
        <w:widowControl/>
        <w:tabs>
          <w:tab w:val="left" w:pos="683"/>
        </w:tabs>
        <w:adjustRightInd w:val="0"/>
        <w:snapToGrid w:val="0"/>
        <w:rPr>
          <w:rFonts w:ascii="Times New Roman" w:eastAsia="Times New Roman" w:hAnsi="Times New Roman" w:cs="Times New Roman"/>
        </w:rPr>
      </w:pPr>
    </w:p>
    <w:p w14:paraId="10313AC0" w14:textId="77777777" w:rsidR="00047E69" w:rsidRPr="00BA2598" w:rsidRDefault="00C210A5" w:rsidP="00133CA0">
      <w:pPr>
        <w:pStyle w:val="1"/>
        <w:widowControl/>
        <w:numPr>
          <w:ilvl w:val="0"/>
          <w:numId w:val="12"/>
        </w:numPr>
        <w:tabs>
          <w:tab w:val="left" w:pos="683"/>
        </w:tabs>
        <w:ind w:left="567"/>
        <w:rPr>
          <w:rFonts w:cs="Times New Roman"/>
        </w:rPr>
      </w:pPr>
      <w:r w:rsidRPr="00BA2598">
        <w:t>NAME OF THE MEDICINAL PRODUCT</w:t>
      </w:r>
    </w:p>
    <w:p w14:paraId="4BA78B86" w14:textId="77777777" w:rsidR="00047E69" w:rsidRPr="00BA2598" w:rsidRDefault="00047E69" w:rsidP="00816656">
      <w:pPr>
        <w:widowControl/>
        <w:adjustRightInd w:val="0"/>
        <w:snapToGrid w:val="0"/>
        <w:rPr>
          <w:rFonts w:ascii="Times New Roman" w:eastAsia="Times New Roman" w:hAnsi="Times New Roman" w:cs="Times New Roman"/>
          <w:b/>
          <w:bCs/>
          <w:sz w:val="21"/>
          <w:szCs w:val="21"/>
        </w:rPr>
      </w:pPr>
    </w:p>
    <w:p w14:paraId="75A08139" w14:textId="7E28E81C" w:rsidR="00047E69" w:rsidRPr="004010B3" w:rsidRDefault="00A32819" w:rsidP="00816656">
      <w:pPr>
        <w:pStyle w:val="a5"/>
        <w:widowControl/>
        <w:adjustRightInd w:val="0"/>
        <w:snapToGrid w:val="0"/>
        <w:rPr>
          <w:rFonts w:eastAsiaTheme="minorEastAsia"/>
          <w:lang w:eastAsia="ko-KR"/>
        </w:rPr>
      </w:pPr>
      <w:r>
        <w:t>Vegzelma</w:t>
      </w:r>
      <w:r w:rsidR="00C210A5" w:rsidRPr="00BA2598">
        <w:t xml:space="preserve"> 25 mg/m</w:t>
      </w:r>
      <w:r w:rsidR="00487693" w:rsidRPr="00BA2598">
        <w:t>L</w:t>
      </w:r>
      <w:r w:rsidR="00C210A5" w:rsidRPr="00BA2598">
        <w:t xml:space="preserve"> concentrate for solution for infusion</w:t>
      </w:r>
      <w:r w:rsidR="004010B3">
        <w:rPr>
          <w:rFonts w:eastAsiaTheme="minorEastAsia" w:hint="eastAsia"/>
          <w:lang w:eastAsia="ko-KR"/>
        </w:rPr>
        <w:t>.</w:t>
      </w:r>
    </w:p>
    <w:p w14:paraId="298A56FA" w14:textId="77777777" w:rsidR="00047E69" w:rsidRPr="00BA2598" w:rsidRDefault="00047E69" w:rsidP="00816656">
      <w:pPr>
        <w:widowControl/>
        <w:adjustRightInd w:val="0"/>
        <w:snapToGrid w:val="0"/>
        <w:rPr>
          <w:rFonts w:ascii="Times New Roman" w:eastAsia="Times New Roman" w:hAnsi="Times New Roman" w:cs="Times New Roman"/>
        </w:rPr>
      </w:pPr>
    </w:p>
    <w:p w14:paraId="3B37849F" w14:textId="77777777" w:rsidR="00047E69" w:rsidRPr="00BA2598" w:rsidRDefault="00047E69" w:rsidP="00816656">
      <w:pPr>
        <w:widowControl/>
        <w:adjustRightInd w:val="0"/>
        <w:snapToGrid w:val="0"/>
        <w:rPr>
          <w:rFonts w:ascii="Times New Roman" w:eastAsia="Times New Roman" w:hAnsi="Times New Roman" w:cs="Times New Roman"/>
        </w:rPr>
      </w:pPr>
    </w:p>
    <w:p w14:paraId="5BE78C65" w14:textId="77777777" w:rsidR="00047E69" w:rsidRPr="00BA2598" w:rsidRDefault="00C210A5" w:rsidP="00816656">
      <w:pPr>
        <w:pStyle w:val="1"/>
        <w:widowControl/>
        <w:numPr>
          <w:ilvl w:val="0"/>
          <w:numId w:val="12"/>
        </w:numPr>
        <w:tabs>
          <w:tab w:val="left" w:pos="683"/>
        </w:tabs>
        <w:ind w:left="567"/>
        <w:rPr>
          <w:b w:val="0"/>
          <w:bCs w:val="0"/>
        </w:rPr>
      </w:pPr>
      <w:r w:rsidRPr="00BA2598">
        <w:t>QUALITATIVE AND QUANTITATIVE COMPOSITION</w:t>
      </w:r>
    </w:p>
    <w:p w14:paraId="5D01E737" w14:textId="77777777" w:rsidR="00047E69" w:rsidRPr="00BA2598" w:rsidRDefault="00047E69" w:rsidP="00816656">
      <w:pPr>
        <w:widowControl/>
        <w:adjustRightInd w:val="0"/>
        <w:snapToGrid w:val="0"/>
        <w:rPr>
          <w:rFonts w:ascii="Times New Roman" w:eastAsia="Times New Roman" w:hAnsi="Times New Roman" w:cs="Times New Roman"/>
          <w:b/>
          <w:bCs/>
          <w:sz w:val="21"/>
          <w:szCs w:val="21"/>
        </w:rPr>
      </w:pPr>
    </w:p>
    <w:p w14:paraId="15D3889D" w14:textId="77777777" w:rsidR="00373D33" w:rsidRPr="00BA2598" w:rsidRDefault="00C210A5" w:rsidP="00816656">
      <w:pPr>
        <w:pStyle w:val="a5"/>
        <w:widowControl/>
        <w:adjustRightInd w:val="0"/>
        <w:snapToGrid w:val="0"/>
      </w:pPr>
      <w:r w:rsidRPr="00BA2598">
        <w:t xml:space="preserve">Each </w:t>
      </w:r>
      <w:r w:rsidR="00487693" w:rsidRPr="00BA2598">
        <w:t>mL</w:t>
      </w:r>
      <w:r w:rsidRPr="00BA2598">
        <w:t xml:space="preserve"> of concentrate contains 25 mg of bevacizumab*. </w:t>
      </w:r>
    </w:p>
    <w:p w14:paraId="2D1011BB" w14:textId="4DE64435" w:rsidR="00047E69" w:rsidRPr="00BA2598" w:rsidRDefault="00C210A5" w:rsidP="00816656">
      <w:pPr>
        <w:pStyle w:val="a5"/>
        <w:widowControl/>
        <w:adjustRightInd w:val="0"/>
        <w:snapToGrid w:val="0"/>
      </w:pPr>
      <w:r w:rsidRPr="00BA2598">
        <w:t xml:space="preserve">Each 4 </w:t>
      </w:r>
      <w:r w:rsidR="00487693" w:rsidRPr="00BA2598">
        <w:t>mL</w:t>
      </w:r>
      <w:r w:rsidRPr="00BA2598">
        <w:t xml:space="preserve"> vial contains 100 mg of bevacizumab.</w:t>
      </w:r>
    </w:p>
    <w:p w14:paraId="5C850A39" w14:textId="77777777" w:rsidR="00047E69" w:rsidRPr="00BA2598" w:rsidRDefault="00C210A5" w:rsidP="00816656">
      <w:pPr>
        <w:pStyle w:val="a5"/>
        <w:widowControl/>
        <w:adjustRightInd w:val="0"/>
        <w:snapToGrid w:val="0"/>
      </w:pPr>
      <w:r w:rsidRPr="00BA2598">
        <w:t xml:space="preserve">Each 16 </w:t>
      </w:r>
      <w:r w:rsidR="00487693" w:rsidRPr="00BA2598">
        <w:t>mL</w:t>
      </w:r>
      <w:r w:rsidRPr="00BA2598">
        <w:t xml:space="preserve"> vial contains 400 mg of bevacizumab.</w:t>
      </w:r>
    </w:p>
    <w:p w14:paraId="76E61DFF" w14:textId="77777777" w:rsidR="00047E69" w:rsidRPr="00BA2598" w:rsidRDefault="00C210A5" w:rsidP="00816656">
      <w:pPr>
        <w:pStyle w:val="a5"/>
        <w:widowControl/>
        <w:adjustRightInd w:val="0"/>
        <w:snapToGrid w:val="0"/>
      </w:pPr>
      <w:r w:rsidRPr="00BA2598">
        <w:t>For dilution and other handling recommendations, see section 6.6.</w:t>
      </w:r>
    </w:p>
    <w:p w14:paraId="7519B20D" w14:textId="77777777" w:rsidR="00047E69" w:rsidRPr="00BA2598" w:rsidRDefault="00047E69" w:rsidP="00816656">
      <w:pPr>
        <w:widowControl/>
        <w:adjustRightInd w:val="0"/>
        <w:snapToGrid w:val="0"/>
        <w:rPr>
          <w:rFonts w:ascii="Times New Roman" w:eastAsia="Times New Roman" w:hAnsi="Times New Roman" w:cs="Times New Roman"/>
          <w:sz w:val="21"/>
          <w:szCs w:val="21"/>
        </w:rPr>
      </w:pPr>
    </w:p>
    <w:p w14:paraId="75D084A5" w14:textId="77777777" w:rsidR="00047E69" w:rsidRPr="00BA2598" w:rsidRDefault="00C210A5" w:rsidP="00816656">
      <w:pPr>
        <w:pStyle w:val="a5"/>
        <w:widowControl/>
        <w:adjustRightInd w:val="0"/>
        <w:snapToGrid w:val="0"/>
      </w:pPr>
      <w:r w:rsidRPr="00BA2598">
        <w:t>*Bevacizumab is a recombinant humanised monoclonal antibody produced by DNA technology in Chinese Hamster Ovary cells.</w:t>
      </w:r>
    </w:p>
    <w:p w14:paraId="5B7DABBF" w14:textId="77777777" w:rsidR="00047E69" w:rsidRPr="00BA2598" w:rsidRDefault="00047E69" w:rsidP="00816656">
      <w:pPr>
        <w:widowControl/>
        <w:adjustRightInd w:val="0"/>
        <w:snapToGrid w:val="0"/>
        <w:rPr>
          <w:rFonts w:ascii="Times New Roman" w:hAnsi="Times New Roman" w:cs="Times New Roman"/>
          <w:lang w:eastAsia="ko-KR"/>
        </w:rPr>
      </w:pPr>
    </w:p>
    <w:p w14:paraId="0DC09072" w14:textId="77777777" w:rsidR="003F1D71" w:rsidRPr="00BA2598" w:rsidRDefault="003F1D71" w:rsidP="00816656">
      <w:pPr>
        <w:widowControl/>
        <w:adjustRightInd w:val="0"/>
        <w:snapToGrid w:val="0"/>
        <w:rPr>
          <w:rFonts w:ascii="Times New Roman" w:hAnsi="Times New Roman" w:cs="Times New Roman"/>
          <w:u w:val="single"/>
          <w:lang w:eastAsia="ko-KR"/>
        </w:rPr>
      </w:pPr>
      <w:bookmarkStart w:id="1" w:name="_Hlk190180775"/>
      <w:r w:rsidRPr="00BA2598">
        <w:rPr>
          <w:rFonts w:ascii="Times New Roman" w:hAnsi="Times New Roman" w:cs="Times New Roman" w:hint="eastAsia"/>
          <w:u w:val="single"/>
          <w:lang w:eastAsia="ko-KR"/>
        </w:rPr>
        <w:t>Excipient with known effect</w:t>
      </w:r>
    </w:p>
    <w:p w14:paraId="2F72142C" w14:textId="7EDE9534" w:rsidR="003F1D71" w:rsidRPr="00BA2598" w:rsidRDefault="003F1D71" w:rsidP="00816656">
      <w:pPr>
        <w:widowControl/>
        <w:adjustRightInd w:val="0"/>
        <w:snapToGrid w:val="0"/>
        <w:rPr>
          <w:rFonts w:ascii="Times New Roman" w:hAnsi="Times New Roman" w:cs="Times New Roman"/>
          <w:lang w:eastAsia="ko-KR"/>
        </w:rPr>
      </w:pPr>
      <w:r w:rsidRPr="00BA2598">
        <w:rPr>
          <w:rFonts w:ascii="Times New Roman" w:hAnsi="Times New Roman" w:cs="Times New Roman" w:hint="eastAsia"/>
          <w:lang w:eastAsia="ko-KR"/>
        </w:rPr>
        <w:t xml:space="preserve">Each </w:t>
      </w:r>
      <w:r w:rsidR="006D4433" w:rsidRPr="00BA2598">
        <w:rPr>
          <w:rFonts w:ascii="Times New Roman" w:hAnsi="Times New Roman" w:cs="Times New Roman" w:hint="eastAsia"/>
          <w:lang w:eastAsia="ko-KR"/>
        </w:rPr>
        <w:t>4 mL</w:t>
      </w:r>
      <w:r w:rsidRPr="00BA2598">
        <w:rPr>
          <w:rFonts w:ascii="Times New Roman" w:hAnsi="Times New Roman" w:cs="Times New Roman" w:hint="eastAsia"/>
          <w:lang w:eastAsia="ko-KR"/>
        </w:rPr>
        <w:t xml:space="preserve"> vial contains 1.6 mg of polysorbate 20.</w:t>
      </w:r>
    </w:p>
    <w:p w14:paraId="467C9CA6" w14:textId="58DD8C23" w:rsidR="003F1D71" w:rsidRPr="00BA2598" w:rsidRDefault="003F1D71" w:rsidP="00816656">
      <w:pPr>
        <w:widowControl/>
        <w:adjustRightInd w:val="0"/>
        <w:snapToGrid w:val="0"/>
        <w:rPr>
          <w:rFonts w:ascii="Times New Roman" w:hAnsi="Times New Roman" w:cs="Times New Roman"/>
          <w:lang w:eastAsia="ko-KR"/>
        </w:rPr>
      </w:pPr>
      <w:r w:rsidRPr="00BA2598">
        <w:rPr>
          <w:rFonts w:ascii="Times New Roman" w:hAnsi="Times New Roman" w:cs="Times New Roman" w:hint="eastAsia"/>
          <w:lang w:eastAsia="ko-KR"/>
        </w:rPr>
        <w:t xml:space="preserve">Each </w:t>
      </w:r>
      <w:r w:rsidR="006D4433" w:rsidRPr="00BA2598">
        <w:rPr>
          <w:rFonts w:ascii="Times New Roman" w:hAnsi="Times New Roman" w:cs="Times New Roman" w:hint="eastAsia"/>
          <w:lang w:eastAsia="ko-KR"/>
        </w:rPr>
        <w:t>16 mL</w:t>
      </w:r>
      <w:r w:rsidRPr="00BA2598">
        <w:rPr>
          <w:rFonts w:ascii="Times New Roman" w:hAnsi="Times New Roman" w:cs="Times New Roman" w:hint="eastAsia"/>
          <w:lang w:eastAsia="ko-KR"/>
        </w:rPr>
        <w:t xml:space="preserve"> vial contains 6.4 mg of polysorbate 20.</w:t>
      </w:r>
    </w:p>
    <w:bookmarkEnd w:id="1"/>
    <w:p w14:paraId="1A9CC8BD" w14:textId="77777777" w:rsidR="003F1D71" w:rsidRPr="00BA2598" w:rsidRDefault="003F1D71" w:rsidP="00816656">
      <w:pPr>
        <w:pStyle w:val="a5"/>
        <w:widowControl/>
        <w:adjustRightInd w:val="0"/>
        <w:snapToGrid w:val="0"/>
        <w:rPr>
          <w:rFonts w:eastAsiaTheme="minorEastAsia"/>
          <w:lang w:eastAsia="ko-KR"/>
        </w:rPr>
      </w:pPr>
    </w:p>
    <w:p w14:paraId="7F329753" w14:textId="26BC2323" w:rsidR="00047E69" w:rsidRPr="00BA2598" w:rsidRDefault="00C210A5" w:rsidP="00816656">
      <w:pPr>
        <w:pStyle w:val="a5"/>
        <w:widowControl/>
        <w:adjustRightInd w:val="0"/>
        <w:snapToGrid w:val="0"/>
      </w:pPr>
      <w:r w:rsidRPr="00BA2598">
        <w:t>For the full list of excipients, see section 6.1.</w:t>
      </w:r>
    </w:p>
    <w:p w14:paraId="52E43C4B" w14:textId="77777777" w:rsidR="00047E69" w:rsidRPr="00BA2598" w:rsidRDefault="00047E69" w:rsidP="00816656">
      <w:pPr>
        <w:widowControl/>
        <w:adjustRightInd w:val="0"/>
        <w:snapToGrid w:val="0"/>
        <w:rPr>
          <w:rFonts w:ascii="Times New Roman" w:eastAsia="Times New Roman" w:hAnsi="Times New Roman" w:cs="Times New Roman"/>
        </w:rPr>
      </w:pPr>
    </w:p>
    <w:p w14:paraId="62C88F6E" w14:textId="77777777" w:rsidR="00286335" w:rsidRPr="00BA2598" w:rsidRDefault="00286335" w:rsidP="00816656">
      <w:pPr>
        <w:widowControl/>
        <w:adjustRightInd w:val="0"/>
        <w:snapToGrid w:val="0"/>
        <w:rPr>
          <w:rFonts w:ascii="Times New Roman" w:eastAsia="Times New Roman" w:hAnsi="Times New Roman" w:cs="Times New Roman"/>
        </w:rPr>
      </w:pPr>
    </w:p>
    <w:p w14:paraId="6157820A" w14:textId="77777777" w:rsidR="00047E69" w:rsidRPr="00BA2598" w:rsidRDefault="00C210A5" w:rsidP="00816656">
      <w:pPr>
        <w:pStyle w:val="1"/>
        <w:widowControl/>
        <w:numPr>
          <w:ilvl w:val="0"/>
          <w:numId w:val="12"/>
        </w:numPr>
        <w:tabs>
          <w:tab w:val="left" w:pos="683"/>
        </w:tabs>
        <w:ind w:left="567"/>
        <w:rPr>
          <w:b w:val="0"/>
          <w:bCs w:val="0"/>
        </w:rPr>
      </w:pPr>
      <w:r w:rsidRPr="00BA2598">
        <w:t>PHARMACEUTICAL FORM</w:t>
      </w:r>
    </w:p>
    <w:p w14:paraId="7524A766" w14:textId="77777777" w:rsidR="00047E69" w:rsidRPr="00BA2598" w:rsidRDefault="00047E69" w:rsidP="00816656">
      <w:pPr>
        <w:widowControl/>
        <w:adjustRightInd w:val="0"/>
        <w:snapToGrid w:val="0"/>
        <w:rPr>
          <w:rFonts w:ascii="Times New Roman" w:eastAsia="Times New Roman" w:hAnsi="Times New Roman" w:cs="Times New Roman"/>
          <w:b/>
          <w:bCs/>
          <w:sz w:val="21"/>
          <w:szCs w:val="21"/>
        </w:rPr>
      </w:pPr>
    </w:p>
    <w:p w14:paraId="1A36F83B" w14:textId="77777777" w:rsidR="00047E69" w:rsidRPr="00BA2598" w:rsidRDefault="00C210A5" w:rsidP="00816656">
      <w:pPr>
        <w:pStyle w:val="a5"/>
        <w:widowControl/>
        <w:adjustRightInd w:val="0"/>
        <w:snapToGrid w:val="0"/>
      </w:pPr>
      <w:r w:rsidRPr="00BA2598">
        <w:t>Concentrate for solution for infusion.</w:t>
      </w:r>
    </w:p>
    <w:p w14:paraId="49DDB2CB" w14:textId="77777777" w:rsidR="00047E69" w:rsidRPr="00BA2598" w:rsidRDefault="00047E69" w:rsidP="00816656">
      <w:pPr>
        <w:widowControl/>
        <w:adjustRightInd w:val="0"/>
        <w:snapToGrid w:val="0"/>
        <w:rPr>
          <w:rFonts w:ascii="Times New Roman" w:eastAsia="Times New Roman" w:hAnsi="Times New Roman" w:cs="Times New Roman"/>
          <w:sz w:val="21"/>
          <w:szCs w:val="21"/>
        </w:rPr>
      </w:pPr>
    </w:p>
    <w:p w14:paraId="5920FAE6" w14:textId="77777777" w:rsidR="00047E69" w:rsidRPr="00BA2598" w:rsidRDefault="00C210A5" w:rsidP="00816656">
      <w:pPr>
        <w:pStyle w:val="a5"/>
        <w:widowControl/>
        <w:adjustRightInd w:val="0"/>
        <w:snapToGrid w:val="0"/>
      </w:pPr>
      <w:r w:rsidRPr="00BA2598">
        <w:t>Clear to slightly opalescent, colourless to pale brown liquid.</w:t>
      </w:r>
    </w:p>
    <w:p w14:paraId="61462BA2" w14:textId="77777777" w:rsidR="00047E69" w:rsidRPr="00BA2598" w:rsidRDefault="00047E69" w:rsidP="00816656">
      <w:pPr>
        <w:widowControl/>
        <w:adjustRightInd w:val="0"/>
        <w:snapToGrid w:val="0"/>
        <w:rPr>
          <w:rFonts w:ascii="Times New Roman" w:eastAsia="Times New Roman" w:hAnsi="Times New Roman" w:cs="Times New Roman"/>
        </w:rPr>
      </w:pPr>
    </w:p>
    <w:p w14:paraId="5C04DD23" w14:textId="77777777" w:rsidR="00047E69" w:rsidRPr="00BA2598" w:rsidRDefault="00047E69" w:rsidP="00816656">
      <w:pPr>
        <w:widowControl/>
        <w:adjustRightInd w:val="0"/>
        <w:snapToGrid w:val="0"/>
        <w:rPr>
          <w:rFonts w:ascii="Times New Roman" w:eastAsia="Times New Roman" w:hAnsi="Times New Roman" w:cs="Times New Roman"/>
        </w:rPr>
      </w:pPr>
    </w:p>
    <w:p w14:paraId="41A46826" w14:textId="77777777" w:rsidR="00047E69" w:rsidRPr="00BA2598" w:rsidRDefault="00C210A5" w:rsidP="00816656">
      <w:pPr>
        <w:pStyle w:val="1"/>
        <w:widowControl/>
        <w:numPr>
          <w:ilvl w:val="0"/>
          <w:numId w:val="12"/>
        </w:numPr>
        <w:tabs>
          <w:tab w:val="left" w:pos="683"/>
        </w:tabs>
        <w:ind w:left="567"/>
        <w:rPr>
          <w:b w:val="0"/>
          <w:bCs w:val="0"/>
        </w:rPr>
      </w:pPr>
      <w:r w:rsidRPr="00BA2598">
        <w:t>CLINICAL PARTICULARS</w:t>
      </w:r>
    </w:p>
    <w:p w14:paraId="5B3C4AE0" w14:textId="77777777" w:rsidR="00047E69" w:rsidRPr="00BA2598" w:rsidRDefault="00047E69" w:rsidP="00816656">
      <w:pPr>
        <w:widowControl/>
        <w:tabs>
          <w:tab w:val="left" w:pos="683"/>
        </w:tabs>
        <w:adjustRightInd w:val="0"/>
        <w:snapToGrid w:val="0"/>
        <w:rPr>
          <w:rFonts w:ascii="Times New Roman" w:eastAsia="Times New Roman" w:hAnsi="Times New Roman" w:cs="Times New Roman"/>
        </w:rPr>
      </w:pPr>
    </w:p>
    <w:p w14:paraId="331161BF" w14:textId="77777777" w:rsidR="00270893" w:rsidRPr="00BA2598" w:rsidRDefault="00C210A5" w:rsidP="00816656">
      <w:pPr>
        <w:pStyle w:val="1"/>
        <w:widowControl/>
        <w:numPr>
          <w:ilvl w:val="1"/>
          <w:numId w:val="12"/>
        </w:numPr>
        <w:ind w:left="567"/>
        <w:rPr>
          <w:rFonts w:eastAsiaTheme="minorEastAsia"/>
        </w:rPr>
      </w:pPr>
      <w:r w:rsidRPr="00BA2598">
        <w:rPr>
          <w:rFonts w:eastAsiaTheme="minorEastAsia"/>
        </w:rPr>
        <w:t>Therapeutic indications</w:t>
      </w:r>
    </w:p>
    <w:p w14:paraId="3CDFA538" w14:textId="77777777" w:rsidR="00270893" w:rsidRPr="00BA2598" w:rsidRDefault="00270893" w:rsidP="00816656">
      <w:pPr>
        <w:widowControl/>
        <w:adjustRightInd w:val="0"/>
        <w:snapToGrid w:val="0"/>
      </w:pPr>
    </w:p>
    <w:p w14:paraId="6AD21E19" w14:textId="0700F632"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xml:space="preserve"> in combination with fluoropyrimidine-based chemotherapy is indicated for treatment of adult patients with metastatic carcinoma of the colon or rectum.</w:t>
      </w:r>
    </w:p>
    <w:p w14:paraId="19D98D3C" w14:textId="77777777" w:rsidR="00270893" w:rsidRPr="00BA2598" w:rsidRDefault="00270893" w:rsidP="00816656">
      <w:pPr>
        <w:widowControl/>
        <w:adjustRightInd w:val="0"/>
        <w:snapToGrid w:val="0"/>
        <w:rPr>
          <w:rFonts w:ascii="Times New Roman" w:hAnsi="Times New Roman" w:cs="Times New Roman"/>
        </w:rPr>
      </w:pPr>
    </w:p>
    <w:p w14:paraId="4A0BFCDB" w14:textId="4AF1A2D2"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xml:space="preserve"> in combination with paclitaxel is indicated for first-line treatment of adult patients with metastatic breast cancer. For further information as to human epidermal growth factor receptor 2 (HER2) status, please refer to section 5.1.</w:t>
      </w:r>
    </w:p>
    <w:p w14:paraId="48F03107" w14:textId="77777777" w:rsidR="00270893" w:rsidRPr="00BA2598" w:rsidRDefault="00270893" w:rsidP="00816656">
      <w:pPr>
        <w:widowControl/>
        <w:adjustRightInd w:val="0"/>
        <w:snapToGrid w:val="0"/>
        <w:rPr>
          <w:rFonts w:ascii="Times New Roman" w:hAnsi="Times New Roman" w:cs="Times New Roman"/>
        </w:rPr>
      </w:pPr>
    </w:p>
    <w:p w14:paraId="290F3141" w14:textId="2A504CA7"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xml:space="preserve"> in combination with capecitabine is indicated for first-line treatment of adult patients with metastatic breast cancer in whom treatment with other chemotherapy options including taxanes or anthracyclines is not considered appropriate. Patients who have received taxane and anthracycline</w:t>
      </w:r>
      <w:r w:rsidR="00FD0731" w:rsidRPr="00BA2598">
        <w:rPr>
          <w:rFonts w:ascii="Times New Roman" w:hAnsi="Times New Roman" w:cs="Times New Roman"/>
        </w:rPr>
        <w:noBreakHyphen/>
      </w:r>
      <w:r w:rsidR="00C210A5" w:rsidRPr="00BA2598">
        <w:rPr>
          <w:rFonts w:ascii="Times New Roman" w:hAnsi="Times New Roman" w:cs="Times New Roman"/>
        </w:rPr>
        <w:t xml:space="preserve">containing regimens in the adjuvant setting within the last 12 months should be excluded from treatment with </w:t>
      </w:r>
      <w:r>
        <w:rPr>
          <w:rFonts w:ascii="Times New Roman" w:hAnsi="Times New Roman" w:cs="Times New Roman"/>
        </w:rPr>
        <w:t>Vegzelma</w:t>
      </w:r>
      <w:r w:rsidR="00C210A5" w:rsidRPr="00BA2598">
        <w:rPr>
          <w:rFonts w:ascii="Times New Roman" w:hAnsi="Times New Roman" w:cs="Times New Roman"/>
        </w:rPr>
        <w:t xml:space="preserve"> in combination with capecitabine. For further information as to HER2 status, please refer to section 5.1.</w:t>
      </w:r>
    </w:p>
    <w:p w14:paraId="46E15F5B" w14:textId="77777777" w:rsidR="00270893" w:rsidRPr="00BA2598" w:rsidRDefault="00270893" w:rsidP="00816656">
      <w:pPr>
        <w:widowControl/>
        <w:adjustRightInd w:val="0"/>
        <w:snapToGrid w:val="0"/>
        <w:rPr>
          <w:rFonts w:ascii="Times New Roman" w:hAnsi="Times New Roman" w:cs="Times New Roman"/>
        </w:rPr>
      </w:pPr>
    </w:p>
    <w:p w14:paraId="4F14109B" w14:textId="65995DB6"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in addition to platinum-based chemotherapy, is indicated for first-line treatment of adult patients with unresectable advanced, metastatic or recurrent non-small cell lung cancer</w:t>
      </w:r>
      <w:r w:rsidR="00355E84" w:rsidRPr="00BA2598">
        <w:rPr>
          <w:rFonts w:ascii="Times New Roman" w:hAnsi="Times New Roman" w:cs="Times New Roman"/>
        </w:rPr>
        <w:t xml:space="preserve"> (NSCLC)</w:t>
      </w:r>
      <w:r w:rsidR="00C210A5" w:rsidRPr="00BA2598">
        <w:rPr>
          <w:rFonts w:ascii="Times New Roman" w:hAnsi="Times New Roman" w:cs="Times New Roman"/>
        </w:rPr>
        <w:t xml:space="preserve"> other than predominantly squamous cell histology.</w:t>
      </w:r>
    </w:p>
    <w:p w14:paraId="4FCDEF63" w14:textId="77777777" w:rsidR="00270893" w:rsidRPr="006120FC" w:rsidRDefault="00270893" w:rsidP="00816656">
      <w:pPr>
        <w:widowControl/>
        <w:adjustRightInd w:val="0"/>
        <w:snapToGrid w:val="0"/>
        <w:rPr>
          <w:rFonts w:ascii="Times New Roman" w:hAnsi="Times New Roman" w:cs="Times New Roman"/>
        </w:rPr>
      </w:pPr>
    </w:p>
    <w:p w14:paraId="2A658414" w14:textId="47ACEE0D"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lastRenderedPageBreak/>
        <w:t>Vegzelma</w:t>
      </w:r>
      <w:r w:rsidR="00C210A5" w:rsidRPr="00BA2598">
        <w:rPr>
          <w:rFonts w:ascii="Times New Roman" w:hAnsi="Times New Roman" w:cs="Times New Roman"/>
        </w:rPr>
        <w:t xml:space="preserve">, in combination with erlotinib, is indicated for first-line treatment of adult patients with unresectable advanced, metastatic or recurrent non-squamous </w:t>
      </w:r>
      <w:r w:rsidR="00355E84" w:rsidRPr="00BA2598">
        <w:rPr>
          <w:rFonts w:ascii="Times New Roman" w:hAnsi="Times New Roman" w:cs="Times New Roman"/>
        </w:rPr>
        <w:t>NSCLC</w:t>
      </w:r>
      <w:r w:rsidR="00C210A5" w:rsidRPr="00BA2598">
        <w:rPr>
          <w:rFonts w:ascii="Times New Roman" w:hAnsi="Times New Roman" w:cs="Times New Roman"/>
        </w:rPr>
        <w:t xml:space="preserve"> with Epidermal Growth Factor Receptor (EGFR) activating mutations (see </w:t>
      </w:r>
      <w:r w:rsidR="000424EE" w:rsidRPr="00BA2598">
        <w:rPr>
          <w:rFonts w:ascii="Times New Roman" w:hAnsi="Times New Roman" w:cs="Times New Roman"/>
        </w:rPr>
        <w:t>section</w:t>
      </w:r>
      <w:r w:rsidR="00C210A5" w:rsidRPr="00BA2598">
        <w:rPr>
          <w:rFonts w:ascii="Times New Roman" w:hAnsi="Times New Roman" w:cs="Times New Roman"/>
        </w:rPr>
        <w:t xml:space="preserve"> 5.1).</w:t>
      </w:r>
    </w:p>
    <w:p w14:paraId="1388C850" w14:textId="77777777" w:rsidR="00270893" w:rsidRPr="00BA2598" w:rsidRDefault="00270893" w:rsidP="00816656">
      <w:pPr>
        <w:widowControl/>
        <w:adjustRightInd w:val="0"/>
        <w:snapToGrid w:val="0"/>
        <w:rPr>
          <w:rFonts w:ascii="Times New Roman" w:hAnsi="Times New Roman" w:cs="Times New Roman"/>
        </w:rPr>
      </w:pPr>
    </w:p>
    <w:p w14:paraId="01795EC3" w14:textId="503547E2"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xml:space="preserve"> in combination with interferon alfa-2a is indicated for first line treatment of adult patients with advanced and/or metastatic renal cell cancer.</w:t>
      </w:r>
    </w:p>
    <w:p w14:paraId="28350D13" w14:textId="77777777" w:rsidR="00270893" w:rsidRPr="00BA2598" w:rsidRDefault="00270893" w:rsidP="00816656">
      <w:pPr>
        <w:widowControl/>
        <w:adjustRightInd w:val="0"/>
        <w:snapToGrid w:val="0"/>
        <w:rPr>
          <w:rFonts w:ascii="Times New Roman" w:hAnsi="Times New Roman" w:cs="Times New Roman"/>
        </w:rPr>
      </w:pPr>
    </w:p>
    <w:p w14:paraId="2E33D2A1" w14:textId="271376CE"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in combination with carboplatin and paclitaxel is indicated for the front-line treatment of adult patients with advanced (International Federation of Gynecology and Obstetrics (FIGO) stages III B, III C and IV) epithelial ovarian, fallopian tube, or primary peritoneal cancer (</w:t>
      </w:r>
      <w:r w:rsidR="0019625E">
        <w:rPr>
          <w:rFonts w:ascii="Times New Roman" w:hAnsi="Times New Roman" w:cs="Times New Roman" w:hint="eastAsia"/>
          <w:lang w:eastAsia="ko-KR"/>
        </w:rPr>
        <w:t>s</w:t>
      </w:r>
      <w:r w:rsidR="00C210A5" w:rsidRPr="00BA2598">
        <w:rPr>
          <w:rFonts w:ascii="Times New Roman" w:hAnsi="Times New Roman" w:cs="Times New Roman"/>
        </w:rPr>
        <w:t>ee section 5.1).</w:t>
      </w:r>
    </w:p>
    <w:p w14:paraId="15242D24" w14:textId="77777777" w:rsidR="00270893" w:rsidRPr="00BA2598" w:rsidRDefault="00270893" w:rsidP="00816656">
      <w:pPr>
        <w:widowControl/>
        <w:adjustRightInd w:val="0"/>
        <w:snapToGrid w:val="0"/>
        <w:rPr>
          <w:rFonts w:ascii="Times New Roman" w:hAnsi="Times New Roman" w:cs="Times New Roman"/>
        </w:rPr>
      </w:pPr>
    </w:p>
    <w:p w14:paraId="024B31AC" w14:textId="30C17E2D"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in combination with carboplatin and gemcitabine or in combination with carboplatin</w:t>
      </w:r>
      <w:r w:rsidR="00B51CBF">
        <w:rPr>
          <w:rFonts w:ascii="Times New Roman" w:hAnsi="Times New Roman" w:cs="Times New Roman" w:hint="eastAsia"/>
          <w:lang w:eastAsia="ko-KR"/>
        </w:rPr>
        <w:t xml:space="preserve"> </w:t>
      </w:r>
      <w:r w:rsidR="00C210A5" w:rsidRPr="00BA2598">
        <w:rPr>
          <w:rFonts w:ascii="Times New Roman" w:hAnsi="Times New Roman" w:cs="Times New Roman"/>
        </w:rPr>
        <w:t xml:space="preserve">and paclitaxel, is indicated for treatment of adult patients with first recurrence of platinum-sensitive epithelial ovarian, fallopian tube or primary peritoneal cancer who have not received prior therapy with </w:t>
      </w:r>
      <w:r w:rsidR="000C2AF8" w:rsidRPr="00BA2598">
        <w:rPr>
          <w:rFonts w:ascii="Times New Roman" w:hAnsi="Times New Roman" w:cs="Times New Roman"/>
        </w:rPr>
        <w:t>bevacizumab</w:t>
      </w:r>
      <w:r w:rsidR="00C210A5" w:rsidRPr="00BA2598">
        <w:rPr>
          <w:rFonts w:ascii="Times New Roman" w:hAnsi="Times New Roman" w:cs="Times New Roman"/>
        </w:rPr>
        <w:t xml:space="preserve"> or other </w:t>
      </w:r>
      <w:r w:rsidR="00355E84" w:rsidRPr="00BA2598">
        <w:rPr>
          <w:rFonts w:ascii="Times New Roman" w:hAnsi="Times New Roman" w:cs="Times New Roman"/>
        </w:rPr>
        <w:t>vascular endothelial growth factor (</w:t>
      </w:r>
      <w:r w:rsidR="00C210A5" w:rsidRPr="00BA2598">
        <w:rPr>
          <w:rFonts w:ascii="Times New Roman" w:hAnsi="Times New Roman" w:cs="Times New Roman"/>
        </w:rPr>
        <w:t>VEGF</w:t>
      </w:r>
      <w:r w:rsidR="00355E84" w:rsidRPr="00BA2598">
        <w:rPr>
          <w:rFonts w:ascii="Times New Roman" w:hAnsi="Times New Roman" w:cs="Times New Roman"/>
        </w:rPr>
        <w:t>)</w:t>
      </w:r>
      <w:r w:rsidR="00C210A5" w:rsidRPr="00BA2598">
        <w:rPr>
          <w:rFonts w:ascii="Times New Roman" w:hAnsi="Times New Roman" w:cs="Times New Roman"/>
        </w:rPr>
        <w:t xml:space="preserve"> inhibitors or VEGF receptor–targeted agents.</w:t>
      </w:r>
    </w:p>
    <w:p w14:paraId="19BD3A7D" w14:textId="77777777" w:rsidR="00270893" w:rsidRPr="00BA2598" w:rsidRDefault="00270893" w:rsidP="00816656">
      <w:pPr>
        <w:widowControl/>
        <w:adjustRightInd w:val="0"/>
        <w:snapToGrid w:val="0"/>
        <w:rPr>
          <w:rFonts w:ascii="Times New Roman" w:hAnsi="Times New Roman" w:cs="Times New Roman"/>
        </w:rPr>
      </w:pPr>
    </w:p>
    <w:p w14:paraId="0B798294" w14:textId="0A1246D0" w:rsidR="00270893" w:rsidRPr="00BA2598" w:rsidRDefault="00A32819" w:rsidP="00816656">
      <w:pPr>
        <w:widowControl/>
        <w:adjustRightInd w:val="0"/>
        <w:snapToGrid w:val="0"/>
        <w:rPr>
          <w:rFonts w:ascii="Times New Roman" w:hAnsi="Times New Roman" w:cs="Times New Roman"/>
        </w:rPr>
      </w:pPr>
      <w:r>
        <w:rPr>
          <w:rFonts w:ascii="Times New Roman" w:hAnsi="Times New Roman" w:cs="Times New Roman"/>
        </w:rPr>
        <w:t>Vegzelma</w:t>
      </w:r>
      <w:r w:rsidR="00C210A5" w:rsidRPr="00BA2598">
        <w:rPr>
          <w:rFonts w:ascii="Times New Roman" w:hAnsi="Times New Roman" w:cs="Times New Roman"/>
        </w:rPr>
        <w:t xml:space="preserve"> in combination with paclitaxel, topotecan, or pegylated liposomal doxorubicin is indicated for the treatment of adult patients with platinum-resistant recurrent epithelial ovarian, fallopian tube, or primary peritoneal cancer who received no more than two prior chemotherapy regimens and who have not received prior therapy with </w:t>
      </w:r>
      <w:r w:rsidR="000C2AF8" w:rsidRPr="00BA2598">
        <w:rPr>
          <w:rFonts w:ascii="Times New Roman" w:hAnsi="Times New Roman" w:cs="Times New Roman"/>
        </w:rPr>
        <w:t>bevacizumab</w:t>
      </w:r>
      <w:r w:rsidR="00C210A5" w:rsidRPr="00BA2598">
        <w:rPr>
          <w:rFonts w:ascii="Times New Roman" w:hAnsi="Times New Roman" w:cs="Times New Roman"/>
        </w:rPr>
        <w:t xml:space="preserve"> or other VEGF inhibitors or VEGF receptor–targeted agents (see </w:t>
      </w:r>
      <w:r w:rsidR="003D2B07" w:rsidRPr="00BA2598">
        <w:rPr>
          <w:rFonts w:ascii="Times New Roman" w:hAnsi="Times New Roman" w:cs="Times New Roman"/>
        </w:rPr>
        <w:t>s</w:t>
      </w:r>
      <w:r w:rsidR="00C210A5" w:rsidRPr="00BA2598">
        <w:rPr>
          <w:rFonts w:ascii="Times New Roman" w:hAnsi="Times New Roman" w:cs="Times New Roman"/>
        </w:rPr>
        <w:t>ection 5.1).</w:t>
      </w:r>
    </w:p>
    <w:p w14:paraId="4F931A3B" w14:textId="77777777" w:rsidR="00270893" w:rsidRPr="00BA2598" w:rsidRDefault="00270893" w:rsidP="00816656">
      <w:pPr>
        <w:widowControl/>
        <w:adjustRightInd w:val="0"/>
        <w:snapToGrid w:val="0"/>
        <w:rPr>
          <w:rFonts w:ascii="Times New Roman" w:hAnsi="Times New Roman" w:cs="Times New Roman"/>
        </w:rPr>
      </w:pPr>
    </w:p>
    <w:p w14:paraId="23FD2112" w14:textId="7A335175" w:rsidR="00270893" w:rsidRPr="00BA2598" w:rsidRDefault="00A32819" w:rsidP="00816656">
      <w:pPr>
        <w:widowControl/>
        <w:adjustRightInd w:val="0"/>
        <w:snapToGrid w:val="0"/>
        <w:rPr>
          <w:rFonts w:cs="Times New Roman"/>
        </w:rPr>
      </w:pPr>
      <w:r>
        <w:rPr>
          <w:rFonts w:ascii="Times New Roman" w:hAnsi="Times New Roman" w:cs="Times New Roman"/>
        </w:rPr>
        <w:t>Vegzelma</w:t>
      </w:r>
      <w:r w:rsidR="00C210A5" w:rsidRPr="00BA2598">
        <w:rPr>
          <w:rFonts w:ascii="Times New Roman" w:hAnsi="Times New Roman" w:cs="Times New Roman"/>
        </w:rPr>
        <w:t xml:space="preserve">, in combination with paclitaxel and cisplatin or, alternatively, paclitaxel and topotecan in patients who cannot receive platinum therapy, is indicated for the treatment of adult patients with persistent, recurrent, or metastatic carcinoma of the cervix (see </w:t>
      </w:r>
      <w:r w:rsidR="000424EE" w:rsidRPr="00BA2598">
        <w:rPr>
          <w:rFonts w:ascii="Times New Roman" w:hAnsi="Times New Roman" w:cs="Times New Roman"/>
        </w:rPr>
        <w:t>section</w:t>
      </w:r>
      <w:r w:rsidR="00C210A5" w:rsidRPr="00BA2598">
        <w:rPr>
          <w:rFonts w:ascii="Times New Roman" w:hAnsi="Times New Roman" w:cs="Times New Roman"/>
        </w:rPr>
        <w:t xml:space="preserve"> 5.1).</w:t>
      </w:r>
    </w:p>
    <w:p w14:paraId="40EA6902" w14:textId="77777777" w:rsidR="00270893" w:rsidRPr="00BA2598" w:rsidRDefault="00270893" w:rsidP="00816656">
      <w:pPr>
        <w:widowControl/>
        <w:adjustRightInd w:val="0"/>
        <w:snapToGrid w:val="0"/>
      </w:pPr>
    </w:p>
    <w:p w14:paraId="7BCB57C7" w14:textId="77777777" w:rsidR="00047E69" w:rsidRPr="00BA2598" w:rsidRDefault="00C210A5" w:rsidP="00816656">
      <w:pPr>
        <w:pStyle w:val="1"/>
        <w:widowControl/>
        <w:numPr>
          <w:ilvl w:val="1"/>
          <w:numId w:val="12"/>
        </w:numPr>
        <w:tabs>
          <w:tab w:val="left" w:pos="683"/>
        </w:tabs>
        <w:ind w:left="567"/>
        <w:rPr>
          <w:b w:val="0"/>
          <w:bCs w:val="0"/>
        </w:rPr>
      </w:pPr>
      <w:r w:rsidRPr="00BA2598">
        <w:t>Posology and method of administration</w:t>
      </w:r>
    </w:p>
    <w:p w14:paraId="42F35645" w14:textId="77777777" w:rsidR="00047E69" w:rsidRPr="00BA2598" w:rsidRDefault="00047E69" w:rsidP="00816656">
      <w:pPr>
        <w:widowControl/>
        <w:adjustRightInd w:val="0"/>
        <w:snapToGrid w:val="0"/>
        <w:rPr>
          <w:rFonts w:ascii="Times New Roman" w:eastAsia="Times New Roman" w:hAnsi="Times New Roman" w:cs="Times New Roman"/>
          <w:b/>
          <w:bCs/>
          <w:sz w:val="21"/>
          <w:szCs w:val="21"/>
        </w:rPr>
      </w:pPr>
    </w:p>
    <w:p w14:paraId="0C415AFA" w14:textId="1DC8E2AD" w:rsidR="00047E69" w:rsidRPr="00BA2598" w:rsidRDefault="00A32819" w:rsidP="00816656">
      <w:pPr>
        <w:pStyle w:val="a5"/>
        <w:widowControl/>
        <w:adjustRightInd w:val="0"/>
        <w:snapToGrid w:val="0"/>
      </w:pPr>
      <w:r>
        <w:t>Vegzelma</w:t>
      </w:r>
      <w:r w:rsidR="00C210A5" w:rsidRPr="00BA2598">
        <w:t xml:space="preserve"> must be administered under the supervision of a physician experienced in the use of antineoplastic medicinal products.</w:t>
      </w:r>
    </w:p>
    <w:p w14:paraId="424BEE5B" w14:textId="77777777" w:rsidR="00047E69" w:rsidRPr="00BA2598" w:rsidRDefault="00047E69" w:rsidP="00816656">
      <w:pPr>
        <w:widowControl/>
        <w:adjustRightInd w:val="0"/>
        <w:snapToGrid w:val="0"/>
        <w:rPr>
          <w:rFonts w:ascii="Times New Roman" w:eastAsia="Times New Roman" w:hAnsi="Times New Roman" w:cs="Times New Roman"/>
          <w:sz w:val="21"/>
          <w:szCs w:val="21"/>
        </w:rPr>
      </w:pPr>
    </w:p>
    <w:p w14:paraId="7603E21C" w14:textId="77777777" w:rsidR="00047E69" w:rsidRPr="00BA2598" w:rsidRDefault="00C210A5" w:rsidP="00816656">
      <w:pPr>
        <w:pStyle w:val="a5"/>
        <w:widowControl/>
        <w:adjustRightInd w:val="0"/>
        <w:snapToGrid w:val="0"/>
      </w:pPr>
      <w:r w:rsidRPr="00BA2598">
        <w:rPr>
          <w:u w:val="single" w:color="000000"/>
        </w:rPr>
        <w:t>Posology</w:t>
      </w:r>
    </w:p>
    <w:p w14:paraId="0E065033" w14:textId="77777777" w:rsidR="00047E69" w:rsidRPr="00BA2598" w:rsidRDefault="00047E69" w:rsidP="00816656">
      <w:pPr>
        <w:widowControl/>
        <w:adjustRightInd w:val="0"/>
        <w:snapToGrid w:val="0"/>
        <w:rPr>
          <w:rFonts w:ascii="Times New Roman" w:eastAsia="Times New Roman" w:hAnsi="Times New Roman" w:cs="Times New Roman"/>
          <w:sz w:val="15"/>
          <w:szCs w:val="15"/>
        </w:rPr>
      </w:pPr>
    </w:p>
    <w:p w14:paraId="233F6A1A" w14:textId="77777777" w:rsidR="00047E69" w:rsidRPr="00BA2598" w:rsidRDefault="00C210A5" w:rsidP="00816656">
      <w:pPr>
        <w:widowControl/>
        <w:adjustRightInd w:val="0"/>
        <w:snapToGrid w:val="0"/>
        <w:rPr>
          <w:rFonts w:ascii="Times New Roman" w:eastAsia="Times New Roman" w:hAnsi="Times New Roman" w:cs="Times New Roman"/>
        </w:rPr>
      </w:pPr>
      <w:r w:rsidRPr="00BA2598">
        <w:rPr>
          <w:rFonts w:ascii="Times New Roman"/>
          <w:i/>
          <w:u w:val="single" w:color="000000"/>
        </w:rPr>
        <w:t>Metastatic carcinoma of the colon or rectum (mCRC)</w:t>
      </w:r>
    </w:p>
    <w:p w14:paraId="52D63C6A" w14:textId="77777777" w:rsidR="00047E69" w:rsidRPr="00BA2598" w:rsidRDefault="00047E69" w:rsidP="00816656">
      <w:pPr>
        <w:widowControl/>
        <w:adjustRightInd w:val="0"/>
        <w:snapToGrid w:val="0"/>
        <w:rPr>
          <w:rFonts w:ascii="Times New Roman" w:eastAsia="Times New Roman" w:hAnsi="Times New Roman" w:cs="Times New Roman"/>
          <w:i/>
          <w:sz w:val="15"/>
          <w:szCs w:val="15"/>
        </w:rPr>
      </w:pPr>
    </w:p>
    <w:p w14:paraId="7FD88798" w14:textId="3EACD35A" w:rsidR="00047E69" w:rsidRPr="00BA2598" w:rsidRDefault="00C210A5" w:rsidP="00816656">
      <w:pPr>
        <w:pStyle w:val="a5"/>
        <w:widowControl/>
        <w:adjustRightInd w:val="0"/>
        <w:snapToGrid w:val="0"/>
      </w:pPr>
      <w:r w:rsidRPr="00BA2598">
        <w:t xml:space="preserve">The recommended dose of </w:t>
      </w:r>
      <w:r w:rsidR="00A32819">
        <w:t>Vegzelma</w:t>
      </w:r>
      <w:r w:rsidRPr="00BA2598">
        <w:t>, administered as an intravenous infusion, is either 5 mg/kg or</w:t>
      </w:r>
    </w:p>
    <w:p w14:paraId="30D6D14C" w14:textId="77777777" w:rsidR="00047E69" w:rsidRPr="00BA2598" w:rsidRDefault="00C210A5" w:rsidP="00816656">
      <w:pPr>
        <w:pStyle w:val="a5"/>
        <w:widowControl/>
        <w:adjustRightInd w:val="0"/>
        <w:snapToGrid w:val="0"/>
      </w:pPr>
      <w:r w:rsidRPr="00BA2598">
        <w:t xml:space="preserve">10 mg/kg of body weight given once </w:t>
      </w:r>
      <w:r w:rsidRPr="00BA2598">
        <w:rPr>
          <w:u w:val="single" w:color="000000"/>
        </w:rPr>
        <w:t xml:space="preserve">every 2 weeks </w:t>
      </w:r>
      <w:r w:rsidRPr="00BA2598">
        <w:t xml:space="preserve">or 7.5 mg/kg or 15 mg/kg of body weight given once </w:t>
      </w:r>
      <w:r w:rsidRPr="00BA2598">
        <w:rPr>
          <w:u w:color="000000"/>
        </w:rPr>
        <w:t>every 3 weeks.</w:t>
      </w:r>
    </w:p>
    <w:p w14:paraId="3C282CD9" w14:textId="77777777" w:rsidR="00047E69" w:rsidRPr="00BA2598" w:rsidRDefault="00C210A5" w:rsidP="00816656">
      <w:pPr>
        <w:pStyle w:val="a5"/>
        <w:widowControl/>
        <w:adjustRightInd w:val="0"/>
        <w:snapToGrid w:val="0"/>
      </w:pPr>
      <w:r w:rsidRPr="00BA2598">
        <w:t>It is recommended that treatment be continued until progression of the underlying disease or until unacceptable toxicity.</w:t>
      </w:r>
    </w:p>
    <w:p w14:paraId="6C4D4B4F" w14:textId="77777777" w:rsidR="00047E69" w:rsidRPr="00BA2598" w:rsidRDefault="00047E69" w:rsidP="00816656">
      <w:pPr>
        <w:widowControl/>
        <w:adjustRightInd w:val="0"/>
        <w:snapToGrid w:val="0"/>
        <w:rPr>
          <w:rFonts w:ascii="Times New Roman" w:eastAsia="Times New Roman" w:hAnsi="Times New Roman" w:cs="Times New Roman"/>
          <w:sz w:val="21"/>
          <w:szCs w:val="21"/>
        </w:rPr>
      </w:pPr>
    </w:p>
    <w:p w14:paraId="6C4F04AA" w14:textId="77777777" w:rsidR="00047E69" w:rsidRPr="00BA2598" w:rsidRDefault="00C210A5" w:rsidP="00816656">
      <w:pPr>
        <w:widowControl/>
        <w:adjustRightInd w:val="0"/>
        <w:snapToGrid w:val="0"/>
        <w:rPr>
          <w:rFonts w:ascii="Times New Roman" w:eastAsia="Times New Roman" w:hAnsi="Times New Roman" w:cs="Times New Roman"/>
        </w:rPr>
      </w:pPr>
      <w:r w:rsidRPr="00BA2598">
        <w:rPr>
          <w:rFonts w:ascii="Times New Roman"/>
          <w:i/>
          <w:u w:val="single" w:color="000000"/>
        </w:rPr>
        <w:t>Metastatic breast cancer (mBC)</w:t>
      </w:r>
    </w:p>
    <w:p w14:paraId="2E72EE69" w14:textId="77777777" w:rsidR="00047E69" w:rsidRPr="00BA2598" w:rsidRDefault="00047E69" w:rsidP="00816656">
      <w:pPr>
        <w:widowControl/>
        <w:adjustRightInd w:val="0"/>
        <w:snapToGrid w:val="0"/>
        <w:rPr>
          <w:rFonts w:ascii="Times New Roman" w:eastAsia="Times New Roman" w:hAnsi="Times New Roman" w:cs="Times New Roman"/>
          <w:i/>
          <w:sz w:val="15"/>
          <w:szCs w:val="15"/>
        </w:rPr>
      </w:pPr>
    </w:p>
    <w:p w14:paraId="0A310757" w14:textId="0734E8A2" w:rsidR="00047E69" w:rsidRPr="00BA2598" w:rsidRDefault="00C210A5" w:rsidP="00816656">
      <w:pPr>
        <w:pStyle w:val="a5"/>
        <w:widowControl/>
        <w:adjustRightInd w:val="0"/>
        <w:snapToGrid w:val="0"/>
        <w:rPr>
          <w:rFonts w:eastAsiaTheme="minorEastAsia" w:cs="Times New Roman"/>
        </w:rPr>
      </w:pPr>
      <w:r w:rsidRPr="00BA2598">
        <w:t xml:space="preserve">The recommended dose of </w:t>
      </w:r>
      <w:r w:rsidR="00A32819">
        <w:t>Vegzelma</w:t>
      </w:r>
      <w:r w:rsidRPr="00BA2598">
        <w:t xml:space="preserve"> is 10 mg/kg of body weight given once every 2 weeks or 15 mg</w:t>
      </w:r>
      <w:r w:rsidRPr="00BA2598">
        <w:rPr>
          <w:rFonts w:eastAsiaTheme="minorEastAsia" w:cs="Times New Roman"/>
        </w:rPr>
        <w:t>/kg of body weight given once every 3 weeks as an intravenous infusion.</w:t>
      </w:r>
    </w:p>
    <w:p w14:paraId="15F35C3D" w14:textId="77777777" w:rsidR="00047E69" w:rsidRPr="00BA2598" w:rsidRDefault="00C210A5" w:rsidP="00816656">
      <w:pPr>
        <w:pStyle w:val="a5"/>
        <w:widowControl/>
        <w:adjustRightInd w:val="0"/>
        <w:snapToGrid w:val="0"/>
      </w:pPr>
      <w:r w:rsidRPr="00BA2598">
        <w:t>It is recommended that treatment be continued until progression of the underlying disease or until unacceptable toxicity.</w:t>
      </w:r>
    </w:p>
    <w:p w14:paraId="34265C83" w14:textId="77777777" w:rsidR="00047E69" w:rsidRPr="00BA2598" w:rsidRDefault="00047E69" w:rsidP="00816656">
      <w:pPr>
        <w:widowControl/>
        <w:adjustRightInd w:val="0"/>
        <w:snapToGrid w:val="0"/>
        <w:rPr>
          <w:rFonts w:ascii="Times New Roman" w:eastAsia="Times New Roman" w:hAnsi="Times New Roman" w:cs="Times New Roman"/>
          <w:sz w:val="21"/>
          <w:szCs w:val="21"/>
        </w:rPr>
      </w:pPr>
    </w:p>
    <w:p w14:paraId="3EB7EAF3" w14:textId="77777777" w:rsidR="00047E69" w:rsidRPr="00BA2598" w:rsidRDefault="00C210A5" w:rsidP="00816656">
      <w:pPr>
        <w:widowControl/>
        <w:adjustRightInd w:val="0"/>
        <w:snapToGrid w:val="0"/>
        <w:rPr>
          <w:rFonts w:ascii="Times New Roman" w:eastAsia="Times New Roman" w:hAnsi="Times New Roman" w:cs="Times New Roman"/>
        </w:rPr>
      </w:pPr>
      <w:r w:rsidRPr="00BA2598">
        <w:rPr>
          <w:rFonts w:ascii="Times New Roman"/>
          <w:i/>
          <w:u w:val="single" w:color="000000"/>
        </w:rPr>
        <w:t>Non-small cell lung cancer (NSCLC)</w:t>
      </w:r>
    </w:p>
    <w:p w14:paraId="30BD528E" w14:textId="77777777" w:rsidR="00047E69" w:rsidRPr="00BA2598" w:rsidRDefault="00047E69" w:rsidP="00816656">
      <w:pPr>
        <w:widowControl/>
        <w:adjustRightInd w:val="0"/>
        <w:snapToGrid w:val="0"/>
        <w:rPr>
          <w:rFonts w:ascii="Times New Roman" w:eastAsia="Times New Roman" w:hAnsi="Times New Roman" w:cs="Times New Roman"/>
          <w:i/>
          <w:sz w:val="15"/>
          <w:szCs w:val="15"/>
        </w:rPr>
      </w:pPr>
    </w:p>
    <w:p w14:paraId="6A14E91A" w14:textId="76AE67C0" w:rsidR="00047E69" w:rsidRPr="00BA2598" w:rsidRDefault="00C210A5" w:rsidP="00816656">
      <w:pPr>
        <w:widowControl/>
        <w:adjustRightInd w:val="0"/>
        <w:snapToGrid w:val="0"/>
        <w:rPr>
          <w:rFonts w:ascii="Times New Roman" w:eastAsia="Times New Roman" w:hAnsi="Times New Roman" w:cs="Times New Roman"/>
        </w:rPr>
      </w:pPr>
      <w:r w:rsidRPr="00BA2598">
        <w:rPr>
          <w:rFonts w:ascii="Times New Roman"/>
          <w:i/>
          <w:u w:color="000000"/>
        </w:rPr>
        <w:t>First</w:t>
      </w:r>
      <w:r w:rsidR="00FD0731" w:rsidRPr="00BA2598">
        <w:rPr>
          <w:rFonts w:ascii="Times New Roman"/>
          <w:i/>
          <w:u w:color="000000"/>
        </w:rPr>
        <w:noBreakHyphen/>
      </w:r>
      <w:r w:rsidRPr="00BA2598">
        <w:rPr>
          <w:rFonts w:ascii="Times New Roman"/>
          <w:i/>
          <w:u w:color="000000"/>
        </w:rPr>
        <w:t>line treatment of non</w:t>
      </w:r>
      <w:r w:rsidR="00FD0731" w:rsidRPr="00BA2598">
        <w:rPr>
          <w:rFonts w:ascii="Times New Roman"/>
          <w:i/>
          <w:u w:color="000000"/>
        </w:rPr>
        <w:noBreakHyphen/>
      </w:r>
      <w:r w:rsidRPr="00BA2598">
        <w:rPr>
          <w:rFonts w:ascii="Times New Roman"/>
          <w:i/>
          <w:u w:color="000000"/>
        </w:rPr>
        <w:t>squamous NSCLC in combination with platinum</w:t>
      </w:r>
      <w:r w:rsidR="00FD0731" w:rsidRPr="00BA2598">
        <w:rPr>
          <w:rFonts w:ascii="Times New Roman"/>
          <w:i/>
          <w:u w:color="000000"/>
        </w:rPr>
        <w:noBreakHyphen/>
      </w:r>
      <w:r w:rsidRPr="00BA2598">
        <w:rPr>
          <w:rFonts w:ascii="Times New Roman"/>
          <w:i/>
          <w:u w:color="000000"/>
        </w:rPr>
        <w:t>based chemotherapy</w:t>
      </w:r>
    </w:p>
    <w:p w14:paraId="3F3F6A47" w14:textId="77777777" w:rsidR="00047E69" w:rsidRPr="00BA2598" w:rsidRDefault="00047E69" w:rsidP="00816656">
      <w:pPr>
        <w:widowControl/>
        <w:adjustRightInd w:val="0"/>
        <w:snapToGrid w:val="0"/>
        <w:rPr>
          <w:rFonts w:ascii="Times New Roman" w:eastAsia="Times New Roman" w:hAnsi="Times New Roman" w:cs="Times New Roman"/>
          <w:i/>
          <w:sz w:val="15"/>
          <w:szCs w:val="15"/>
        </w:rPr>
      </w:pPr>
    </w:p>
    <w:p w14:paraId="7EDD0BD7" w14:textId="45175AF2" w:rsidR="00047E69" w:rsidRPr="00BA2598" w:rsidRDefault="00A32819" w:rsidP="00816656">
      <w:pPr>
        <w:pStyle w:val="a5"/>
        <w:widowControl/>
        <w:adjustRightInd w:val="0"/>
        <w:snapToGrid w:val="0"/>
      </w:pPr>
      <w:r>
        <w:t>Vegzelma</w:t>
      </w:r>
      <w:r w:rsidR="00C210A5" w:rsidRPr="00BA2598">
        <w:t xml:space="preserve"> is administered in addition to platinum</w:t>
      </w:r>
      <w:r w:rsidR="00FD0731" w:rsidRPr="00BA2598">
        <w:noBreakHyphen/>
      </w:r>
      <w:r w:rsidR="00C210A5" w:rsidRPr="00BA2598">
        <w:t>based chemotherapy for up to 6 cycles of treatment followed b</w:t>
      </w:r>
      <w:r w:rsidR="00C210A5" w:rsidRPr="00BA2598">
        <w:rPr>
          <w:rFonts w:eastAsiaTheme="minorEastAsia" w:cs="Times New Roman"/>
        </w:rPr>
        <w:t xml:space="preserve">y </w:t>
      </w:r>
      <w:r>
        <w:rPr>
          <w:rFonts w:eastAsiaTheme="minorEastAsia" w:cs="Times New Roman"/>
        </w:rPr>
        <w:t>Vegzelma</w:t>
      </w:r>
      <w:r w:rsidR="00C210A5" w:rsidRPr="00BA2598">
        <w:rPr>
          <w:rFonts w:eastAsiaTheme="minorEastAsia" w:cs="Times New Roman"/>
        </w:rPr>
        <w:t xml:space="preserve"> a</w:t>
      </w:r>
      <w:r w:rsidR="00C210A5" w:rsidRPr="00BA2598">
        <w:t>s a single agent until disease progression.</w:t>
      </w:r>
    </w:p>
    <w:p w14:paraId="011C4673" w14:textId="77777777" w:rsidR="00047E69" w:rsidRPr="00BA2598" w:rsidRDefault="00047E69" w:rsidP="00816656">
      <w:pPr>
        <w:pStyle w:val="a5"/>
        <w:widowControl/>
        <w:adjustRightInd w:val="0"/>
        <w:snapToGrid w:val="0"/>
      </w:pPr>
    </w:p>
    <w:p w14:paraId="34C74953" w14:textId="2C08CEB5" w:rsidR="00047E69" w:rsidRPr="00BA2598" w:rsidRDefault="00C210A5" w:rsidP="00816656">
      <w:pPr>
        <w:pStyle w:val="a5"/>
        <w:widowControl/>
        <w:adjustRightInd w:val="0"/>
        <w:snapToGrid w:val="0"/>
      </w:pPr>
      <w:r w:rsidRPr="00BA2598">
        <w:t xml:space="preserve">The recommended dose of </w:t>
      </w:r>
      <w:r w:rsidR="00A32819">
        <w:t>Vegzelma</w:t>
      </w:r>
      <w:r w:rsidRPr="00BA2598">
        <w:t xml:space="preserve"> is 7.5 mg/kg or 15 mg/kg of body weight given once every 3</w:t>
      </w:r>
      <w:r>
        <w:rPr>
          <w:spacing w:val="59"/>
        </w:rPr>
        <w:t xml:space="preserve"> </w:t>
      </w:r>
      <w:r w:rsidRPr="00BA2598">
        <w:t>weeks as an intravenous infusion.</w:t>
      </w:r>
    </w:p>
    <w:p w14:paraId="5C54BAB0" w14:textId="77777777" w:rsidR="00047E69" w:rsidRPr="00BA2598" w:rsidRDefault="00047E69" w:rsidP="00816656">
      <w:pPr>
        <w:pStyle w:val="a5"/>
        <w:widowControl/>
        <w:adjustRightInd w:val="0"/>
        <w:snapToGrid w:val="0"/>
        <w:spacing w:line="241" w:lineRule="auto"/>
      </w:pPr>
    </w:p>
    <w:p w14:paraId="398AC67F" w14:textId="77777777" w:rsidR="00047E69" w:rsidRPr="00BA2598" w:rsidRDefault="00C210A5" w:rsidP="00F95C9D">
      <w:pPr>
        <w:pStyle w:val="a5"/>
        <w:widowControl/>
        <w:adjustRightInd w:val="0"/>
        <w:snapToGrid w:val="0"/>
      </w:pPr>
      <w:r w:rsidRPr="00BA2598">
        <w:lastRenderedPageBreak/>
        <w:t>Clinical benefit in NSCLC patients has been demonstrated with both 7.5 mg/kg and 15 mg/kg doses (see section 5.1).</w:t>
      </w:r>
    </w:p>
    <w:p w14:paraId="1BEDBC1F" w14:textId="77777777" w:rsidR="00047E69" w:rsidRPr="00BA2598" w:rsidRDefault="00047E69" w:rsidP="00F95C9D">
      <w:pPr>
        <w:pStyle w:val="a5"/>
        <w:widowControl/>
        <w:adjustRightInd w:val="0"/>
        <w:snapToGrid w:val="0"/>
      </w:pPr>
    </w:p>
    <w:p w14:paraId="0A56BDC4" w14:textId="77777777" w:rsidR="00047E69" w:rsidRPr="00BA2598" w:rsidRDefault="00C210A5" w:rsidP="00F95C9D">
      <w:pPr>
        <w:pStyle w:val="a5"/>
        <w:widowControl/>
        <w:adjustRightInd w:val="0"/>
        <w:snapToGrid w:val="0"/>
      </w:pPr>
      <w:r w:rsidRPr="00BA2598">
        <w:t>It is recommended that treatment be continued until progression of the underlying disease or until unacceptable toxicity.</w:t>
      </w:r>
    </w:p>
    <w:p w14:paraId="3CBACD23"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655C95BF" w14:textId="00B2D1D2"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i/>
          <w:u w:color="000000"/>
        </w:rPr>
        <w:t>First</w:t>
      </w:r>
      <w:r w:rsidR="00FD0731" w:rsidRPr="00BA2598">
        <w:rPr>
          <w:rFonts w:ascii="Times New Roman"/>
          <w:i/>
          <w:u w:color="000000"/>
        </w:rPr>
        <w:noBreakHyphen/>
      </w:r>
      <w:r w:rsidRPr="00BA2598">
        <w:rPr>
          <w:rFonts w:ascii="Times New Roman"/>
          <w:i/>
          <w:u w:color="000000"/>
        </w:rPr>
        <w:t>line treatment of non</w:t>
      </w:r>
      <w:r w:rsidR="00FD0731" w:rsidRPr="00BA2598">
        <w:rPr>
          <w:rFonts w:ascii="Times New Roman"/>
          <w:i/>
          <w:u w:color="000000"/>
        </w:rPr>
        <w:noBreakHyphen/>
      </w:r>
      <w:r w:rsidRPr="00BA2598">
        <w:rPr>
          <w:rFonts w:ascii="Times New Roman"/>
          <w:i/>
          <w:u w:color="000000"/>
        </w:rPr>
        <w:t>squamous NSCLC with EGFR activating mutations in combination with</w:t>
      </w:r>
      <w:r w:rsidRPr="00BA2598">
        <w:rPr>
          <w:rFonts w:ascii="Times New Roman"/>
          <w:i/>
        </w:rPr>
        <w:t xml:space="preserve"> </w:t>
      </w:r>
      <w:r w:rsidRPr="00BA2598">
        <w:rPr>
          <w:rFonts w:ascii="Times New Roman"/>
          <w:i/>
          <w:u w:color="000000"/>
        </w:rPr>
        <w:t>erlotinib</w:t>
      </w:r>
    </w:p>
    <w:p w14:paraId="2BE9BF04" w14:textId="77777777" w:rsidR="00047E69" w:rsidRPr="00BA2598" w:rsidRDefault="00047E69" w:rsidP="00F95C9D">
      <w:pPr>
        <w:widowControl/>
        <w:adjustRightInd w:val="0"/>
        <w:snapToGrid w:val="0"/>
        <w:rPr>
          <w:rFonts w:ascii="Times New Roman" w:eastAsia="Times New Roman" w:hAnsi="Times New Roman" w:cs="Times New Roman"/>
          <w:i/>
          <w:sz w:val="15"/>
          <w:szCs w:val="15"/>
        </w:rPr>
      </w:pPr>
    </w:p>
    <w:p w14:paraId="4151D53E" w14:textId="68EEB298" w:rsidR="00047E69" w:rsidRPr="00BA2598" w:rsidRDefault="00C210A5" w:rsidP="00F95C9D">
      <w:pPr>
        <w:pStyle w:val="a5"/>
        <w:widowControl/>
        <w:adjustRightInd w:val="0"/>
        <w:snapToGrid w:val="0"/>
      </w:pPr>
      <w:r w:rsidRPr="00BA2598">
        <w:t xml:space="preserve">EGFR mutation testing should be performed prior to initiation of treatment with the combination of </w:t>
      </w:r>
      <w:r w:rsidR="00A32819">
        <w:t>Vegzelma</w:t>
      </w:r>
      <w:r w:rsidRPr="00BA2598">
        <w:t xml:space="preserve"> and erlotinib. It is important that a well</w:t>
      </w:r>
      <w:r w:rsidR="00FD0731" w:rsidRPr="00BA2598">
        <w:noBreakHyphen/>
      </w:r>
      <w:r w:rsidRPr="00BA2598">
        <w:t>validated and robust methodology is chosen to avo</w:t>
      </w:r>
      <w:r w:rsidRPr="00BA2598">
        <w:rPr>
          <w:rFonts w:eastAsiaTheme="minorEastAsia" w:cs="Times New Roman"/>
        </w:rPr>
        <w:t>id false negative or false p</w:t>
      </w:r>
      <w:r w:rsidRPr="00BA2598">
        <w:t>ositive determinations.</w:t>
      </w:r>
    </w:p>
    <w:p w14:paraId="7B6E8EBA" w14:textId="77777777" w:rsidR="00047E69" w:rsidRPr="00BA2598" w:rsidRDefault="00047E69" w:rsidP="00F95C9D">
      <w:pPr>
        <w:pStyle w:val="a5"/>
        <w:widowControl/>
        <w:adjustRightInd w:val="0"/>
        <w:snapToGrid w:val="0"/>
      </w:pPr>
    </w:p>
    <w:p w14:paraId="5B66624A" w14:textId="28465DF1" w:rsidR="00047E69" w:rsidRPr="00BA2598" w:rsidRDefault="00C210A5" w:rsidP="00F95C9D">
      <w:pPr>
        <w:pStyle w:val="a5"/>
        <w:widowControl/>
        <w:adjustRightInd w:val="0"/>
        <w:snapToGrid w:val="0"/>
      </w:pPr>
      <w:r w:rsidRPr="00BA2598">
        <w:t xml:space="preserve">The recommended dose of </w:t>
      </w:r>
      <w:r w:rsidR="00A32819">
        <w:t>Vegzelma</w:t>
      </w:r>
      <w:r w:rsidRPr="00BA2598">
        <w:t xml:space="preserve"> when used in addition to erlotinib is 15 mg/kg of body weight given once every 3 weeks as an intravenous infusion.</w:t>
      </w:r>
    </w:p>
    <w:p w14:paraId="01D5A04E"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7B7387A1" w14:textId="2E8EAF88" w:rsidR="00047E69" w:rsidRPr="00BA2598" w:rsidRDefault="00C210A5" w:rsidP="00F95C9D">
      <w:pPr>
        <w:pStyle w:val="a5"/>
        <w:widowControl/>
        <w:adjustRightInd w:val="0"/>
        <w:snapToGrid w:val="0"/>
      </w:pPr>
      <w:r w:rsidRPr="00BA2598">
        <w:t xml:space="preserve">It is recommended that the treatment with </w:t>
      </w:r>
      <w:r w:rsidR="00A32819">
        <w:t>Vegzelma</w:t>
      </w:r>
      <w:r w:rsidRPr="00BA2598">
        <w:t xml:space="preserve"> in addition to erlotinib is continued until disease progression.</w:t>
      </w:r>
    </w:p>
    <w:p w14:paraId="1A272DA5"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6C0ECA9C" w14:textId="77777777" w:rsidR="00047E69" w:rsidRPr="00BA2598" w:rsidRDefault="00C210A5" w:rsidP="00F95C9D">
      <w:pPr>
        <w:pStyle w:val="a5"/>
        <w:widowControl/>
        <w:adjustRightInd w:val="0"/>
        <w:snapToGrid w:val="0"/>
      </w:pPr>
      <w:r w:rsidRPr="00BA2598">
        <w:t>For the posology and method of administration of erlotinib, please refer to the full erlotinib prescribing information.</w:t>
      </w:r>
    </w:p>
    <w:p w14:paraId="0E7FC14E"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56277FE9" w14:textId="77777777"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i/>
          <w:u w:val="single" w:color="000000"/>
        </w:rPr>
        <w:t>Advanced and/or metastatic renal cell cancer (mRCC)</w:t>
      </w:r>
    </w:p>
    <w:p w14:paraId="4462FEC9" w14:textId="77777777" w:rsidR="00047E69" w:rsidRPr="00BA2598" w:rsidRDefault="00047E69" w:rsidP="00F95C9D">
      <w:pPr>
        <w:widowControl/>
        <w:adjustRightInd w:val="0"/>
        <w:snapToGrid w:val="0"/>
        <w:rPr>
          <w:rFonts w:ascii="Times New Roman" w:eastAsia="Times New Roman" w:hAnsi="Times New Roman" w:cs="Times New Roman"/>
          <w:i/>
          <w:sz w:val="15"/>
          <w:szCs w:val="15"/>
        </w:rPr>
      </w:pPr>
    </w:p>
    <w:p w14:paraId="24D54980" w14:textId="5AAC5DFD" w:rsidR="00047E69" w:rsidRPr="00BA2598" w:rsidRDefault="00C210A5" w:rsidP="00F95C9D">
      <w:pPr>
        <w:pStyle w:val="a5"/>
        <w:widowControl/>
        <w:adjustRightInd w:val="0"/>
        <w:snapToGrid w:val="0"/>
      </w:pPr>
      <w:r w:rsidRPr="00BA2598">
        <w:t xml:space="preserve">The recommended dose of </w:t>
      </w:r>
      <w:r w:rsidR="00A32819">
        <w:t>Vegzelma</w:t>
      </w:r>
      <w:r w:rsidRPr="00BA2598">
        <w:rPr>
          <w:rFonts w:eastAsiaTheme="minorEastAsia" w:cs="Times New Roman"/>
        </w:rPr>
        <w:t xml:space="preserve"> is 10 mg/</w:t>
      </w:r>
      <w:r w:rsidRPr="00BA2598">
        <w:t>kg of body weight given once every 2 weeks as an intravenous infusion.</w:t>
      </w:r>
    </w:p>
    <w:p w14:paraId="25717D3B" w14:textId="77777777" w:rsidR="00047E69" w:rsidRPr="00BA2598" w:rsidRDefault="00C210A5" w:rsidP="00F95C9D">
      <w:pPr>
        <w:pStyle w:val="a5"/>
        <w:widowControl/>
        <w:adjustRightInd w:val="0"/>
        <w:snapToGrid w:val="0"/>
      </w:pPr>
      <w:r w:rsidRPr="00BA2598">
        <w:t>It is recommended that treatment be continued until progression of the underlying disease or until unacceptable toxicity.</w:t>
      </w:r>
    </w:p>
    <w:p w14:paraId="0DDE1016"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1B1BD2B1" w14:textId="77777777"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i/>
          <w:u w:val="single" w:color="000000"/>
        </w:rPr>
        <w:t>Epithelial ovarian, fallopian tube and primary peritoneal cancer</w:t>
      </w:r>
    </w:p>
    <w:p w14:paraId="156E9AB5" w14:textId="77777777" w:rsidR="00047E69" w:rsidRPr="00BA2598" w:rsidRDefault="00047E69" w:rsidP="00F95C9D">
      <w:pPr>
        <w:widowControl/>
        <w:adjustRightInd w:val="0"/>
        <w:snapToGrid w:val="0"/>
        <w:rPr>
          <w:rFonts w:ascii="Times New Roman" w:eastAsia="Times New Roman" w:hAnsi="Times New Roman" w:cs="Times New Roman"/>
          <w:i/>
          <w:sz w:val="15"/>
          <w:szCs w:val="15"/>
        </w:rPr>
      </w:pPr>
    </w:p>
    <w:p w14:paraId="4F31D364" w14:textId="5D6A5250" w:rsidR="00047E69" w:rsidRPr="00BA2598" w:rsidRDefault="00C210A5" w:rsidP="00F95C9D">
      <w:pPr>
        <w:pStyle w:val="a5"/>
        <w:widowControl/>
        <w:adjustRightInd w:val="0"/>
        <w:snapToGrid w:val="0"/>
      </w:pPr>
      <w:r w:rsidRPr="00BA2598">
        <w:rPr>
          <w:i/>
          <w:u w:color="000000"/>
        </w:rPr>
        <w:t>Front</w:t>
      </w:r>
      <w:r w:rsidR="00FD0731" w:rsidRPr="00BA2598">
        <w:rPr>
          <w:i/>
          <w:u w:color="000000"/>
        </w:rPr>
        <w:noBreakHyphen/>
      </w:r>
      <w:r w:rsidRPr="00BA2598">
        <w:rPr>
          <w:i/>
          <w:u w:color="000000"/>
        </w:rPr>
        <w:t>line treatment</w:t>
      </w:r>
      <w:r w:rsidRPr="00BA2598">
        <w:rPr>
          <w:i/>
        </w:rPr>
        <w:t xml:space="preserve">: </w:t>
      </w:r>
      <w:r w:rsidR="00A32819">
        <w:t>Vegzelma</w:t>
      </w:r>
      <w:r w:rsidRPr="00BA2598">
        <w:t xml:space="preserve"> is administered in addition to carboplatin and paclitaxel for up to 6 cycles of treatment followed by continued use of </w:t>
      </w:r>
      <w:r w:rsidR="00A32819">
        <w:t>Vegzelma</w:t>
      </w:r>
      <w:r w:rsidRPr="00BA2598">
        <w:t xml:space="preserve"> as single agent until disease progression or for a maximum of 15 months or until unacceptable toxicity, whichever occurs earlier.</w:t>
      </w:r>
    </w:p>
    <w:p w14:paraId="458781AA" w14:textId="52E4B3A2" w:rsidR="00047E69" w:rsidRPr="00BA2598" w:rsidRDefault="00C210A5" w:rsidP="00F95C9D">
      <w:pPr>
        <w:pStyle w:val="a5"/>
        <w:widowControl/>
        <w:adjustRightInd w:val="0"/>
        <w:snapToGrid w:val="0"/>
      </w:pPr>
      <w:r w:rsidRPr="00BA2598">
        <w:t xml:space="preserve">The recommended dose of </w:t>
      </w:r>
      <w:r w:rsidR="00A32819">
        <w:t>Vegzelma</w:t>
      </w:r>
      <w:r w:rsidRPr="00BA2598">
        <w:t xml:space="preserve"> is 15 mg/kg of body weight given once every 3 weeks as an intravenous infusion.</w:t>
      </w:r>
    </w:p>
    <w:p w14:paraId="7A862488" w14:textId="77777777" w:rsidR="00047E69" w:rsidRPr="00BA2598" w:rsidRDefault="00047E69" w:rsidP="00F95C9D">
      <w:pPr>
        <w:widowControl/>
        <w:adjustRightInd w:val="0"/>
        <w:snapToGrid w:val="0"/>
        <w:rPr>
          <w:rFonts w:ascii="Times New Roman" w:eastAsia="Times New Roman" w:hAnsi="Times New Roman" w:cs="Times New Roman"/>
        </w:rPr>
      </w:pPr>
    </w:p>
    <w:p w14:paraId="07346414" w14:textId="3D442ACE" w:rsidR="00047E69" w:rsidRPr="00BA2598" w:rsidRDefault="00C210A5" w:rsidP="00F95C9D">
      <w:pPr>
        <w:pStyle w:val="a5"/>
        <w:widowControl/>
        <w:adjustRightInd w:val="0"/>
        <w:snapToGrid w:val="0"/>
      </w:pPr>
      <w:r w:rsidRPr="00BA2598">
        <w:rPr>
          <w:i/>
          <w:u w:color="000000"/>
        </w:rPr>
        <w:t>Treatment of platinum</w:t>
      </w:r>
      <w:r w:rsidR="00FD0731" w:rsidRPr="00BA2598">
        <w:rPr>
          <w:i/>
          <w:u w:color="000000"/>
        </w:rPr>
        <w:noBreakHyphen/>
      </w:r>
      <w:r w:rsidRPr="00BA2598">
        <w:rPr>
          <w:i/>
          <w:u w:color="000000"/>
        </w:rPr>
        <w:t>sensitive recurrent disease</w:t>
      </w:r>
      <w:r w:rsidRPr="00BA2598">
        <w:rPr>
          <w:i/>
        </w:rPr>
        <w:t xml:space="preserve">: </w:t>
      </w:r>
      <w:r w:rsidR="00A32819">
        <w:t>Vegzelma</w:t>
      </w:r>
      <w:r w:rsidRPr="00BA2598">
        <w:t xml:space="preserve"> is administered in combination with either carboplatin and gemcitabine for 6 cycles and up to 10 cycles or in combination with carboplatin and paclitaxel for 6 cycles and up to 8 cycles, followed by continued use of </w:t>
      </w:r>
      <w:r w:rsidR="00A32819">
        <w:t>Vegzelma</w:t>
      </w:r>
      <w:r w:rsidRPr="00BA2598">
        <w:t xml:space="preserve"> as single agent until disease progression. The recommended dose of </w:t>
      </w:r>
      <w:r w:rsidR="00A32819">
        <w:t>Vegzelma</w:t>
      </w:r>
      <w:r w:rsidRPr="00BA2598">
        <w:t xml:space="preserve"> is 15 mg/kg of body weight given</w:t>
      </w:r>
      <w:r w:rsidRPr="00BA2598">
        <w:rPr>
          <w:rFonts w:eastAsiaTheme="minorEastAsia" w:cs="Times New Roman"/>
        </w:rPr>
        <w:t xml:space="preserve"> once every 3 weeks as an intrav</w:t>
      </w:r>
      <w:r w:rsidRPr="00BA2598">
        <w:t>enous infusion.</w:t>
      </w:r>
    </w:p>
    <w:p w14:paraId="7FF011AD"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37E325D1" w14:textId="7AC5E846" w:rsidR="00047E69" w:rsidRPr="00BA2598" w:rsidRDefault="00C210A5" w:rsidP="00F95C9D">
      <w:pPr>
        <w:pStyle w:val="a5"/>
        <w:widowControl/>
        <w:adjustRightInd w:val="0"/>
        <w:snapToGrid w:val="0"/>
      </w:pPr>
      <w:r w:rsidRPr="00BA2598">
        <w:rPr>
          <w:rFonts w:cs="Times New Roman"/>
          <w:i/>
          <w:u w:color="000000"/>
        </w:rPr>
        <w:t>Treatment of platinum</w:t>
      </w:r>
      <w:r w:rsidR="00FD0731" w:rsidRPr="00BA2598">
        <w:rPr>
          <w:rFonts w:cs="Times New Roman"/>
          <w:i/>
          <w:u w:color="000000"/>
        </w:rPr>
        <w:noBreakHyphen/>
      </w:r>
      <w:r w:rsidRPr="00BA2598">
        <w:rPr>
          <w:rFonts w:cs="Times New Roman"/>
          <w:i/>
          <w:u w:color="000000"/>
        </w:rPr>
        <w:t>resistant recurrent disease</w:t>
      </w:r>
      <w:r w:rsidRPr="00BA2598">
        <w:rPr>
          <w:rFonts w:cs="Times New Roman"/>
          <w:i/>
        </w:rPr>
        <w:t xml:space="preserve">: </w:t>
      </w:r>
      <w:r w:rsidR="00A32819">
        <w:t>Vegzelma</w:t>
      </w:r>
      <w:r w:rsidRPr="00BA2598">
        <w:t xml:space="preserve"> is administered in combination with on</w:t>
      </w:r>
      <w:r w:rsidRPr="00BA2598">
        <w:rPr>
          <w:rFonts w:eastAsiaTheme="minorEastAsia" w:cs="Times New Roman"/>
        </w:rPr>
        <w:t>e of the follo</w:t>
      </w:r>
      <w:r w:rsidRPr="00BA2598">
        <w:t>wing agents – paclita</w:t>
      </w:r>
      <w:r w:rsidRPr="00BA2598">
        <w:rPr>
          <w:rFonts w:eastAsiaTheme="minorEastAsia" w:cs="Times New Roman"/>
        </w:rPr>
        <w:t>xel, topotec</w:t>
      </w:r>
      <w:r w:rsidRPr="00BA2598">
        <w:t>an (given weekly) or pegylated liposomal doxorubicin. The</w:t>
      </w:r>
      <w:r w:rsidRPr="00BA2598">
        <w:rPr>
          <w:rFonts w:eastAsiaTheme="minorEastAsia" w:cs="Times New Roman"/>
        </w:rPr>
        <w:t xml:space="preserve"> recommen</w:t>
      </w:r>
      <w:r w:rsidRPr="00BA2598">
        <w:t xml:space="preserve">ded dose of </w:t>
      </w:r>
      <w:r w:rsidR="00A32819">
        <w:t>Vegzelma</w:t>
      </w:r>
      <w:r w:rsidRPr="00BA2598">
        <w:t xml:space="preserve"> is 10 mg/kg of body weight given once every 2 weeks as an intravenous infusion. When </w:t>
      </w:r>
      <w:r w:rsidR="00A32819">
        <w:t>Vegzelma</w:t>
      </w:r>
      <w:r w:rsidRPr="00BA2598">
        <w:t xml:space="preserve"> is administered in combination with topotecan (given on days 1-</w:t>
      </w:r>
      <w:r w:rsidRPr="00BA2598">
        <w:rPr>
          <w:rFonts w:eastAsiaTheme="minorEastAsia" w:cs="Times New Roman"/>
        </w:rPr>
        <w:t>5, every 3 week</w:t>
      </w:r>
      <w:r w:rsidRPr="00BA2598">
        <w:t xml:space="preserve">s), the recommended dose of </w:t>
      </w:r>
      <w:r w:rsidR="00A32819">
        <w:t>Vegzelma</w:t>
      </w:r>
      <w:r w:rsidRPr="00BA2598">
        <w:t xml:space="preserve"> is 15 mg/kg of body weight given once eve</w:t>
      </w:r>
      <w:r w:rsidRPr="00BA2598">
        <w:rPr>
          <w:rFonts w:eastAsiaTheme="minorEastAsia" w:cs="Times New Roman"/>
        </w:rPr>
        <w:t>ry 3 weeks as an intravenous infusion. It is recommended that treatment be continued until disease progre</w:t>
      </w:r>
      <w:r w:rsidRPr="00BA2598">
        <w:t>ssion or unacceptable toxicity (see section 5.1, study MO22224).</w:t>
      </w:r>
    </w:p>
    <w:p w14:paraId="202E8218" w14:textId="77777777" w:rsidR="00047E69" w:rsidRPr="00BA2598" w:rsidRDefault="00047E69" w:rsidP="00F95C9D">
      <w:pPr>
        <w:widowControl/>
        <w:adjustRightInd w:val="0"/>
        <w:snapToGrid w:val="0"/>
        <w:rPr>
          <w:rFonts w:ascii="Times New Roman" w:eastAsia="Times New Roman" w:hAnsi="Times New Roman" w:cs="Times New Roman"/>
        </w:rPr>
      </w:pPr>
    </w:p>
    <w:p w14:paraId="33418AEB" w14:textId="26AA21E4"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i/>
          <w:u w:val="single" w:color="000000"/>
        </w:rPr>
        <w:t xml:space="preserve">Cervical </w:t>
      </w:r>
      <w:r w:rsidR="003D2B07" w:rsidRPr="00BA2598">
        <w:rPr>
          <w:rFonts w:ascii="Times New Roman"/>
          <w:i/>
          <w:u w:val="single" w:color="000000"/>
        </w:rPr>
        <w:t>c</w:t>
      </w:r>
      <w:r w:rsidRPr="00BA2598">
        <w:rPr>
          <w:rFonts w:ascii="Times New Roman"/>
          <w:i/>
          <w:u w:val="single" w:color="000000"/>
        </w:rPr>
        <w:t>ancer</w:t>
      </w:r>
    </w:p>
    <w:p w14:paraId="747B15AF" w14:textId="77777777" w:rsidR="00047E69" w:rsidRPr="00BA2598" w:rsidRDefault="00047E69" w:rsidP="00F95C9D">
      <w:pPr>
        <w:widowControl/>
        <w:adjustRightInd w:val="0"/>
        <w:snapToGrid w:val="0"/>
        <w:rPr>
          <w:rFonts w:ascii="Times New Roman" w:eastAsia="Times New Roman" w:hAnsi="Times New Roman" w:cs="Times New Roman"/>
          <w:i/>
          <w:sz w:val="15"/>
          <w:szCs w:val="15"/>
        </w:rPr>
      </w:pPr>
    </w:p>
    <w:p w14:paraId="30FBE33F" w14:textId="156CC9AE" w:rsidR="00047E69" w:rsidRPr="00BA2598" w:rsidRDefault="00A32819" w:rsidP="00F95C9D">
      <w:pPr>
        <w:pStyle w:val="a5"/>
        <w:widowControl/>
        <w:adjustRightInd w:val="0"/>
        <w:snapToGrid w:val="0"/>
      </w:pPr>
      <w:r>
        <w:t>Vegzelma</w:t>
      </w:r>
      <w:r w:rsidR="00C210A5" w:rsidRPr="00BA2598">
        <w:t xml:space="preserve"> is administered in combination with one of the following chemotherapy regimens: paclitaxel and cisplatin or paclitaxel and topotecan.</w:t>
      </w:r>
    </w:p>
    <w:p w14:paraId="4A49A75A"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06A5FBC5" w14:textId="0981E29E" w:rsidR="00047E69" w:rsidRPr="00BA2598" w:rsidRDefault="00C210A5" w:rsidP="00F95C9D">
      <w:pPr>
        <w:pStyle w:val="a5"/>
        <w:widowControl/>
        <w:adjustRightInd w:val="0"/>
        <w:snapToGrid w:val="0"/>
      </w:pPr>
      <w:r w:rsidRPr="00BA2598">
        <w:t xml:space="preserve">The recommended dose of </w:t>
      </w:r>
      <w:r w:rsidR="00A32819">
        <w:t>Vegzelma</w:t>
      </w:r>
      <w:r w:rsidRPr="00BA2598">
        <w:t xml:space="preserve"> is 15 mg/kg of body weight given once every 3 weeks as an intravenous infusion.</w:t>
      </w:r>
    </w:p>
    <w:p w14:paraId="28B86067"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44570CDC" w14:textId="77777777" w:rsidR="00047E69" w:rsidRPr="00BA2598" w:rsidRDefault="00C210A5" w:rsidP="00F95C9D">
      <w:pPr>
        <w:pStyle w:val="a5"/>
        <w:widowControl/>
        <w:adjustRightInd w:val="0"/>
        <w:snapToGrid w:val="0"/>
      </w:pPr>
      <w:r w:rsidRPr="00BA2598">
        <w:lastRenderedPageBreak/>
        <w:t>It is recommended that treatment be continued until progression of the underlying disease or until unacceptable toxicity (see section 5.1).</w:t>
      </w:r>
    </w:p>
    <w:p w14:paraId="5A952BA9"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27B8E722" w14:textId="77777777"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i/>
          <w:u w:val="single" w:color="000000"/>
        </w:rPr>
        <w:t>Special populations</w:t>
      </w:r>
    </w:p>
    <w:p w14:paraId="7B87DD0A" w14:textId="77777777" w:rsidR="00047E69" w:rsidRPr="00BA2598" w:rsidRDefault="00047E69" w:rsidP="00F95C9D">
      <w:pPr>
        <w:widowControl/>
        <w:adjustRightInd w:val="0"/>
        <w:snapToGrid w:val="0"/>
        <w:rPr>
          <w:rFonts w:ascii="Times New Roman" w:eastAsia="Times New Roman" w:hAnsi="Times New Roman" w:cs="Times New Roman"/>
          <w:i/>
          <w:sz w:val="15"/>
          <w:szCs w:val="15"/>
        </w:rPr>
      </w:pPr>
    </w:p>
    <w:p w14:paraId="2637B2BC" w14:textId="77777777" w:rsidR="00047E69" w:rsidRPr="00BA2598" w:rsidRDefault="00C210A5" w:rsidP="00F95C9D">
      <w:pPr>
        <w:widowControl/>
        <w:adjustRightInd w:val="0"/>
        <w:snapToGrid w:val="0"/>
        <w:rPr>
          <w:rFonts w:ascii="Times New Roman" w:eastAsia="Times New Roman" w:hAnsi="Times New Roman" w:cs="Times New Roman"/>
          <w:i/>
        </w:rPr>
      </w:pPr>
      <w:r w:rsidRPr="00BA2598">
        <w:rPr>
          <w:rFonts w:ascii="Times New Roman" w:eastAsia="Times New Roman" w:hAnsi="Times New Roman" w:cs="Times New Roman"/>
          <w:i/>
        </w:rPr>
        <w:t xml:space="preserve">Elderly patients </w:t>
      </w:r>
    </w:p>
    <w:p w14:paraId="41D09191" w14:textId="081D6D51"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eastAsia="Times New Roman" w:hAnsi="Times New Roman" w:cs="Times New Roman"/>
        </w:rPr>
        <w:t>No dose adjustment is required in patients ≥ 65 years of age.</w:t>
      </w:r>
    </w:p>
    <w:p w14:paraId="796D3526" w14:textId="77777777" w:rsidR="00047E69" w:rsidRPr="00BA2598" w:rsidRDefault="00047E69" w:rsidP="00F95C9D">
      <w:pPr>
        <w:widowControl/>
        <w:adjustRightInd w:val="0"/>
        <w:snapToGrid w:val="0"/>
        <w:rPr>
          <w:rFonts w:ascii="Times New Roman" w:eastAsia="Times New Roman" w:hAnsi="Times New Roman" w:cs="Times New Roman"/>
          <w:sz w:val="21"/>
          <w:szCs w:val="21"/>
        </w:rPr>
      </w:pPr>
    </w:p>
    <w:p w14:paraId="6D9CEBF6" w14:textId="77777777" w:rsidR="00047E69" w:rsidRPr="00BA2598" w:rsidRDefault="00C210A5" w:rsidP="00F95C9D">
      <w:pPr>
        <w:widowControl/>
        <w:adjustRightInd w:val="0"/>
        <w:snapToGrid w:val="0"/>
        <w:rPr>
          <w:rFonts w:ascii="Times New Roman"/>
        </w:rPr>
      </w:pPr>
      <w:r w:rsidRPr="00BA2598">
        <w:rPr>
          <w:rFonts w:ascii="Times New Roman"/>
          <w:i/>
        </w:rPr>
        <w:t>Patients with renal impairment</w:t>
      </w:r>
    </w:p>
    <w:p w14:paraId="381531A1" w14:textId="77777777"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rPr>
        <w:t>The safety and efficacy have not been studied in patients with renal impairment (see section 5.2).</w:t>
      </w:r>
    </w:p>
    <w:p w14:paraId="201DD1AB" w14:textId="77777777" w:rsidR="00047E69" w:rsidRPr="00BA2598" w:rsidRDefault="00047E69" w:rsidP="00F95C9D">
      <w:pPr>
        <w:widowControl/>
        <w:adjustRightInd w:val="0"/>
        <w:snapToGrid w:val="0"/>
        <w:rPr>
          <w:rFonts w:ascii="Times New Roman"/>
          <w:i/>
        </w:rPr>
      </w:pPr>
    </w:p>
    <w:p w14:paraId="33016157" w14:textId="77777777" w:rsidR="00047E69" w:rsidRPr="00BA2598" w:rsidRDefault="00C210A5" w:rsidP="00F95C9D">
      <w:pPr>
        <w:widowControl/>
        <w:adjustRightInd w:val="0"/>
        <w:snapToGrid w:val="0"/>
        <w:rPr>
          <w:rFonts w:ascii="Times New Roman"/>
        </w:rPr>
      </w:pPr>
      <w:r w:rsidRPr="00BA2598">
        <w:rPr>
          <w:rFonts w:ascii="Times New Roman"/>
          <w:i/>
        </w:rPr>
        <w:t>Patients with hepatic impairment</w:t>
      </w:r>
    </w:p>
    <w:p w14:paraId="570026BD" w14:textId="77777777" w:rsidR="00047E69" w:rsidRPr="00BA2598" w:rsidRDefault="00C210A5" w:rsidP="00F95C9D">
      <w:pPr>
        <w:widowControl/>
        <w:adjustRightInd w:val="0"/>
        <w:snapToGrid w:val="0"/>
        <w:rPr>
          <w:rFonts w:ascii="Times New Roman" w:eastAsia="Times New Roman" w:hAnsi="Times New Roman" w:cs="Times New Roman"/>
        </w:rPr>
      </w:pPr>
      <w:r w:rsidRPr="00BA2598">
        <w:rPr>
          <w:rFonts w:ascii="Times New Roman"/>
        </w:rPr>
        <w:t>The safety and efficacy have not been studied in patients with hepatic impairment (see section 5.2).</w:t>
      </w:r>
    </w:p>
    <w:p w14:paraId="3BDAFC39" w14:textId="77777777" w:rsidR="00047E69" w:rsidRPr="00BA2598" w:rsidRDefault="00047E69" w:rsidP="00F95C9D">
      <w:pPr>
        <w:widowControl/>
        <w:adjustRightInd w:val="0"/>
        <w:snapToGrid w:val="0"/>
        <w:rPr>
          <w:rFonts w:ascii="Times New Roman" w:eastAsia="Times New Roman" w:hAnsi="Times New Roman" w:cs="Times New Roman"/>
        </w:rPr>
      </w:pPr>
    </w:p>
    <w:p w14:paraId="5B0AEF32" w14:textId="77777777" w:rsidR="00047E69" w:rsidRPr="00BA2598" w:rsidRDefault="00C210A5" w:rsidP="00F95C9D">
      <w:pPr>
        <w:pStyle w:val="a5"/>
        <w:widowControl/>
        <w:adjustRightInd w:val="0"/>
        <w:snapToGrid w:val="0"/>
      </w:pPr>
      <w:r w:rsidRPr="00BA2598">
        <w:rPr>
          <w:i/>
        </w:rPr>
        <w:t>Paediatric population</w:t>
      </w:r>
    </w:p>
    <w:p w14:paraId="4D873EDC" w14:textId="77777777" w:rsidR="00047E69" w:rsidRPr="00BA2598" w:rsidRDefault="00C210A5" w:rsidP="001D2B1E">
      <w:pPr>
        <w:pStyle w:val="a5"/>
        <w:widowControl/>
        <w:adjustRightInd w:val="0"/>
        <w:snapToGrid w:val="0"/>
      </w:pPr>
      <w:r w:rsidRPr="00BA2598">
        <w:t>The safety and efficacy of bevacizumab in children aged less than 18 years old have not been establishe</w:t>
      </w:r>
      <w:r w:rsidRPr="00BA2598">
        <w:rPr>
          <w:rFonts w:eastAsiaTheme="minorEastAsia" w:cs="Times New Roman"/>
        </w:rPr>
        <w:t>d. Current</w:t>
      </w:r>
      <w:r w:rsidRPr="00BA2598">
        <w:t>ly available data are described in sections 4.8, 5.1 and 5.2 but no recommendation on a posology can be made.</w:t>
      </w:r>
    </w:p>
    <w:p w14:paraId="588354C3" w14:textId="77777777" w:rsidR="00047E69" w:rsidRPr="00BA2598" w:rsidRDefault="00047E69" w:rsidP="001D2B1E">
      <w:pPr>
        <w:widowControl/>
        <w:adjustRightInd w:val="0"/>
        <w:snapToGrid w:val="0"/>
        <w:rPr>
          <w:rFonts w:ascii="Times New Roman" w:eastAsia="Times New Roman" w:hAnsi="Times New Roman" w:cs="Times New Roman"/>
        </w:rPr>
      </w:pPr>
    </w:p>
    <w:p w14:paraId="4157AAAF" w14:textId="77777777" w:rsidR="00047E69" w:rsidRPr="00BA2598" w:rsidRDefault="00C210A5" w:rsidP="001D2B1E">
      <w:pPr>
        <w:pStyle w:val="a5"/>
        <w:widowControl/>
        <w:adjustRightInd w:val="0"/>
        <w:snapToGrid w:val="0"/>
      </w:pPr>
      <w:r w:rsidRPr="00BA2598">
        <w:t>There is no relevant use of bevacizumab in the paediatric population in the indications for treatment of cancers of the colon, rectum, breast, lung, ovarian, fallopian tube, peritoneum, cervix and kidney.</w:t>
      </w:r>
    </w:p>
    <w:p w14:paraId="5B3BE05A" w14:textId="77777777" w:rsidR="00047E69" w:rsidRPr="00BA2598" w:rsidRDefault="00047E69" w:rsidP="001D2B1E">
      <w:pPr>
        <w:widowControl/>
        <w:adjustRightInd w:val="0"/>
        <w:snapToGrid w:val="0"/>
        <w:rPr>
          <w:rFonts w:ascii="Times New Roman" w:eastAsia="Times New Roman" w:hAnsi="Times New Roman" w:cs="Times New Roman"/>
        </w:rPr>
      </w:pPr>
    </w:p>
    <w:p w14:paraId="231AC24D" w14:textId="77777777" w:rsidR="00047E69" w:rsidRPr="00BA2598" w:rsidRDefault="00C210A5" w:rsidP="001D2B1E">
      <w:pPr>
        <w:pStyle w:val="a5"/>
        <w:widowControl/>
        <w:adjustRightInd w:val="0"/>
        <w:snapToGrid w:val="0"/>
      </w:pPr>
      <w:r w:rsidRPr="00BA2598">
        <w:rPr>
          <w:u w:val="single" w:color="000000"/>
        </w:rPr>
        <w:t>Method of administration</w:t>
      </w:r>
    </w:p>
    <w:p w14:paraId="549CC323" w14:textId="77777777" w:rsidR="00047E69" w:rsidRPr="00BA2598" w:rsidRDefault="00047E69" w:rsidP="001D2B1E">
      <w:pPr>
        <w:widowControl/>
        <w:adjustRightInd w:val="0"/>
        <w:snapToGrid w:val="0"/>
        <w:rPr>
          <w:rFonts w:ascii="Times New Roman" w:eastAsia="Times New Roman" w:hAnsi="Times New Roman" w:cs="Times New Roman"/>
        </w:rPr>
      </w:pPr>
    </w:p>
    <w:p w14:paraId="1CF6F447" w14:textId="5898FC9A" w:rsidR="00047E69" w:rsidRPr="00BA2598" w:rsidRDefault="00A32819" w:rsidP="001D2B1E">
      <w:pPr>
        <w:pStyle w:val="a5"/>
        <w:widowControl/>
        <w:adjustRightInd w:val="0"/>
        <w:snapToGrid w:val="0"/>
      </w:pPr>
      <w:r>
        <w:rPr>
          <w:rFonts w:cs="Times New Roman"/>
        </w:rPr>
        <w:t>Vegzelma</w:t>
      </w:r>
      <w:r w:rsidR="00C210A5" w:rsidRPr="00BA2598">
        <w:rPr>
          <w:rFonts w:eastAsiaTheme="minorEastAsia" w:cs="Times New Roman"/>
        </w:rPr>
        <w:t xml:space="preserve"> is for intravenous use. The</w:t>
      </w:r>
      <w:r w:rsidR="00C210A5" w:rsidRPr="00BA2598">
        <w:rPr>
          <w:rFonts w:cs="Times New Roman"/>
        </w:rPr>
        <w:t xml:space="preserve"> initial dose should be delivered over 90 minutes as an intravenous infusion. If the first infusion is well tolerated,</w:t>
      </w:r>
      <w:r w:rsidR="00C210A5" w:rsidRPr="00BA2598">
        <w:t xml:space="preserve"> the second infusion may be administered over 60 minutes. If the 60</w:t>
      </w:r>
      <w:r w:rsidR="00FD0731" w:rsidRPr="00BA2598">
        <w:noBreakHyphen/>
      </w:r>
      <w:r w:rsidR="00C210A5" w:rsidRPr="00BA2598">
        <w:t>minute inf</w:t>
      </w:r>
      <w:r w:rsidR="00C210A5" w:rsidRPr="00BA2598">
        <w:rPr>
          <w:rFonts w:eastAsiaTheme="minorEastAsia" w:cs="Times New Roman"/>
        </w:rPr>
        <w:t>usion is well tolerated, a</w:t>
      </w:r>
      <w:r w:rsidR="00C210A5" w:rsidRPr="00BA2598">
        <w:t>ll subsequent infusions may be administered over 30 minutes.</w:t>
      </w:r>
    </w:p>
    <w:p w14:paraId="4906041C" w14:textId="77777777" w:rsidR="00047E69" w:rsidRPr="00BA2598" w:rsidRDefault="00047E69" w:rsidP="001D2B1E">
      <w:pPr>
        <w:widowControl/>
        <w:adjustRightInd w:val="0"/>
        <w:snapToGrid w:val="0"/>
        <w:rPr>
          <w:rFonts w:ascii="Times New Roman" w:eastAsia="Times New Roman" w:hAnsi="Times New Roman" w:cs="Times New Roman"/>
        </w:rPr>
      </w:pPr>
    </w:p>
    <w:p w14:paraId="06D8887B" w14:textId="77777777" w:rsidR="00047E69" w:rsidRPr="00BA2598" w:rsidRDefault="00C210A5" w:rsidP="001D2B1E">
      <w:pPr>
        <w:pStyle w:val="a5"/>
        <w:widowControl/>
        <w:adjustRightInd w:val="0"/>
        <w:snapToGrid w:val="0"/>
      </w:pPr>
      <w:r w:rsidRPr="00BA2598">
        <w:t>It should not be administered as an intravenous push or bolus.</w:t>
      </w:r>
    </w:p>
    <w:p w14:paraId="3BF89626" w14:textId="77777777" w:rsidR="00047E69" w:rsidRPr="00BA2598" w:rsidRDefault="00047E69" w:rsidP="001D2B1E">
      <w:pPr>
        <w:widowControl/>
        <w:adjustRightInd w:val="0"/>
        <w:snapToGrid w:val="0"/>
        <w:rPr>
          <w:rFonts w:ascii="Times New Roman" w:eastAsia="Times New Roman" w:hAnsi="Times New Roman" w:cs="Times New Roman"/>
        </w:rPr>
      </w:pPr>
    </w:p>
    <w:p w14:paraId="4AA503E0" w14:textId="77777777" w:rsidR="00047E69" w:rsidRPr="00BA2598" w:rsidRDefault="00C210A5" w:rsidP="001D2B1E">
      <w:pPr>
        <w:pStyle w:val="a5"/>
        <w:widowControl/>
        <w:adjustRightInd w:val="0"/>
        <w:snapToGrid w:val="0"/>
      </w:pPr>
      <w:r w:rsidRPr="00BA2598">
        <w:t>Dose reduction for adverse reactions is not recommended. If indicated, therapy should either be permanently discontinued or temporarily suspended as described in section 4.4.</w:t>
      </w:r>
    </w:p>
    <w:p w14:paraId="37927A92" w14:textId="77777777" w:rsidR="00047E69" w:rsidRPr="00BA2598" w:rsidRDefault="00047E69" w:rsidP="001D2B1E">
      <w:pPr>
        <w:widowControl/>
        <w:adjustRightInd w:val="0"/>
        <w:snapToGrid w:val="0"/>
        <w:rPr>
          <w:rFonts w:ascii="Times New Roman" w:eastAsia="Times New Roman" w:hAnsi="Times New Roman" w:cs="Times New Roman"/>
        </w:rPr>
      </w:pPr>
    </w:p>
    <w:p w14:paraId="097516D9" w14:textId="77777777" w:rsidR="00047E69" w:rsidRPr="00BA2598" w:rsidRDefault="00C210A5" w:rsidP="001D2B1E">
      <w:pPr>
        <w:widowControl/>
        <w:adjustRightInd w:val="0"/>
        <w:snapToGrid w:val="0"/>
        <w:rPr>
          <w:rFonts w:ascii="Times New Roman" w:eastAsia="Times New Roman" w:hAnsi="Times New Roman" w:cs="Times New Roman"/>
        </w:rPr>
      </w:pPr>
      <w:r w:rsidRPr="00BA2598">
        <w:rPr>
          <w:rFonts w:ascii="Times New Roman"/>
          <w:i/>
          <w:u w:color="000000"/>
        </w:rPr>
        <w:t>Precautions to be taken before handling or administering the medicinal product</w:t>
      </w:r>
    </w:p>
    <w:p w14:paraId="6BFA3435" w14:textId="77777777" w:rsidR="00047E69" w:rsidRPr="00BA2598" w:rsidRDefault="00047E69" w:rsidP="001D2B1E">
      <w:pPr>
        <w:widowControl/>
        <w:adjustRightInd w:val="0"/>
        <w:snapToGrid w:val="0"/>
        <w:rPr>
          <w:rFonts w:ascii="Times New Roman" w:eastAsia="Times New Roman" w:hAnsi="Times New Roman" w:cs="Times New Roman"/>
          <w:i/>
        </w:rPr>
      </w:pPr>
    </w:p>
    <w:p w14:paraId="78B1C9FD" w14:textId="001F9417" w:rsidR="00047E69" w:rsidRPr="00BA2598" w:rsidRDefault="00C210A5" w:rsidP="001D2B1E">
      <w:pPr>
        <w:pStyle w:val="a5"/>
        <w:widowControl/>
        <w:adjustRightInd w:val="0"/>
        <w:snapToGrid w:val="0"/>
      </w:pPr>
      <w:r w:rsidRPr="00BA2598">
        <w:t xml:space="preserve">For instructions on dilution of the medicinal product before administration, see section 6.6. </w:t>
      </w:r>
      <w:r w:rsidR="00A32819">
        <w:t>Vegzelma</w:t>
      </w:r>
      <w:r w:rsidRPr="00BA2598">
        <w:t xml:space="preserve"> infusions should not be administered or mixed with glucose solutions. This medicinal product must not be mixed with other medicinal products except those mentioned in section 6.6.</w:t>
      </w:r>
    </w:p>
    <w:p w14:paraId="579EEF1D" w14:textId="77777777" w:rsidR="00047E69" w:rsidRPr="00BA2598" w:rsidRDefault="00047E69" w:rsidP="00F95C9D">
      <w:pPr>
        <w:widowControl/>
        <w:adjustRightInd w:val="0"/>
        <w:snapToGrid w:val="0"/>
        <w:rPr>
          <w:rFonts w:ascii="Times New Roman" w:eastAsia="Times New Roman" w:hAnsi="Times New Roman" w:cs="Times New Roman"/>
        </w:rPr>
      </w:pPr>
    </w:p>
    <w:p w14:paraId="0747FD49" w14:textId="77777777" w:rsidR="00047E69" w:rsidRPr="00BA2598" w:rsidRDefault="00C210A5" w:rsidP="00F95C9D">
      <w:pPr>
        <w:pStyle w:val="1"/>
        <w:widowControl/>
        <w:numPr>
          <w:ilvl w:val="1"/>
          <w:numId w:val="12"/>
        </w:numPr>
        <w:tabs>
          <w:tab w:val="left" w:pos="683"/>
        </w:tabs>
        <w:ind w:left="567"/>
        <w:rPr>
          <w:b w:val="0"/>
          <w:bCs w:val="0"/>
        </w:rPr>
      </w:pPr>
      <w:r w:rsidRPr="00BA2598">
        <w:t>Contraindications</w:t>
      </w:r>
    </w:p>
    <w:p w14:paraId="6FCC9383" w14:textId="77777777" w:rsidR="00047E69" w:rsidRPr="00BA2598" w:rsidRDefault="00047E69" w:rsidP="00F95C9D">
      <w:pPr>
        <w:widowControl/>
        <w:adjustRightInd w:val="0"/>
        <w:snapToGrid w:val="0"/>
        <w:rPr>
          <w:rFonts w:ascii="Times New Roman" w:eastAsia="Times New Roman" w:hAnsi="Times New Roman" w:cs="Times New Roman"/>
          <w:b/>
          <w:bCs/>
          <w:sz w:val="21"/>
          <w:szCs w:val="21"/>
        </w:rPr>
      </w:pPr>
    </w:p>
    <w:p w14:paraId="1643F90F" w14:textId="77777777" w:rsidR="00047E69" w:rsidRPr="00BA2598" w:rsidRDefault="00C210A5" w:rsidP="00F95C9D">
      <w:pPr>
        <w:pStyle w:val="a5"/>
        <w:widowControl/>
        <w:numPr>
          <w:ilvl w:val="0"/>
          <w:numId w:val="11"/>
        </w:numPr>
        <w:tabs>
          <w:tab w:val="left" w:pos="716"/>
        </w:tabs>
        <w:adjustRightInd w:val="0"/>
        <w:snapToGrid w:val="0"/>
        <w:ind w:left="567" w:hanging="567"/>
      </w:pPr>
      <w:r w:rsidRPr="00BA2598">
        <w:t>Hypersensitivity to the active substance or to any of the excipients listed in section 6.1.</w:t>
      </w:r>
    </w:p>
    <w:p w14:paraId="48B680A7" w14:textId="77777777" w:rsidR="00047E69" w:rsidRPr="00BA2598" w:rsidRDefault="00C210A5" w:rsidP="00F95C9D">
      <w:pPr>
        <w:pStyle w:val="a5"/>
        <w:widowControl/>
        <w:numPr>
          <w:ilvl w:val="0"/>
          <w:numId w:val="11"/>
        </w:numPr>
        <w:tabs>
          <w:tab w:val="left" w:pos="716"/>
        </w:tabs>
        <w:adjustRightInd w:val="0"/>
        <w:snapToGrid w:val="0"/>
        <w:ind w:left="567" w:hanging="567"/>
      </w:pPr>
      <w:r w:rsidRPr="00BA2598">
        <w:t>Hypersensitivity to Chinese Hamster Ovary (CHO) cell products or other recombinant human or humanised antibodies.</w:t>
      </w:r>
    </w:p>
    <w:p w14:paraId="1C725618" w14:textId="77777777" w:rsidR="00047E69" w:rsidRPr="00BA2598" w:rsidRDefault="00C210A5" w:rsidP="00F95C9D">
      <w:pPr>
        <w:pStyle w:val="a5"/>
        <w:widowControl/>
        <w:numPr>
          <w:ilvl w:val="0"/>
          <w:numId w:val="11"/>
        </w:numPr>
        <w:tabs>
          <w:tab w:val="left" w:pos="716"/>
        </w:tabs>
        <w:adjustRightInd w:val="0"/>
        <w:snapToGrid w:val="0"/>
        <w:ind w:left="567" w:hanging="567"/>
      </w:pPr>
      <w:r w:rsidRPr="00BA2598">
        <w:t>Pregnancy (see section 4.6).</w:t>
      </w:r>
    </w:p>
    <w:p w14:paraId="695D9EDF" w14:textId="77777777" w:rsidR="00047E69" w:rsidRPr="00BA2598" w:rsidRDefault="00047E69" w:rsidP="00F95C9D">
      <w:pPr>
        <w:widowControl/>
        <w:adjustRightInd w:val="0"/>
        <w:snapToGrid w:val="0"/>
        <w:rPr>
          <w:rFonts w:ascii="Times New Roman" w:eastAsia="Times New Roman" w:hAnsi="Times New Roman" w:cs="Times New Roman"/>
        </w:rPr>
      </w:pPr>
    </w:p>
    <w:p w14:paraId="47A4CE24" w14:textId="77777777" w:rsidR="00047E69" w:rsidRPr="00BA2598" w:rsidRDefault="00C210A5" w:rsidP="00F95C9D">
      <w:pPr>
        <w:pStyle w:val="1"/>
        <w:widowControl/>
        <w:numPr>
          <w:ilvl w:val="1"/>
          <w:numId w:val="12"/>
        </w:numPr>
        <w:tabs>
          <w:tab w:val="left" w:pos="683"/>
        </w:tabs>
        <w:ind w:left="567"/>
        <w:rPr>
          <w:b w:val="0"/>
          <w:bCs w:val="0"/>
        </w:rPr>
      </w:pPr>
      <w:r w:rsidRPr="00BA2598">
        <w:t>Special warnings and precautions for use</w:t>
      </w:r>
    </w:p>
    <w:p w14:paraId="188521F5" w14:textId="77777777" w:rsidR="00047E69" w:rsidRPr="00BA2598" w:rsidRDefault="00047E69" w:rsidP="00F95C9D">
      <w:pPr>
        <w:widowControl/>
        <w:adjustRightInd w:val="0"/>
        <w:snapToGrid w:val="0"/>
        <w:rPr>
          <w:rFonts w:ascii="Times New Roman" w:eastAsia="Times New Roman" w:hAnsi="Times New Roman" w:cs="Times New Roman"/>
          <w:b/>
          <w:bCs/>
          <w:sz w:val="21"/>
          <w:szCs w:val="21"/>
        </w:rPr>
      </w:pPr>
    </w:p>
    <w:p w14:paraId="4674768A" w14:textId="77777777" w:rsidR="00047E69" w:rsidRPr="00BA2598" w:rsidRDefault="00C210A5" w:rsidP="00F95C9D">
      <w:pPr>
        <w:widowControl/>
        <w:adjustRightInd w:val="0"/>
        <w:snapToGrid w:val="0"/>
        <w:rPr>
          <w:rFonts w:ascii="Times New Roman" w:eastAsia="Times New Roman" w:hAnsi="Times New Roman" w:cs="Times New Roman"/>
          <w:iCs/>
          <w:u w:val="single"/>
        </w:rPr>
      </w:pPr>
      <w:r w:rsidRPr="00BA2598">
        <w:rPr>
          <w:rFonts w:ascii="Times New Roman"/>
          <w:iCs/>
          <w:u w:val="single"/>
        </w:rPr>
        <w:t>Traceability</w:t>
      </w:r>
    </w:p>
    <w:p w14:paraId="7CF4715C" w14:textId="77777777" w:rsidR="00047E69" w:rsidRPr="00BA2598" w:rsidRDefault="00C210A5" w:rsidP="00F95C9D">
      <w:pPr>
        <w:pStyle w:val="a5"/>
        <w:widowControl/>
        <w:adjustRightInd w:val="0"/>
        <w:snapToGrid w:val="0"/>
      </w:pPr>
      <w:r w:rsidRPr="00BA2598">
        <w:t>In order to improve the traceability of biological medicinal products, the name and the batch number of the administered product should be clearly recorded.</w:t>
      </w:r>
    </w:p>
    <w:p w14:paraId="48ADBF79" w14:textId="77777777" w:rsidR="00047E69" w:rsidRPr="00BA2598" w:rsidRDefault="00047E69" w:rsidP="00F95C9D">
      <w:pPr>
        <w:widowControl/>
        <w:adjustRightInd w:val="0"/>
        <w:snapToGrid w:val="0"/>
        <w:rPr>
          <w:rFonts w:ascii="Times New Roman" w:eastAsia="Times New Roman" w:hAnsi="Times New Roman" w:cs="Times New Roman"/>
        </w:rPr>
      </w:pPr>
    </w:p>
    <w:p w14:paraId="4C9751E8" w14:textId="1080EC17" w:rsidR="00047E69" w:rsidRPr="00BA2598" w:rsidRDefault="00C210A5" w:rsidP="00F95C9D">
      <w:pPr>
        <w:adjustRightInd w:val="0"/>
        <w:snapToGrid w:val="0"/>
        <w:rPr>
          <w:rFonts w:ascii="Times New Roman" w:eastAsia="Times New Roman" w:hAnsi="Times New Roman" w:cs="Times New Roman"/>
          <w:iCs/>
        </w:rPr>
      </w:pPr>
      <w:r w:rsidRPr="00BA2598">
        <w:rPr>
          <w:rFonts w:ascii="Times New Roman"/>
          <w:iCs/>
          <w:u w:val="single"/>
        </w:rPr>
        <w:t xml:space="preserve">Gastrointestinal (GI) perforations and </w:t>
      </w:r>
      <w:r w:rsidR="00F85B2B" w:rsidRPr="00BA2598">
        <w:rPr>
          <w:rFonts w:ascii="Times New Roman"/>
          <w:iCs/>
          <w:u w:val="single"/>
        </w:rPr>
        <w:t>f</w:t>
      </w:r>
      <w:r w:rsidRPr="00BA2598">
        <w:rPr>
          <w:rFonts w:ascii="Times New Roman"/>
          <w:iCs/>
          <w:u w:val="single"/>
        </w:rPr>
        <w:t>istulae</w:t>
      </w:r>
      <w:r w:rsidRPr="00BA2598">
        <w:rPr>
          <w:rFonts w:ascii="Times New Roman"/>
          <w:iCs/>
        </w:rPr>
        <w:t xml:space="preserve"> (see section 4.8)</w:t>
      </w:r>
    </w:p>
    <w:p w14:paraId="642E2006" w14:textId="3CEDED39" w:rsidR="00047E69" w:rsidRPr="00BA2598" w:rsidRDefault="00C210A5" w:rsidP="0094563C">
      <w:pPr>
        <w:pStyle w:val="a5"/>
        <w:widowControl/>
        <w:adjustRightInd w:val="0"/>
        <w:snapToGrid w:val="0"/>
      </w:pPr>
      <w:r w:rsidRPr="00BA2598">
        <w:t>Patients may be at an increased risk for the development of gastrointestinal perforation and gall bladder perforation when treated with bevacizumab. Intra</w:t>
      </w:r>
      <w:r w:rsidR="00FD0731" w:rsidRPr="00BA2598">
        <w:noBreakHyphen/>
      </w:r>
      <w:r w:rsidRPr="00BA2598">
        <w:t xml:space="preserve">abdominal inflammatory process may be a risk factor for gastrointestinal perforations in patients with metastatic carcinoma of the colon or rectum, therefore, caution should be exercised when treating these patients. Prior radiation is a risk </w:t>
      </w:r>
      <w:r w:rsidRPr="00BA2598">
        <w:lastRenderedPageBreak/>
        <w:t xml:space="preserve">factor for GI perforation in patients treated for persistent, recurrent or metastatic cervical cancer with </w:t>
      </w:r>
      <w:r w:rsidR="00B961A2" w:rsidRPr="00BA2598">
        <w:t>bevacizum</w:t>
      </w:r>
      <w:r w:rsidR="00B961A2" w:rsidRPr="00BA2598">
        <w:rPr>
          <w:rFonts w:eastAsiaTheme="minorEastAsia" w:cs="Times New Roman"/>
        </w:rPr>
        <w:t>ab</w:t>
      </w:r>
      <w:r w:rsidRPr="00BA2598">
        <w:rPr>
          <w:rFonts w:eastAsiaTheme="minorEastAsia" w:cs="Times New Roman"/>
        </w:rPr>
        <w:t xml:space="preserve"> and all p</w:t>
      </w:r>
      <w:r w:rsidRPr="00BA2598">
        <w:t>atients with GI perforation had a history of prior radiation. Therapy should be permanently discontinued in patients who develop gastrointestinal perforation.</w:t>
      </w:r>
    </w:p>
    <w:p w14:paraId="588F71DA" w14:textId="77777777" w:rsidR="00047E69" w:rsidRPr="00BA2598" w:rsidRDefault="00047E69" w:rsidP="0094563C">
      <w:pPr>
        <w:widowControl/>
        <w:adjustRightInd w:val="0"/>
        <w:snapToGrid w:val="0"/>
        <w:rPr>
          <w:rFonts w:ascii="Times New Roman" w:eastAsia="Times New Roman" w:hAnsi="Times New Roman" w:cs="Times New Roman"/>
        </w:rPr>
      </w:pPr>
    </w:p>
    <w:p w14:paraId="120F92B6" w14:textId="731FAB94" w:rsidR="00047E69" w:rsidRPr="00BA2598" w:rsidRDefault="00C210A5" w:rsidP="0094563C">
      <w:pPr>
        <w:widowControl/>
        <w:adjustRightInd w:val="0"/>
        <w:snapToGrid w:val="0"/>
        <w:rPr>
          <w:rFonts w:ascii="Times New Roman" w:eastAsia="Times New Roman" w:hAnsi="Times New Roman" w:cs="Times New Roman"/>
          <w:iCs/>
          <w:u w:val="single"/>
        </w:rPr>
      </w:pPr>
      <w:r w:rsidRPr="00BA2598">
        <w:rPr>
          <w:rFonts w:ascii="Times New Roman"/>
          <w:iCs/>
          <w:u w:val="single"/>
        </w:rPr>
        <w:t>GI</w:t>
      </w:r>
      <w:r w:rsidR="00FD0731" w:rsidRPr="00BA2598">
        <w:rPr>
          <w:rFonts w:ascii="Times New Roman"/>
          <w:iCs/>
          <w:u w:val="single"/>
        </w:rPr>
        <w:noBreakHyphen/>
      </w:r>
      <w:r w:rsidRPr="00BA2598">
        <w:rPr>
          <w:rFonts w:ascii="Times New Roman"/>
          <w:iCs/>
          <w:u w:val="single"/>
        </w:rPr>
        <w:t xml:space="preserve">vaginal </w:t>
      </w:r>
      <w:r w:rsidR="00F85B2B" w:rsidRPr="00BA2598">
        <w:rPr>
          <w:rFonts w:ascii="Times New Roman"/>
          <w:iCs/>
          <w:u w:val="single"/>
        </w:rPr>
        <w:t>f</w:t>
      </w:r>
      <w:r w:rsidRPr="00BA2598">
        <w:rPr>
          <w:rFonts w:ascii="Times New Roman"/>
          <w:iCs/>
          <w:u w:val="single"/>
        </w:rPr>
        <w:t>istulae in study GOG</w:t>
      </w:r>
      <w:r w:rsidR="00FD0731" w:rsidRPr="00BA2598">
        <w:rPr>
          <w:rFonts w:ascii="Times New Roman"/>
          <w:iCs/>
          <w:u w:val="single"/>
        </w:rPr>
        <w:noBreakHyphen/>
      </w:r>
      <w:r w:rsidRPr="00BA2598">
        <w:rPr>
          <w:rFonts w:ascii="Times New Roman"/>
          <w:iCs/>
          <w:u w:val="single"/>
        </w:rPr>
        <w:t>0240</w:t>
      </w:r>
    </w:p>
    <w:p w14:paraId="7A7C13C6" w14:textId="49398515" w:rsidR="00047E69" w:rsidRPr="00BA2598" w:rsidRDefault="00C210A5" w:rsidP="0094563C">
      <w:pPr>
        <w:pStyle w:val="a5"/>
        <w:widowControl/>
        <w:adjustRightInd w:val="0"/>
        <w:snapToGrid w:val="0"/>
      </w:pPr>
      <w:r w:rsidRPr="00BA2598">
        <w:t>Patients treated for persistent, recurrent, or metastatic cervical cancer with bevacizumab are at increased risk of fistulae between the vagina and any part of the GI tract (Gastrointestinal</w:t>
      </w:r>
      <w:r w:rsidR="00FD0731" w:rsidRPr="00BA2598">
        <w:noBreakHyphen/>
      </w:r>
      <w:r w:rsidRPr="00BA2598">
        <w:t>vaginal fistulae). Prior radiation is a major risk factor for the development of GI</w:t>
      </w:r>
      <w:r w:rsidR="00FD0731" w:rsidRPr="00BA2598">
        <w:noBreakHyphen/>
      </w:r>
      <w:r w:rsidRPr="00BA2598">
        <w:t>vaginal fistulae and all patients with GI</w:t>
      </w:r>
      <w:r w:rsidR="00FD0731" w:rsidRPr="00BA2598">
        <w:noBreakHyphen/>
      </w:r>
      <w:r w:rsidRPr="00BA2598">
        <w:t>vaginal fistulae had a history of prior radiation. Recurrence of cancer within the field of prior radiation is an additional important risk factor for the development of GI</w:t>
      </w:r>
      <w:r w:rsidR="00FD0731" w:rsidRPr="00BA2598">
        <w:noBreakHyphen/>
      </w:r>
      <w:r w:rsidRPr="00BA2598">
        <w:t>vaginal fistulae.</w:t>
      </w:r>
    </w:p>
    <w:p w14:paraId="050F93F6" w14:textId="77777777" w:rsidR="00047E69" w:rsidRPr="00BA2598" w:rsidRDefault="00047E69" w:rsidP="0094563C">
      <w:pPr>
        <w:widowControl/>
        <w:adjustRightInd w:val="0"/>
        <w:snapToGrid w:val="0"/>
        <w:rPr>
          <w:rFonts w:ascii="Times New Roman"/>
          <w:i/>
        </w:rPr>
      </w:pPr>
    </w:p>
    <w:p w14:paraId="41ABEFC0" w14:textId="7E65514F" w:rsidR="00047E69" w:rsidRPr="00BA2598" w:rsidRDefault="00C210A5" w:rsidP="0094563C">
      <w:pPr>
        <w:widowControl/>
        <w:adjustRightInd w:val="0"/>
        <w:snapToGrid w:val="0"/>
        <w:rPr>
          <w:rFonts w:ascii="Times New Roman" w:eastAsia="Times New Roman" w:hAnsi="Times New Roman" w:cs="Times New Roman"/>
        </w:rPr>
      </w:pPr>
      <w:r w:rsidRPr="00BA2598">
        <w:rPr>
          <w:rFonts w:ascii="Times New Roman"/>
          <w:iCs/>
          <w:u w:val="single"/>
        </w:rPr>
        <w:t>Non</w:t>
      </w:r>
      <w:r w:rsidR="00FD0731" w:rsidRPr="00BA2598">
        <w:rPr>
          <w:rFonts w:ascii="Times New Roman"/>
          <w:iCs/>
          <w:u w:val="single"/>
        </w:rPr>
        <w:noBreakHyphen/>
      </w:r>
      <w:r w:rsidRPr="00BA2598">
        <w:rPr>
          <w:rFonts w:ascii="Times New Roman"/>
          <w:iCs/>
          <w:u w:val="single"/>
        </w:rPr>
        <w:t xml:space="preserve">GI </w:t>
      </w:r>
      <w:r w:rsidR="00F85B2B" w:rsidRPr="00BA2598">
        <w:rPr>
          <w:rFonts w:ascii="Times New Roman"/>
          <w:iCs/>
          <w:u w:val="single"/>
        </w:rPr>
        <w:t>f</w:t>
      </w:r>
      <w:r w:rsidRPr="00BA2598">
        <w:rPr>
          <w:rFonts w:ascii="Times New Roman"/>
          <w:iCs/>
          <w:u w:val="single"/>
        </w:rPr>
        <w:t>istulae</w:t>
      </w:r>
      <w:r w:rsidRPr="00BA2598">
        <w:rPr>
          <w:rFonts w:ascii="Times New Roman"/>
          <w:i/>
        </w:rPr>
        <w:t xml:space="preserve"> </w:t>
      </w:r>
      <w:r w:rsidRPr="00BA2598">
        <w:rPr>
          <w:rFonts w:ascii="Times New Roman"/>
        </w:rPr>
        <w:t>(see section 4.8)</w:t>
      </w:r>
    </w:p>
    <w:p w14:paraId="7C19791B" w14:textId="5680D84C" w:rsidR="00047E69" w:rsidRPr="00BA2598" w:rsidRDefault="00C210A5" w:rsidP="0094563C">
      <w:pPr>
        <w:pStyle w:val="a5"/>
        <w:widowControl/>
        <w:adjustRightInd w:val="0"/>
        <w:snapToGrid w:val="0"/>
        <w:ind w:hanging="1"/>
      </w:pPr>
      <w:r w:rsidRPr="00BA2598">
        <w:t xml:space="preserve">Patients may be at increased risk for the development of fistulae when treated with bevacizumab. Permanently discontinue </w:t>
      </w:r>
      <w:r w:rsidR="00A32819">
        <w:t>Vegzelma</w:t>
      </w:r>
      <w:r w:rsidRPr="00BA2598">
        <w:t xml:space="preserve"> in patients with tracheoesophageal (TE) fistula or any Grade 4 fistula [US National Cancer Institute</w:t>
      </w:r>
      <w:r w:rsidR="00FD0731" w:rsidRPr="00BA2598">
        <w:noBreakHyphen/>
      </w:r>
      <w:r w:rsidRPr="00BA2598">
        <w:t>Common Terminology Criteria for Adverse Events (NCI</w:t>
      </w:r>
      <w:r w:rsidR="00FD0731" w:rsidRPr="00BA2598">
        <w:noBreakHyphen/>
      </w:r>
      <w:r w:rsidRPr="00BA2598">
        <w:t>CTCAE v.3)]. Limited information is available on the continued use of bevacizumab in patients with other fistulae.</w:t>
      </w:r>
    </w:p>
    <w:p w14:paraId="7847F146" w14:textId="27F6C051" w:rsidR="00047E69" w:rsidRPr="00BA2598" w:rsidRDefault="00C210A5" w:rsidP="0094563C">
      <w:pPr>
        <w:pStyle w:val="a5"/>
        <w:widowControl/>
        <w:adjustRightInd w:val="0"/>
        <w:snapToGrid w:val="0"/>
      </w:pPr>
      <w:r w:rsidRPr="00BA2598">
        <w:t xml:space="preserve">In cases of internal fistula not arising in the gastrointestinal tract, discontinuation of </w:t>
      </w:r>
      <w:r w:rsidR="00A32819">
        <w:t>Vegzelma</w:t>
      </w:r>
      <w:r w:rsidRPr="00BA2598">
        <w:t xml:space="preserve"> should be considered.</w:t>
      </w:r>
    </w:p>
    <w:p w14:paraId="7AFFFCFE" w14:textId="77777777" w:rsidR="00047E69" w:rsidRPr="00BA2598" w:rsidRDefault="00047E69" w:rsidP="0094563C">
      <w:pPr>
        <w:widowControl/>
        <w:adjustRightInd w:val="0"/>
        <w:snapToGrid w:val="0"/>
        <w:rPr>
          <w:rFonts w:ascii="Times New Roman" w:eastAsia="Times New Roman" w:hAnsi="Times New Roman" w:cs="Times New Roman"/>
          <w:sz w:val="21"/>
          <w:szCs w:val="21"/>
        </w:rPr>
      </w:pPr>
    </w:p>
    <w:p w14:paraId="49999223" w14:textId="77777777" w:rsidR="00047E69" w:rsidRPr="00BA2598" w:rsidRDefault="00C210A5" w:rsidP="0094563C">
      <w:pPr>
        <w:widowControl/>
        <w:adjustRightInd w:val="0"/>
        <w:snapToGrid w:val="0"/>
        <w:rPr>
          <w:rFonts w:ascii="Times New Roman" w:eastAsia="Times New Roman" w:hAnsi="Times New Roman" w:cs="Times New Roman"/>
        </w:rPr>
      </w:pPr>
      <w:r w:rsidRPr="00BA2598">
        <w:rPr>
          <w:rFonts w:ascii="Times New Roman"/>
          <w:iCs/>
          <w:u w:val="single"/>
        </w:rPr>
        <w:t>Wound healing complications</w:t>
      </w:r>
      <w:r w:rsidRPr="00BA2598">
        <w:rPr>
          <w:rFonts w:ascii="Times New Roman"/>
          <w:i/>
        </w:rPr>
        <w:t xml:space="preserve"> </w:t>
      </w:r>
      <w:r w:rsidRPr="00BA2598">
        <w:rPr>
          <w:rFonts w:ascii="Times New Roman"/>
        </w:rPr>
        <w:t>(see section 4.8)</w:t>
      </w:r>
    </w:p>
    <w:p w14:paraId="238817EB" w14:textId="77777777" w:rsidR="00047E69" w:rsidRPr="00BA2598" w:rsidRDefault="00C210A5" w:rsidP="0094563C">
      <w:pPr>
        <w:pStyle w:val="a5"/>
        <w:widowControl/>
        <w:adjustRightInd w:val="0"/>
        <w:snapToGrid w:val="0"/>
      </w:pPr>
      <w:r w:rsidRPr="00BA2598">
        <w:t>Bevacizumab may adversely affect the wound healing process. Serious wound healing complications, including anastomotic complications, with a fatal outcome have been repor</w:t>
      </w:r>
      <w:r w:rsidRPr="00BA2598">
        <w:rPr>
          <w:rFonts w:eastAsiaTheme="minorEastAsia" w:cs="Times New Roman"/>
        </w:rPr>
        <w:t>ted. Th</w:t>
      </w:r>
      <w:r w:rsidRPr="00BA2598">
        <w:t>erapy should not be initiated for at least 28 days following major surgery or until the surgical wound is fully healed. In patients who experienced wound healing complications during therapy, treatment should be withheld until the wound is fully healed. Therapy should be withheld for elective surgery.</w:t>
      </w:r>
    </w:p>
    <w:p w14:paraId="370A459F" w14:textId="77777777" w:rsidR="00047E69" w:rsidRPr="00BA2598" w:rsidRDefault="00047E69" w:rsidP="0094563C">
      <w:pPr>
        <w:widowControl/>
        <w:adjustRightInd w:val="0"/>
        <w:snapToGrid w:val="0"/>
        <w:rPr>
          <w:rFonts w:ascii="Times New Roman" w:eastAsia="Times New Roman" w:hAnsi="Times New Roman" w:cs="Times New Roman"/>
          <w:sz w:val="21"/>
          <w:szCs w:val="21"/>
        </w:rPr>
      </w:pPr>
    </w:p>
    <w:p w14:paraId="201DC7E5" w14:textId="7255CC7B" w:rsidR="00047E69" w:rsidRPr="00BA2598" w:rsidRDefault="00C210A5" w:rsidP="0094563C">
      <w:pPr>
        <w:pStyle w:val="a5"/>
        <w:widowControl/>
        <w:adjustRightInd w:val="0"/>
        <w:snapToGrid w:val="0"/>
      </w:pPr>
      <w:r w:rsidRPr="00BA2598">
        <w:t>Necrotising fasciitis, including fatal cases, has rarely been reported in patients treated with bevacizu</w:t>
      </w:r>
      <w:r w:rsidRPr="00BA2598">
        <w:rPr>
          <w:rFonts w:eastAsiaTheme="minorEastAsia" w:cs="Times New Roman"/>
        </w:rPr>
        <w:t xml:space="preserve">mab. This condition </w:t>
      </w:r>
      <w:r w:rsidRPr="00BA2598">
        <w:t>is usually secondary to wound healing complications, gastrointestinal perforatio</w:t>
      </w:r>
      <w:r w:rsidRPr="00BA2598">
        <w:rPr>
          <w:rFonts w:eastAsiaTheme="minorEastAsia" w:cs="Times New Roman"/>
        </w:rPr>
        <w:t xml:space="preserve">n or fistula formation. </w:t>
      </w:r>
      <w:r w:rsidR="00A32819">
        <w:rPr>
          <w:rFonts w:eastAsiaTheme="minorEastAsia" w:cs="Times New Roman"/>
        </w:rPr>
        <w:t>Vegzelma</w:t>
      </w:r>
      <w:r w:rsidRPr="00BA2598">
        <w:t xml:space="preserve"> therapy should be discontinued in patients who develop necrotising fa</w:t>
      </w:r>
      <w:r w:rsidRPr="00BA2598">
        <w:rPr>
          <w:rFonts w:eastAsiaTheme="minorEastAsia" w:cs="Times New Roman"/>
        </w:rPr>
        <w:t xml:space="preserve">sciitis, and appropriate treatment </w:t>
      </w:r>
      <w:r w:rsidRPr="00BA2598">
        <w:t>should be promptly initiated.</w:t>
      </w:r>
    </w:p>
    <w:p w14:paraId="318A5B95" w14:textId="77777777" w:rsidR="00047E69" w:rsidRPr="00BA2598" w:rsidRDefault="00047E69" w:rsidP="0094563C">
      <w:pPr>
        <w:widowControl/>
        <w:adjustRightInd w:val="0"/>
        <w:snapToGrid w:val="0"/>
        <w:rPr>
          <w:rFonts w:ascii="Times New Roman" w:eastAsia="Times New Roman" w:hAnsi="Times New Roman" w:cs="Times New Roman"/>
        </w:rPr>
      </w:pPr>
    </w:p>
    <w:p w14:paraId="23E8303B" w14:textId="77777777" w:rsidR="00047E69" w:rsidRPr="00BA2598" w:rsidRDefault="00C210A5" w:rsidP="0094563C">
      <w:pPr>
        <w:widowControl/>
        <w:adjustRightInd w:val="0"/>
        <w:snapToGrid w:val="0"/>
        <w:rPr>
          <w:rFonts w:ascii="Times New Roman" w:eastAsia="Times New Roman" w:hAnsi="Times New Roman" w:cs="Times New Roman"/>
        </w:rPr>
      </w:pPr>
      <w:r w:rsidRPr="00BA2598">
        <w:rPr>
          <w:rFonts w:ascii="Times New Roman"/>
          <w:iCs/>
          <w:u w:val="single"/>
        </w:rPr>
        <w:t>Hypertension</w:t>
      </w:r>
      <w:r w:rsidRPr="00BA2598">
        <w:rPr>
          <w:rFonts w:ascii="Times New Roman"/>
          <w:i/>
        </w:rPr>
        <w:t xml:space="preserve"> </w:t>
      </w:r>
      <w:r w:rsidRPr="00BA2598">
        <w:rPr>
          <w:rFonts w:ascii="Times New Roman"/>
        </w:rPr>
        <w:t>(see section 4.8)</w:t>
      </w:r>
    </w:p>
    <w:p w14:paraId="1D8F1DC1" w14:textId="60927741" w:rsidR="00047E69" w:rsidRPr="00BA2598" w:rsidRDefault="00C210A5" w:rsidP="0094563C">
      <w:pPr>
        <w:pStyle w:val="a5"/>
        <w:widowControl/>
        <w:adjustRightInd w:val="0"/>
        <w:snapToGrid w:val="0"/>
      </w:pPr>
      <w:r w:rsidRPr="00BA2598">
        <w:t>An increased incidence of hypertension was observed in bevacizumab</w:t>
      </w:r>
      <w:r w:rsidR="00FD0731" w:rsidRPr="00BA2598">
        <w:noBreakHyphen/>
      </w:r>
      <w:r w:rsidRPr="00BA2598">
        <w:t>treated patients. Clinical safety d</w:t>
      </w:r>
      <w:r w:rsidRPr="00BA2598">
        <w:rPr>
          <w:rFonts w:eastAsiaTheme="minorEastAsia" w:cs="Times New Roman"/>
        </w:rPr>
        <w:t>ata suggest that the incidence of hypertension is likely to be dose</w:t>
      </w:r>
      <w:r w:rsidR="00FD0731" w:rsidRPr="00BA2598">
        <w:rPr>
          <w:rFonts w:eastAsiaTheme="minorEastAsia" w:cs="Times New Roman"/>
        </w:rPr>
        <w:noBreakHyphen/>
      </w:r>
      <w:r w:rsidRPr="00BA2598">
        <w:rPr>
          <w:rFonts w:eastAsiaTheme="minorEastAsia" w:cs="Times New Roman"/>
        </w:rPr>
        <w:t>dependent. Pre</w:t>
      </w:r>
      <w:r w:rsidR="00FD0731" w:rsidRPr="00BA2598">
        <w:rPr>
          <w:rFonts w:eastAsiaTheme="minorEastAsia" w:cs="Times New Roman"/>
        </w:rPr>
        <w:noBreakHyphen/>
      </w:r>
      <w:r w:rsidRPr="00BA2598">
        <w:rPr>
          <w:rFonts w:eastAsiaTheme="minorEastAsia" w:cs="Times New Roman"/>
        </w:rPr>
        <w:t>existing hypertension should b</w:t>
      </w:r>
      <w:r w:rsidRPr="00BA2598">
        <w:t xml:space="preserve">e adequately controlled before starting </w:t>
      </w:r>
      <w:r w:rsidR="00A32819">
        <w:t>Vegzelma</w:t>
      </w:r>
      <w:r w:rsidRPr="00BA2598">
        <w:t xml:space="preserve"> treatment. There is no informatio</w:t>
      </w:r>
      <w:r w:rsidRPr="00BA2598">
        <w:rPr>
          <w:rFonts w:eastAsiaTheme="minorEastAsia" w:cs="Times New Roman"/>
        </w:rPr>
        <w:t>n on the effect of bevacizum</w:t>
      </w:r>
      <w:r w:rsidRPr="00BA2598">
        <w:t>ab in patients with uncontrolled hypertension at the time of initiating therapy.</w:t>
      </w:r>
    </w:p>
    <w:p w14:paraId="1675322F" w14:textId="77777777" w:rsidR="00B961A2" w:rsidRPr="00BA2598" w:rsidRDefault="00B961A2" w:rsidP="0094563C">
      <w:pPr>
        <w:pStyle w:val="a5"/>
        <w:widowControl/>
        <w:adjustRightInd w:val="0"/>
        <w:snapToGrid w:val="0"/>
      </w:pPr>
    </w:p>
    <w:p w14:paraId="2912E9FA" w14:textId="77777777" w:rsidR="00047E69" w:rsidRPr="00BA2598" w:rsidRDefault="00C210A5" w:rsidP="0094563C">
      <w:pPr>
        <w:pStyle w:val="a5"/>
        <w:widowControl/>
        <w:adjustRightInd w:val="0"/>
        <w:snapToGrid w:val="0"/>
      </w:pPr>
      <w:r w:rsidRPr="00BA2598">
        <w:t>Monitoring of blood pressure is generally recommended during therapy.</w:t>
      </w:r>
    </w:p>
    <w:p w14:paraId="55A6D870" w14:textId="77777777" w:rsidR="00047E69" w:rsidRPr="00BA2598" w:rsidRDefault="00047E69" w:rsidP="0094563C">
      <w:pPr>
        <w:widowControl/>
        <w:adjustRightInd w:val="0"/>
        <w:snapToGrid w:val="0"/>
        <w:rPr>
          <w:rFonts w:ascii="Times New Roman" w:eastAsia="Times New Roman" w:hAnsi="Times New Roman" w:cs="Times New Roman"/>
        </w:rPr>
      </w:pPr>
    </w:p>
    <w:p w14:paraId="7CCA1880" w14:textId="6DF5DA18" w:rsidR="00047E69" w:rsidRPr="00BA2598" w:rsidRDefault="00C210A5" w:rsidP="0094563C">
      <w:pPr>
        <w:pStyle w:val="a5"/>
        <w:widowControl/>
        <w:adjustRightInd w:val="0"/>
        <w:snapToGrid w:val="0"/>
      </w:pPr>
      <w:r w:rsidRPr="00BA2598">
        <w:t>In most cases hypertension was controlled adequately using standard antihypertensive treatment appropriate for the individual situation of the affected patient. The use of diuretics to manage hypertension is not advised in patients who receive a cisplatin</w:t>
      </w:r>
      <w:r w:rsidR="00FD0731" w:rsidRPr="00BA2598">
        <w:noBreakHyphen/>
      </w:r>
      <w:r w:rsidRPr="00BA2598">
        <w:t xml:space="preserve">based chemotherapy regimen. </w:t>
      </w:r>
      <w:r w:rsidR="00A32819">
        <w:t>Vegzelma</w:t>
      </w:r>
      <w:r w:rsidRPr="00BA2598">
        <w:t xml:space="preserve"> should be permanently discontinued if medically significant hypertension cannot be adequately controlled with antihypertensive therapy, or if the patient develops hypertensive crisis or hypertensive encephalopathy.</w:t>
      </w:r>
    </w:p>
    <w:p w14:paraId="701AE234" w14:textId="77777777" w:rsidR="00047E69" w:rsidRPr="00BA2598" w:rsidRDefault="00047E69" w:rsidP="0094563C">
      <w:pPr>
        <w:widowControl/>
        <w:adjustRightInd w:val="0"/>
        <w:snapToGrid w:val="0"/>
        <w:rPr>
          <w:rFonts w:ascii="Times New Roman" w:eastAsia="Times New Roman" w:hAnsi="Times New Roman" w:cs="Times New Roman"/>
        </w:rPr>
      </w:pPr>
    </w:p>
    <w:p w14:paraId="5264E0E5" w14:textId="397A8152" w:rsidR="00047E69" w:rsidRPr="00BA2598" w:rsidRDefault="00C210A5" w:rsidP="0094563C">
      <w:pPr>
        <w:widowControl/>
        <w:adjustRightInd w:val="0"/>
        <w:snapToGrid w:val="0"/>
        <w:rPr>
          <w:rFonts w:ascii="Times New Roman" w:eastAsia="Times New Roman" w:hAnsi="Times New Roman" w:cs="Times New Roman"/>
        </w:rPr>
      </w:pPr>
      <w:r w:rsidRPr="00BA2598">
        <w:rPr>
          <w:rFonts w:ascii="Times New Roman"/>
          <w:iCs/>
          <w:u w:val="single"/>
        </w:rPr>
        <w:t xml:space="preserve">Posterior </w:t>
      </w:r>
      <w:r w:rsidR="00F85B2B" w:rsidRPr="00BA2598">
        <w:rPr>
          <w:rFonts w:ascii="Times New Roman"/>
          <w:iCs/>
          <w:u w:val="single"/>
        </w:rPr>
        <w:t>r</w:t>
      </w:r>
      <w:r w:rsidRPr="00BA2598">
        <w:rPr>
          <w:rFonts w:ascii="Times New Roman"/>
          <w:iCs/>
          <w:u w:val="single"/>
        </w:rPr>
        <w:t xml:space="preserve">eversible </w:t>
      </w:r>
      <w:r w:rsidR="00F85B2B" w:rsidRPr="00BA2598">
        <w:rPr>
          <w:rFonts w:ascii="Times New Roman"/>
          <w:iCs/>
          <w:u w:val="single"/>
        </w:rPr>
        <w:t>e</w:t>
      </w:r>
      <w:r w:rsidRPr="00BA2598">
        <w:rPr>
          <w:rFonts w:ascii="Times New Roman"/>
          <w:iCs/>
          <w:u w:val="single"/>
        </w:rPr>
        <w:t xml:space="preserve">ncephalopathy </w:t>
      </w:r>
      <w:r w:rsidR="00F85B2B" w:rsidRPr="00BA2598">
        <w:rPr>
          <w:rFonts w:ascii="Times New Roman"/>
          <w:iCs/>
          <w:u w:val="single"/>
        </w:rPr>
        <w:t>s</w:t>
      </w:r>
      <w:r w:rsidRPr="00BA2598">
        <w:rPr>
          <w:rFonts w:ascii="Times New Roman"/>
          <w:iCs/>
          <w:u w:val="single"/>
        </w:rPr>
        <w:t>yndrome (PRES)</w:t>
      </w:r>
      <w:r w:rsidRPr="00BA2598">
        <w:rPr>
          <w:rFonts w:ascii="Times New Roman"/>
          <w:i/>
        </w:rPr>
        <w:t xml:space="preserve"> </w:t>
      </w:r>
      <w:r w:rsidRPr="00BA2598">
        <w:rPr>
          <w:rFonts w:ascii="Times New Roman"/>
        </w:rPr>
        <w:t>(see section 4.8)</w:t>
      </w:r>
    </w:p>
    <w:p w14:paraId="0314A2B6" w14:textId="0BBCB0A0" w:rsidR="00047E69" w:rsidRPr="00CE5AF8" w:rsidRDefault="00C210A5" w:rsidP="0094563C">
      <w:pPr>
        <w:pStyle w:val="a5"/>
        <w:widowControl/>
        <w:adjustRightInd w:val="0"/>
        <w:snapToGrid w:val="0"/>
      </w:pPr>
      <w:r w:rsidRPr="00BA2598">
        <w:t>There have been rare reports of bevacizumab</w:t>
      </w:r>
      <w:r w:rsidR="00FD0731" w:rsidRPr="00BA2598">
        <w:noBreakHyphen/>
      </w:r>
      <w:r w:rsidRPr="00BA2598">
        <w:t>treated patients developing signs and symptoms that are</w:t>
      </w:r>
      <w:r>
        <w:rPr>
          <w:spacing w:val="34"/>
        </w:rPr>
        <w:t xml:space="preserve"> </w:t>
      </w:r>
      <w:r w:rsidRPr="00CE5AF8">
        <w:t xml:space="preserve">consistent with PRES, a rare neurologic disorder, which can present with the following signs and symptoms among others: seizures, headache, altered mental status, visual disturbance, or cortical blindness, with or without associated hypertension. A diagnosis of PRES requires confirmation by brain imaging, preferably magnetic resonance imaging (MRI). In patients developing PRES, treatment of specific symptoms including control of hypertension is recommended along with discontinuation of </w:t>
      </w:r>
      <w:r w:rsidR="00A32819">
        <w:t>Vegzelma</w:t>
      </w:r>
      <w:r w:rsidRPr="00CE5AF8">
        <w:t>. The safety of reinitiating bevacizumab therapy in patients previously experiencing PRES is not known.</w:t>
      </w:r>
    </w:p>
    <w:p w14:paraId="6D7D539B" w14:textId="77777777" w:rsidR="00047E69" w:rsidRPr="00CE5AF8" w:rsidRDefault="00C210A5" w:rsidP="0094563C">
      <w:pPr>
        <w:widowControl/>
        <w:adjustRightInd w:val="0"/>
        <w:snapToGrid w:val="0"/>
        <w:rPr>
          <w:rFonts w:ascii="Times New Roman" w:eastAsia="Times New Roman" w:hAnsi="Times New Roman" w:cs="Times New Roman"/>
        </w:rPr>
      </w:pPr>
      <w:r w:rsidRPr="00CE5AF8">
        <w:rPr>
          <w:rFonts w:ascii="Times New Roman"/>
          <w:iCs/>
          <w:u w:val="single"/>
        </w:rPr>
        <w:lastRenderedPageBreak/>
        <w:t>Proteinuria</w:t>
      </w:r>
      <w:r w:rsidRPr="00CE5AF8">
        <w:rPr>
          <w:rFonts w:ascii="Times New Roman"/>
          <w:i/>
        </w:rPr>
        <w:t xml:space="preserve"> </w:t>
      </w:r>
      <w:r w:rsidRPr="00CE5AF8">
        <w:rPr>
          <w:rFonts w:ascii="Times New Roman"/>
        </w:rPr>
        <w:t>(see section 4.8)</w:t>
      </w:r>
    </w:p>
    <w:p w14:paraId="7BFD49D5" w14:textId="3B10673F" w:rsidR="00047E69" w:rsidRPr="00CE5AF8" w:rsidRDefault="00C210A5" w:rsidP="0094563C">
      <w:pPr>
        <w:pStyle w:val="a5"/>
        <w:widowControl/>
        <w:adjustRightInd w:val="0"/>
        <w:snapToGrid w:val="0"/>
      </w:pPr>
      <w:r w:rsidRPr="00CE5AF8">
        <w:t>Patients with a history of hypertension may be at increased risk for the development of proteinuria when treated with bevacizumab. There is evidence suggesting that all Grade (US National Cancer Institute</w:t>
      </w:r>
      <w:r w:rsidR="00FD0731" w:rsidRPr="00CE5AF8">
        <w:noBreakHyphen/>
      </w:r>
      <w:r w:rsidRPr="00CE5AF8">
        <w:t xml:space="preserve"> Common Terminology Criteria for Adverse Events [NCI</w:t>
      </w:r>
      <w:r w:rsidR="00FD0731" w:rsidRPr="00CE5AF8">
        <w:noBreakHyphen/>
      </w:r>
      <w:r w:rsidRPr="00CE5AF8">
        <w:t>CTCAE v.3]) proteinuria may be r</w:t>
      </w:r>
      <w:r w:rsidRPr="00CE5AF8">
        <w:rPr>
          <w:rFonts w:eastAsiaTheme="minorEastAsia" w:cs="Times New Roman"/>
        </w:rPr>
        <w:t>elated to the dose. Monit</w:t>
      </w:r>
      <w:r w:rsidRPr="00CE5AF8">
        <w:t>oring of proteinuria by dipstick urinalysis is recommended prior to starting and during ther</w:t>
      </w:r>
      <w:r w:rsidRPr="00CE5AF8">
        <w:rPr>
          <w:rFonts w:eastAsiaTheme="minorEastAsia" w:cs="Times New Roman"/>
        </w:rPr>
        <w:t>apy. Grade 4 proteinuria (nephrotic syndrome) was seen in up to 1.4% of patients treated with bevacizumab. T</w:t>
      </w:r>
      <w:r w:rsidRPr="00CE5AF8">
        <w:t>herapy should be permanently discontinued in patients who develop nephrotic syndrome (NCI</w:t>
      </w:r>
      <w:r w:rsidR="00FD0731" w:rsidRPr="00CE5AF8">
        <w:noBreakHyphen/>
      </w:r>
      <w:r w:rsidRPr="00CE5AF8">
        <w:t>CTCAE v.3).</w:t>
      </w:r>
    </w:p>
    <w:p w14:paraId="3F065934" w14:textId="77777777" w:rsidR="00047E69" w:rsidRPr="00CE5AF8" w:rsidRDefault="00047E69" w:rsidP="0094563C">
      <w:pPr>
        <w:widowControl/>
        <w:adjustRightInd w:val="0"/>
        <w:snapToGrid w:val="0"/>
        <w:rPr>
          <w:rFonts w:ascii="Times New Roman" w:eastAsia="Times New Roman" w:hAnsi="Times New Roman" w:cs="Times New Roman"/>
          <w:sz w:val="21"/>
          <w:szCs w:val="21"/>
        </w:rPr>
      </w:pPr>
    </w:p>
    <w:p w14:paraId="7198FE39" w14:textId="77777777" w:rsidR="00047E69" w:rsidRPr="00CE5AF8" w:rsidRDefault="00C210A5" w:rsidP="0094563C">
      <w:pPr>
        <w:widowControl/>
        <w:adjustRightInd w:val="0"/>
        <w:snapToGrid w:val="0"/>
        <w:rPr>
          <w:rFonts w:ascii="Times New Roman" w:eastAsia="Times New Roman" w:hAnsi="Times New Roman" w:cs="Times New Roman"/>
        </w:rPr>
      </w:pPr>
      <w:r w:rsidRPr="00CE5AF8">
        <w:rPr>
          <w:rFonts w:ascii="Times New Roman"/>
          <w:iCs/>
          <w:u w:val="single"/>
        </w:rPr>
        <w:t>Arterial thromboembolism</w:t>
      </w:r>
      <w:r w:rsidRPr="00CE5AF8">
        <w:rPr>
          <w:rFonts w:ascii="Times New Roman"/>
          <w:i/>
        </w:rPr>
        <w:t xml:space="preserve"> </w:t>
      </w:r>
      <w:r w:rsidRPr="00CE5AF8">
        <w:rPr>
          <w:rFonts w:ascii="Times New Roman"/>
        </w:rPr>
        <w:t>(see section 4.8)</w:t>
      </w:r>
    </w:p>
    <w:p w14:paraId="155DC4D9" w14:textId="77777777" w:rsidR="00047E69" w:rsidRPr="00CE5AF8" w:rsidRDefault="00C210A5" w:rsidP="0094563C">
      <w:pPr>
        <w:pStyle w:val="a5"/>
        <w:widowControl/>
        <w:adjustRightInd w:val="0"/>
        <w:snapToGrid w:val="0"/>
      </w:pPr>
      <w:r w:rsidRPr="00CE5AF8">
        <w:t>In clinical trials, the incidence of arterial thromboembolic reactions including cerebrovascular accidents (CVAs), transient ischaemic attacks (TIAs) and myocardial infarctions (MIs) was higher in patients receiving bevacizumab in combination with chemotherapy compared to those who received chemotherapy alone.</w:t>
      </w:r>
    </w:p>
    <w:p w14:paraId="4955814A" w14:textId="77777777" w:rsidR="00047E69" w:rsidRPr="00CE5AF8" w:rsidRDefault="00047E69" w:rsidP="0094563C">
      <w:pPr>
        <w:widowControl/>
        <w:adjustRightInd w:val="0"/>
        <w:snapToGrid w:val="0"/>
        <w:rPr>
          <w:rFonts w:ascii="Times New Roman" w:eastAsia="Times New Roman" w:hAnsi="Times New Roman" w:cs="Times New Roman"/>
          <w:sz w:val="21"/>
          <w:szCs w:val="21"/>
        </w:rPr>
      </w:pPr>
    </w:p>
    <w:p w14:paraId="704DC028" w14:textId="60D09ECC" w:rsidR="00047E69" w:rsidRPr="00CE5AF8" w:rsidRDefault="00C210A5" w:rsidP="0094563C">
      <w:pPr>
        <w:pStyle w:val="a5"/>
        <w:widowControl/>
        <w:adjustRightInd w:val="0"/>
        <w:snapToGrid w:val="0"/>
      </w:pPr>
      <w:r w:rsidRPr="00CE5AF8">
        <w:t>Patients receiving bevacizumab plus chemotherapy, with a history of arterial thromboembolism, diabet</w:t>
      </w:r>
      <w:r w:rsidRPr="00CE5AF8">
        <w:rPr>
          <w:rFonts w:eastAsiaTheme="minorEastAsia" w:cs="Times New Roman"/>
        </w:rPr>
        <w:t>es or age gre</w:t>
      </w:r>
      <w:r w:rsidRPr="00CE5AF8">
        <w:t>ater than 65 years have an increased risk of developing arterial thromboembolic reactions during the</w:t>
      </w:r>
      <w:r w:rsidRPr="00CE5AF8">
        <w:rPr>
          <w:rFonts w:eastAsiaTheme="minorEastAsia" w:cs="Times New Roman"/>
        </w:rPr>
        <w:t>rapy. Cauti</w:t>
      </w:r>
      <w:r w:rsidRPr="00CE5AF8">
        <w:t xml:space="preserve">on should be taken when treating these patients with </w:t>
      </w:r>
      <w:r w:rsidR="00A32819">
        <w:t>Vegzelma</w:t>
      </w:r>
      <w:r w:rsidRPr="00CE5AF8">
        <w:t>.</w:t>
      </w:r>
    </w:p>
    <w:p w14:paraId="71D1BB49" w14:textId="77777777" w:rsidR="00047E69" w:rsidRPr="00CE5AF8" w:rsidRDefault="00047E69" w:rsidP="0094563C">
      <w:pPr>
        <w:widowControl/>
        <w:adjustRightInd w:val="0"/>
        <w:snapToGrid w:val="0"/>
        <w:rPr>
          <w:rFonts w:ascii="Times New Roman" w:eastAsia="Times New Roman" w:hAnsi="Times New Roman" w:cs="Times New Roman"/>
        </w:rPr>
      </w:pPr>
    </w:p>
    <w:p w14:paraId="160AC9FF" w14:textId="77777777" w:rsidR="00047E69" w:rsidRPr="00CE5AF8" w:rsidRDefault="00C210A5" w:rsidP="0094563C">
      <w:pPr>
        <w:pStyle w:val="a5"/>
        <w:widowControl/>
        <w:adjustRightInd w:val="0"/>
        <w:snapToGrid w:val="0"/>
      </w:pPr>
      <w:r w:rsidRPr="00CE5AF8">
        <w:t>Therapy should be permanently discontinued in patients who develop arterial thromboembolic reactions.</w:t>
      </w:r>
    </w:p>
    <w:p w14:paraId="36F3F376" w14:textId="77777777" w:rsidR="00047E69" w:rsidRPr="00CE5AF8" w:rsidRDefault="00047E69" w:rsidP="0094563C">
      <w:pPr>
        <w:widowControl/>
        <w:adjustRightInd w:val="0"/>
        <w:snapToGrid w:val="0"/>
        <w:rPr>
          <w:rFonts w:ascii="Times New Roman" w:eastAsia="Times New Roman" w:hAnsi="Times New Roman" w:cs="Times New Roman"/>
          <w:sz w:val="21"/>
          <w:szCs w:val="21"/>
        </w:rPr>
      </w:pPr>
    </w:p>
    <w:p w14:paraId="47CFB5B5" w14:textId="77777777" w:rsidR="00047E69" w:rsidRPr="00CE5AF8" w:rsidRDefault="00C210A5" w:rsidP="0094563C">
      <w:pPr>
        <w:widowControl/>
        <w:adjustRightInd w:val="0"/>
        <w:snapToGrid w:val="0"/>
        <w:rPr>
          <w:rFonts w:ascii="Times New Roman" w:eastAsia="Times New Roman" w:hAnsi="Times New Roman" w:cs="Times New Roman"/>
        </w:rPr>
      </w:pPr>
      <w:r w:rsidRPr="00CE5AF8">
        <w:rPr>
          <w:rFonts w:ascii="Times New Roman"/>
          <w:iCs/>
          <w:u w:val="single"/>
        </w:rPr>
        <w:t>Venous thromboembolism</w:t>
      </w:r>
      <w:r w:rsidRPr="00CE5AF8">
        <w:rPr>
          <w:rFonts w:ascii="Times New Roman"/>
          <w:i/>
        </w:rPr>
        <w:t xml:space="preserve"> </w:t>
      </w:r>
      <w:r w:rsidRPr="00CE5AF8">
        <w:rPr>
          <w:rFonts w:ascii="Times New Roman"/>
        </w:rPr>
        <w:t>(see section 4.8)</w:t>
      </w:r>
    </w:p>
    <w:p w14:paraId="067AB14E" w14:textId="77777777" w:rsidR="00047E69" w:rsidRPr="00CE5AF8" w:rsidRDefault="00C210A5" w:rsidP="0094563C">
      <w:pPr>
        <w:pStyle w:val="a5"/>
        <w:widowControl/>
        <w:adjustRightInd w:val="0"/>
        <w:snapToGrid w:val="0"/>
      </w:pPr>
      <w:r w:rsidRPr="00CE5AF8">
        <w:t>Patients may be at risk of developing venous thromboembolic reactions, including pulmonary embolism under bevacizumab treatment.</w:t>
      </w:r>
    </w:p>
    <w:p w14:paraId="2BF0BAEE" w14:textId="77777777" w:rsidR="00047E69" w:rsidRPr="00CE5AF8" w:rsidRDefault="00C210A5" w:rsidP="0094563C">
      <w:pPr>
        <w:pStyle w:val="a5"/>
        <w:widowControl/>
        <w:adjustRightInd w:val="0"/>
        <w:snapToGrid w:val="0"/>
      </w:pPr>
      <w:r w:rsidRPr="00CE5AF8">
        <w:t>Patients treated for persistent, recurrent, or metastatic cervical cancer with bevacizumab in combination with paclitaxel and cisplatin may be at increased risk of venous thromboembolic events.</w:t>
      </w:r>
    </w:p>
    <w:p w14:paraId="4D3FFBC6" w14:textId="3E68EC8C" w:rsidR="00047E69" w:rsidRPr="00CE5AF8" w:rsidRDefault="00A32819" w:rsidP="0094563C">
      <w:pPr>
        <w:pStyle w:val="a5"/>
        <w:widowControl/>
        <w:adjustRightInd w:val="0"/>
        <w:snapToGrid w:val="0"/>
      </w:pPr>
      <w:r>
        <w:t>Vegzelma</w:t>
      </w:r>
      <w:r w:rsidR="00C210A5" w:rsidRPr="00CE5AF8">
        <w:t xml:space="preserve"> should be discontinued in patients with life</w:t>
      </w:r>
      <w:r w:rsidR="00FD0731" w:rsidRPr="00CE5AF8">
        <w:noBreakHyphen/>
      </w:r>
      <w:r w:rsidR="00C210A5" w:rsidRPr="00CE5AF8">
        <w:t>threatening (Grade 4) thromboembolic reactions, including pulmonary embolism (NCI</w:t>
      </w:r>
      <w:r w:rsidR="00FD0731" w:rsidRPr="00CE5AF8">
        <w:noBreakHyphen/>
      </w:r>
      <w:r w:rsidR="00C210A5" w:rsidRPr="00CE5AF8">
        <w:rPr>
          <w:rFonts w:cs="Times New Roman"/>
        </w:rPr>
        <w:t xml:space="preserve">CTCAE v.3). Patients with thromboembolic reactions ≤ Grade </w:t>
      </w:r>
      <w:r w:rsidR="00C210A5" w:rsidRPr="00CE5AF8">
        <w:t>3 need to be closely monitored (NCI</w:t>
      </w:r>
      <w:r w:rsidR="00FD0731" w:rsidRPr="00CE5AF8">
        <w:noBreakHyphen/>
      </w:r>
      <w:r w:rsidR="00C210A5" w:rsidRPr="00CE5AF8">
        <w:t>CTCAE v.3).</w:t>
      </w:r>
    </w:p>
    <w:p w14:paraId="2AAAC76D" w14:textId="77777777" w:rsidR="00047E69" w:rsidRPr="00CE5AF8" w:rsidRDefault="00047E69" w:rsidP="0094563C">
      <w:pPr>
        <w:widowControl/>
        <w:adjustRightInd w:val="0"/>
        <w:snapToGrid w:val="0"/>
        <w:rPr>
          <w:rFonts w:ascii="Times New Roman" w:eastAsia="Times New Roman" w:hAnsi="Times New Roman" w:cs="Times New Roman"/>
          <w:sz w:val="21"/>
          <w:szCs w:val="21"/>
        </w:rPr>
      </w:pPr>
    </w:p>
    <w:p w14:paraId="74B17B09" w14:textId="77777777" w:rsidR="00047E69" w:rsidRPr="00CE5AF8" w:rsidRDefault="00C210A5" w:rsidP="0094563C">
      <w:pPr>
        <w:widowControl/>
        <w:adjustRightInd w:val="0"/>
        <w:snapToGrid w:val="0"/>
        <w:rPr>
          <w:rFonts w:ascii="Times New Roman" w:eastAsia="Times New Roman" w:hAnsi="Times New Roman" w:cs="Times New Roman"/>
          <w:iCs/>
          <w:u w:val="single"/>
        </w:rPr>
      </w:pPr>
      <w:r w:rsidRPr="00CE5AF8">
        <w:rPr>
          <w:rFonts w:ascii="Times New Roman"/>
          <w:iCs/>
          <w:u w:val="single"/>
        </w:rPr>
        <w:t>Haemorrhage</w:t>
      </w:r>
    </w:p>
    <w:p w14:paraId="57C9EB53" w14:textId="0813A2DB" w:rsidR="00047E69" w:rsidRPr="00CE5AF8" w:rsidRDefault="00C210A5" w:rsidP="0094563C">
      <w:pPr>
        <w:pStyle w:val="a5"/>
        <w:widowControl/>
        <w:adjustRightInd w:val="0"/>
        <w:snapToGrid w:val="0"/>
      </w:pPr>
      <w:r w:rsidRPr="00CE5AF8">
        <w:t>Patients treated with bevacizumab have an increased risk of haemorrhage, especially tumour</w:t>
      </w:r>
      <w:r w:rsidR="00FD0731" w:rsidRPr="00CE5AF8">
        <w:noBreakHyphen/>
      </w:r>
      <w:r w:rsidRPr="00CE5AF8">
        <w:t xml:space="preserve">associated haemorrhage. </w:t>
      </w:r>
      <w:r w:rsidR="00A32819">
        <w:t>Vegzelma</w:t>
      </w:r>
      <w:r w:rsidRPr="00CE5AF8">
        <w:t xml:space="preserve"> should be discontinued permanently in patients who experience Grade 3 or </w:t>
      </w:r>
      <w:r w:rsidRPr="00CE5AF8">
        <w:rPr>
          <w:rFonts w:eastAsiaTheme="minorEastAsia" w:cs="Times New Roman"/>
        </w:rPr>
        <w:t>4 blee</w:t>
      </w:r>
      <w:r w:rsidRPr="00CE5AF8">
        <w:t xml:space="preserve">ding during </w:t>
      </w:r>
      <w:r w:rsidR="00A32819">
        <w:t>Vegzelma</w:t>
      </w:r>
      <w:r w:rsidRPr="00CE5AF8">
        <w:t xml:space="preserve"> therapy (NCI</w:t>
      </w:r>
      <w:r w:rsidR="00FD0731" w:rsidRPr="00CE5AF8">
        <w:noBreakHyphen/>
      </w:r>
      <w:r w:rsidRPr="00CE5AF8">
        <w:t>CTCAE v.3) (see section 4.8).</w:t>
      </w:r>
    </w:p>
    <w:p w14:paraId="7855AE15" w14:textId="77777777" w:rsidR="00047E69" w:rsidRPr="00CE5AF8" w:rsidRDefault="00047E69" w:rsidP="0094563C">
      <w:pPr>
        <w:widowControl/>
        <w:adjustRightInd w:val="0"/>
        <w:snapToGrid w:val="0"/>
        <w:rPr>
          <w:rFonts w:ascii="Times New Roman" w:eastAsia="Times New Roman" w:hAnsi="Times New Roman" w:cs="Times New Roman"/>
        </w:rPr>
      </w:pPr>
    </w:p>
    <w:p w14:paraId="0A046128" w14:textId="745B6553" w:rsidR="00047E69" w:rsidRPr="00CE5AF8" w:rsidRDefault="00C210A5" w:rsidP="0094563C">
      <w:pPr>
        <w:pStyle w:val="a5"/>
        <w:widowControl/>
        <w:adjustRightInd w:val="0"/>
        <w:snapToGrid w:val="0"/>
      </w:pPr>
      <w:r w:rsidRPr="00CE5AF8">
        <w:t>Patients with untreated CNS metastases were routinely excluded from clinical trials with bevacizumab, based on imaging procedures or signs and symptoms. Therefore, the risk of CNS haemorrhage in such patients has not been prospectively evaluated in randomised clinical trials (see section 4.8). Patients should be</w:t>
      </w:r>
      <w:r w:rsidRPr="00CE5AF8">
        <w:rPr>
          <w:rFonts w:eastAsiaTheme="minorEastAsia" w:cs="Times New Roman"/>
        </w:rPr>
        <w:t xml:space="preserve"> monitored for signs and symptoms of CNS bleeding, and </w:t>
      </w:r>
      <w:r w:rsidR="00A32819">
        <w:rPr>
          <w:rFonts w:eastAsiaTheme="minorEastAsia" w:cs="Times New Roman"/>
        </w:rPr>
        <w:t>Vegzelma</w:t>
      </w:r>
      <w:r w:rsidRPr="00CE5AF8">
        <w:rPr>
          <w:rFonts w:eastAsiaTheme="minorEastAsia" w:cs="Times New Roman"/>
        </w:rPr>
        <w:t xml:space="preserve"> treatment discontinued in ca</w:t>
      </w:r>
      <w:r w:rsidRPr="00CE5AF8">
        <w:t>ses of intracranial bleeding.</w:t>
      </w:r>
    </w:p>
    <w:p w14:paraId="650FE304" w14:textId="77777777" w:rsidR="00047E69" w:rsidRPr="00CE5AF8" w:rsidRDefault="00047E69" w:rsidP="0094563C">
      <w:pPr>
        <w:widowControl/>
        <w:adjustRightInd w:val="0"/>
        <w:snapToGrid w:val="0"/>
        <w:rPr>
          <w:rFonts w:ascii="Times New Roman" w:eastAsia="Times New Roman" w:hAnsi="Times New Roman" w:cs="Times New Roman"/>
          <w:sz w:val="21"/>
          <w:szCs w:val="21"/>
        </w:rPr>
      </w:pPr>
    </w:p>
    <w:p w14:paraId="2D850618" w14:textId="729A5827" w:rsidR="00047E69" w:rsidRPr="00CE5AF8" w:rsidRDefault="00C210A5" w:rsidP="0094563C">
      <w:pPr>
        <w:pStyle w:val="a5"/>
        <w:widowControl/>
        <w:adjustRightInd w:val="0"/>
        <w:snapToGrid w:val="0"/>
      </w:pPr>
      <w:r w:rsidRPr="00CE5AF8">
        <w:t>There is no information on the safety profile of bevacizumab in patients with congenital bleeding diathe</w:t>
      </w:r>
      <w:r w:rsidRPr="00CE5AF8">
        <w:rPr>
          <w:rFonts w:eastAsiaTheme="minorEastAsia" w:cs="Times New Roman"/>
        </w:rPr>
        <w:t>sis, acqui</w:t>
      </w:r>
      <w:r w:rsidRPr="00CE5AF8">
        <w:t>red coagulopathy or in patients receiving full dose of anticoagulants for the treatment of thromboembolism prior to starting bevacizumab treatment, as such patients were excluded from clinical trials. Therefore, caution should be exercised before initiating therapy in these patients. However, patients who developed venous thrombosis while receiving therapy did not appear to have an increased rate of Grade 3 or above bleeding when treated with a full dose of warfarin and bevacizumab concomitantly (NCI</w:t>
      </w:r>
      <w:r w:rsidR="00FD0731" w:rsidRPr="00CE5AF8">
        <w:noBreakHyphen/>
      </w:r>
      <w:r w:rsidRPr="00CE5AF8">
        <w:t>CTCAE v.3).</w:t>
      </w:r>
    </w:p>
    <w:p w14:paraId="634780F0" w14:textId="77777777" w:rsidR="00047E69" w:rsidRPr="00FD4E0F" w:rsidRDefault="00047E69" w:rsidP="0094563C">
      <w:pPr>
        <w:widowControl/>
        <w:adjustRightInd w:val="0"/>
        <w:snapToGrid w:val="0"/>
        <w:rPr>
          <w:rFonts w:ascii="Times New Roman" w:eastAsia="Times New Roman" w:hAnsi="Times New Roman" w:cs="Times New Roman"/>
        </w:rPr>
      </w:pPr>
    </w:p>
    <w:p w14:paraId="492A5632" w14:textId="77777777" w:rsidR="00047E69" w:rsidRPr="00FD4E0F" w:rsidRDefault="00C210A5" w:rsidP="0094563C">
      <w:pPr>
        <w:widowControl/>
        <w:adjustRightInd w:val="0"/>
        <w:snapToGrid w:val="0"/>
        <w:rPr>
          <w:rFonts w:ascii="Times New Roman" w:eastAsia="Times New Roman" w:hAnsi="Times New Roman" w:cs="Times New Roman"/>
          <w:iCs/>
          <w:u w:val="single"/>
        </w:rPr>
      </w:pPr>
      <w:r w:rsidRPr="00FD4E0F">
        <w:rPr>
          <w:rFonts w:ascii="Times New Roman"/>
          <w:iCs/>
          <w:u w:val="single"/>
        </w:rPr>
        <w:t>Pulmonary haemorrhage/haemoptysis</w:t>
      </w:r>
    </w:p>
    <w:p w14:paraId="7839A24A" w14:textId="6394CFFA" w:rsidR="00047E69" w:rsidRPr="00FD4E0F" w:rsidRDefault="00C210A5" w:rsidP="0094563C">
      <w:pPr>
        <w:pStyle w:val="a5"/>
        <w:widowControl/>
        <w:adjustRightInd w:val="0"/>
        <w:snapToGrid w:val="0"/>
      </w:pPr>
      <w:r w:rsidRPr="00FD4E0F">
        <w:t xml:space="preserve">Patients with </w:t>
      </w:r>
      <w:r w:rsidR="00355E84" w:rsidRPr="00FD4E0F">
        <w:t>NSCLC</w:t>
      </w:r>
      <w:r w:rsidRPr="00FD4E0F">
        <w:t xml:space="preserve"> treated with bevacizumab may be at risk of serious, and in some cases fatal, pulmonary haemorrhage/haemoptysis. Patients with recent pulmonary haemor</w:t>
      </w:r>
      <w:r w:rsidRPr="00FD4E0F">
        <w:rPr>
          <w:rFonts w:eastAsiaTheme="minorEastAsia" w:cs="Times New Roman"/>
        </w:rPr>
        <w:t>rhage/ haemopty</w:t>
      </w:r>
      <w:r w:rsidRPr="00FD4E0F">
        <w:t xml:space="preserve">sis (&gt; 2.5 </w:t>
      </w:r>
      <w:r w:rsidR="00487693" w:rsidRPr="00FD4E0F">
        <w:t>mL</w:t>
      </w:r>
      <w:r w:rsidRPr="00FD4E0F">
        <w:t xml:space="preserve"> of red blood) should not be treated with bevacizumab.</w:t>
      </w:r>
    </w:p>
    <w:p w14:paraId="5613E0D3" w14:textId="77777777" w:rsidR="00047E69" w:rsidRPr="00FD4E0F" w:rsidRDefault="00047E69" w:rsidP="0094563C">
      <w:pPr>
        <w:widowControl/>
        <w:adjustRightInd w:val="0"/>
        <w:snapToGrid w:val="0"/>
        <w:rPr>
          <w:rFonts w:ascii="Times New Roman" w:eastAsia="Times New Roman" w:hAnsi="Times New Roman" w:cs="Times New Roman"/>
        </w:rPr>
      </w:pPr>
    </w:p>
    <w:p w14:paraId="53A4E6E0" w14:textId="77777777" w:rsidR="00047E69" w:rsidRPr="00FD4E0F" w:rsidRDefault="00C210A5" w:rsidP="0094563C">
      <w:pPr>
        <w:widowControl/>
        <w:adjustRightInd w:val="0"/>
        <w:snapToGrid w:val="0"/>
        <w:rPr>
          <w:rFonts w:ascii="Times New Roman" w:eastAsia="Times New Roman" w:hAnsi="Times New Roman" w:cs="Times New Roman"/>
          <w:iCs/>
          <w:u w:val="single"/>
        </w:rPr>
      </w:pPr>
      <w:r w:rsidRPr="00FD4E0F">
        <w:rPr>
          <w:rFonts w:ascii="Times New Roman"/>
          <w:iCs/>
          <w:u w:val="single"/>
        </w:rPr>
        <w:t>Aneurysms and artery dissections</w:t>
      </w:r>
    </w:p>
    <w:p w14:paraId="783A129D" w14:textId="714B2313" w:rsidR="00047E69" w:rsidRPr="00FD4E0F" w:rsidRDefault="00C210A5" w:rsidP="0094563C">
      <w:pPr>
        <w:pStyle w:val="a5"/>
        <w:widowControl/>
        <w:adjustRightInd w:val="0"/>
        <w:snapToGrid w:val="0"/>
      </w:pPr>
      <w:r w:rsidRPr="00FD4E0F">
        <w:lastRenderedPageBreak/>
        <w:t>T</w:t>
      </w:r>
      <w:r w:rsidRPr="00FD4E0F">
        <w:rPr>
          <w:rFonts w:eastAsiaTheme="minorEastAsia" w:cs="Times New Roman"/>
        </w:rPr>
        <w:t xml:space="preserve">he use of VEGF pathway inhibitors in patients with or without hypertension may promote the formation of aneurysms and/or artery dissections. Before initiating </w:t>
      </w:r>
      <w:r w:rsidR="00A32819">
        <w:rPr>
          <w:rFonts w:eastAsiaTheme="minorEastAsia" w:cs="Times New Roman"/>
        </w:rPr>
        <w:t>Vegzelma</w:t>
      </w:r>
      <w:r w:rsidRPr="00FD4E0F">
        <w:rPr>
          <w:rFonts w:eastAsiaTheme="minorEastAsia" w:cs="Times New Roman"/>
        </w:rPr>
        <w:t>, this risk should be carefully considered in pat</w:t>
      </w:r>
      <w:r w:rsidRPr="00FD4E0F">
        <w:t>ients with risk factors such as hypertension or history of aneurysm.</w:t>
      </w:r>
    </w:p>
    <w:p w14:paraId="66E8F8CF" w14:textId="77777777" w:rsidR="00047E69" w:rsidRPr="00FD4E0F" w:rsidRDefault="00047E69" w:rsidP="0094563C">
      <w:pPr>
        <w:widowControl/>
        <w:adjustRightInd w:val="0"/>
        <w:snapToGrid w:val="0"/>
        <w:rPr>
          <w:rFonts w:ascii="Times New Roman" w:eastAsia="Times New Roman" w:hAnsi="Times New Roman" w:cs="Times New Roman"/>
        </w:rPr>
      </w:pPr>
    </w:p>
    <w:p w14:paraId="129E0D12" w14:textId="77777777" w:rsidR="00047E69" w:rsidRPr="00FD4E0F" w:rsidRDefault="00C210A5" w:rsidP="0094563C">
      <w:pPr>
        <w:widowControl/>
        <w:adjustRightInd w:val="0"/>
        <w:snapToGrid w:val="0"/>
        <w:rPr>
          <w:rFonts w:ascii="Times New Roman" w:eastAsia="Times New Roman" w:hAnsi="Times New Roman" w:cs="Times New Roman"/>
        </w:rPr>
      </w:pPr>
      <w:r w:rsidRPr="00FD4E0F">
        <w:rPr>
          <w:rFonts w:ascii="Times New Roman"/>
          <w:iCs/>
          <w:u w:val="single"/>
        </w:rPr>
        <w:t>Congestive heart failure (CHF)</w:t>
      </w:r>
      <w:r w:rsidRPr="00FD4E0F">
        <w:rPr>
          <w:rFonts w:ascii="Times New Roman"/>
          <w:i/>
        </w:rPr>
        <w:t xml:space="preserve"> </w:t>
      </w:r>
      <w:r w:rsidRPr="00FD4E0F">
        <w:rPr>
          <w:rFonts w:ascii="Times New Roman"/>
        </w:rPr>
        <w:t>(see section 4.8)</w:t>
      </w:r>
    </w:p>
    <w:p w14:paraId="54682648" w14:textId="1167F69D" w:rsidR="00047E69" w:rsidRPr="00FD4E0F" w:rsidRDefault="00C210A5" w:rsidP="0094563C">
      <w:pPr>
        <w:pStyle w:val="a5"/>
        <w:widowControl/>
        <w:adjustRightInd w:val="0"/>
        <w:snapToGrid w:val="0"/>
      </w:pPr>
      <w:r w:rsidRPr="00FD4E0F">
        <w:t>Reactions consistent with CHF were reported in clinical trials. The findings ranged from asymptomatic declines in left ventricular ejection fraction to symptomatic CHF, requiring treatment or hospitalisatio</w:t>
      </w:r>
      <w:r w:rsidRPr="00FD4E0F">
        <w:rPr>
          <w:rFonts w:eastAsiaTheme="minorEastAsia" w:cs="Times New Roman"/>
        </w:rPr>
        <w:t>n. Cau</w:t>
      </w:r>
      <w:r w:rsidRPr="00FD4E0F">
        <w:t>tion should be exercised when treating patients with clinically significant cardiovascular disease such as pre</w:t>
      </w:r>
      <w:r w:rsidR="00FD0731" w:rsidRPr="00FD4E0F">
        <w:noBreakHyphen/>
      </w:r>
      <w:r w:rsidRPr="00FD4E0F">
        <w:t xml:space="preserve">existing coronary artery disease, or </w:t>
      </w:r>
      <w:r w:rsidR="007725FD" w:rsidRPr="00FD4E0F">
        <w:t>CHF</w:t>
      </w:r>
      <w:r w:rsidRPr="00FD4E0F">
        <w:t xml:space="preserve"> with bevacizumab.</w:t>
      </w:r>
    </w:p>
    <w:p w14:paraId="3A918195" w14:textId="77777777" w:rsidR="00047E69" w:rsidRPr="00FD4E0F" w:rsidRDefault="00047E69" w:rsidP="0094563C">
      <w:pPr>
        <w:pStyle w:val="a5"/>
        <w:widowControl/>
        <w:adjustRightInd w:val="0"/>
        <w:snapToGrid w:val="0"/>
      </w:pPr>
    </w:p>
    <w:p w14:paraId="7B24FA68" w14:textId="77777777" w:rsidR="00047E69" w:rsidRPr="00FD4E0F" w:rsidRDefault="00C210A5" w:rsidP="0094563C">
      <w:pPr>
        <w:pStyle w:val="a5"/>
        <w:widowControl/>
        <w:adjustRightInd w:val="0"/>
        <w:snapToGrid w:val="0"/>
        <w:jc w:val="both"/>
      </w:pPr>
      <w:r w:rsidRPr="00FD4E0F">
        <w:t>Most of the patients who experienced CHF had metastatic breast cancer and had recei</w:t>
      </w:r>
      <w:r w:rsidRPr="00FD4E0F">
        <w:rPr>
          <w:rFonts w:eastAsiaTheme="minorEastAsia" w:cs="Times New Roman"/>
        </w:rPr>
        <w:t>ved previous treatment with anthracyclines, prior radiotherapy to the left chest wall or other risk factors for CHF were prese</w:t>
      </w:r>
      <w:r w:rsidRPr="00FD4E0F">
        <w:t>nt.</w:t>
      </w:r>
    </w:p>
    <w:p w14:paraId="54A75A58" w14:textId="77777777" w:rsidR="00047E69" w:rsidRPr="00FD4E0F" w:rsidRDefault="00047E69" w:rsidP="0094563C">
      <w:pPr>
        <w:widowControl/>
        <w:adjustRightInd w:val="0"/>
        <w:snapToGrid w:val="0"/>
        <w:rPr>
          <w:rFonts w:ascii="Times New Roman" w:eastAsia="Times New Roman" w:hAnsi="Times New Roman" w:cs="Times New Roman"/>
        </w:rPr>
      </w:pPr>
    </w:p>
    <w:p w14:paraId="3341D7D5" w14:textId="5C6CA027" w:rsidR="00047E69" w:rsidRPr="00FD4E0F" w:rsidRDefault="00C210A5" w:rsidP="0094563C">
      <w:pPr>
        <w:pStyle w:val="a5"/>
        <w:widowControl/>
        <w:adjustRightInd w:val="0"/>
        <w:snapToGrid w:val="0"/>
      </w:pPr>
      <w:r w:rsidRPr="00FD4E0F">
        <w:t>In patients in AVF3694g who received treatment with anthracyclines and who had not received anthracyclines before, no increased incidence of all Grade CHF was observed in the anthracycline + bevacizumab group compared to the treatment with anthracyclines only. CHF Grade 3 or higher reactions were somewhat more frequent among patients receiving bevacizumab in combination with chemotherapy than in patients receiving chemotherapy alone. This is consistent with results in patients in other studies of metastatic breast cancer who did not receive concurrent anthracycline treatment (NCI</w:t>
      </w:r>
      <w:r w:rsidR="00FD0731" w:rsidRPr="00FD4E0F">
        <w:noBreakHyphen/>
      </w:r>
      <w:r w:rsidRPr="00FD4E0F">
        <w:t>CTCAE v.3) (see section 4.8).</w:t>
      </w:r>
    </w:p>
    <w:p w14:paraId="0001D582" w14:textId="77777777" w:rsidR="00047E69" w:rsidRPr="00FD4E0F" w:rsidRDefault="00047E69" w:rsidP="0094563C">
      <w:pPr>
        <w:widowControl/>
        <w:adjustRightInd w:val="0"/>
        <w:snapToGrid w:val="0"/>
        <w:rPr>
          <w:rFonts w:ascii="Times New Roman" w:eastAsia="Times New Roman" w:hAnsi="Times New Roman" w:cs="Times New Roman"/>
          <w:sz w:val="21"/>
          <w:szCs w:val="21"/>
        </w:rPr>
      </w:pPr>
    </w:p>
    <w:p w14:paraId="61688882" w14:textId="77777777" w:rsidR="00047E69" w:rsidRPr="00FD4E0F" w:rsidRDefault="00C210A5" w:rsidP="0094563C">
      <w:pPr>
        <w:widowControl/>
        <w:adjustRightInd w:val="0"/>
        <w:snapToGrid w:val="0"/>
        <w:rPr>
          <w:rFonts w:ascii="Times New Roman" w:eastAsia="Times New Roman" w:hAnsi="Times New Roman" w:cs="Times New Roman"/>
        </w:rPr>
      </w:pPr>
      <w:r w:rsidRPr="00FD4E0F">
        <w:rPr>
          <w:rFonts w:ascii="Times New Roman"/>
          <w:iCs/>
          <w:u w:val="single"/>
        </w:rPr>
        <w:t>Neutropenia and infections</w:t>
      </w:r>
      <w:r w:rsidRPr="00FD4E0F">
        <w:rPr>
          <w:rFonts w:ascii="Times New Roman"/>
          <w:i/>
        </w:rPr>
        <w:t xml:space="preserve"> </w:t>
      </w:r>
      <w:r w:rsidRPr="00FD4E0F">
        <w:rPr>
          <w:rFonts w:ascii="Times New Roman"/>
        </w:rPr>
        <w:t>(see section 4.8)</w:t>
      </w:r>
    </w:p>
    <w:p w14:paraId="0249CA7C" w14:textId="4E48DE12" w:rsidR="00047E69" w:rsidRPr="00FD4E0F" w:rsidRDefault="00C210A5" w:rsidP="0094563C">
      <w:pPr>
        <w:pStyle w:val="a5"/>
        <w:widowControl/>
        <w:adjustRightInd w:val="0"/>
        <w:snapToGrid w:val="0"/>
      </w:pPr>
      <w:r w:rsidRPr="00FD4E0F">
        <w:t>Increased rates of severe neutropenia, febrile neutropenia, or infection with or without severe neutropenia (including some fatalities) have been observed in patients treated with some myelotoxic chemotherapy regimens plus bevacizumab in comparison to chemotherapy alone. This has mainly been seen in combination with platinum- or taxane</w:t>
      </w:r>
      <w:r w:rsidR="00FD0731" w:rsidRPr="00FD4E0F">
        <w:noBreakHyphen/>
      </w:r>
      <w:r w:rsidRPr="00FD4E0F">
        <w:t>based therapies in the treatment of NSCLC, mBC, and in combination with paclitaxel and topotecan in persistent, recurrent, or metastatic cervical cancer.</w:t>
      </w:r>
    </w:p>
    <w:p w14:paraId="63E99D8F" w14:textId="77777777" w:rsidR="00047E69" w:rsidRPr="00FD4E0F" w:rsidRDefault="00047E69" w:rsidP="0094563C">
      <w:pPr>
        <w:widowControl/>
        <w:adjustRightInd w:val="0"/>
        <w:snapToGrid w:val="0"/>
        <w:rPr>
          <w:rFonts w:ascii="Times New Roman" w:eastAsia="Times New Roman" w:hAnsi="Times New Roman" w:cs="Times New Roman"/>
          <w:sz w:val="21"/>
          <w:szCs w:val="21"/>
        </w:rPr>
      </w:pPr>
    </w:p>
    <w:p w14:paraId="144E5EBB" w14:textId="1086DC43" w:rsidR="00047E69" w:rsidRPr="00FD4E0F" w:rsidRDefault="00C210A5" w:rsidP="0094563C">
      <w:pPr>
        <w:widowControl/>
        <w:adjustRightInd w:val="0"/>
        <w:snapToGrid w:val="0"/>
        <w:rPr>
          <w:rFonts w:ascii="Times New Roman" w:eastAsia="Times New Roman" w:hAnsi="Times New Roman" w:cs="Times New Roman"/>
        </w:rPr>
      </w:pPr>
      <w:r w:rsidRPr="00FD4E0F">
        <w:rPr>
          <w:rFonts w:ascii="Times New Roman"/>
          <w:iCs/>
          <w:u w:val="single"/>
        </w:rPr>
        <w:t>Hypersensitivity reactions</w:t>
      </w:r>
      <w:r w:rsidR="00A65414" w:rsidRPr="00FD4E0F">
        <w:rPr>
          <w:rFonts w:ascii="Times New Roman"/>
          <w:iCs/>
          <w:u w:val="single"/>
        </w:rPr>
        <w:t xml:space="preserve"> (</w:t>
      </w:r>
      <w:r w:rsidR="00A65414" w:rsidRPr="00FD4E0F">
        <w:rPr>
          <w:rFonts w:ascii="Times New Roman" w:hint="eastAsia"/>
          <w:iCs/>
          <w:u w:val="single"/>
          <w:lang w:eastAsia="ko-KR"/>
        </w:rPr>
        <w:t>i</w:t>
      </w:r>
      <w:r w:rsidR="00A65414" w:rsidRPr="00FD4E0F">
        <w:rPr>
          <w:rFonts w:ascii="Times New Roman"/>
          <w:iCs/>
          <w:u w:val="single"/>
          <w:lang w:eastAsia="ko-KR"/>
        </w:rPr>
        <w:t>ncluding anaphylactic shock)</w:t>
      </w:r>
      <w:r w:rsidRPr="00FD4E0F">
        <w:rPr>
          <w:rFonts w:ascii="Times New Roman"/>
          <w:iCs/>
          <w:u w:val="single"/>
        </w:rPr>
        <w:t>/infusion reactions</w:t>
      </w:r>
      <w:r w:rsidRPr="00FD4E0F">
        <w:rPr>
          <w:rFonts w:ascii="Times New Roman"/>
          <w:i/>
        </w:rPr>
        <w:t xml:space="preserve"> </w:t>
      </w:r>
      <w:r w:rsidRPr="00FD4E0F">
        <w:rPr>
          <w:rFonts w:ascii="Times New Roman"/>
        </w:rPr>
        <w:t>(see section 4.8)</w:t>
      </w:r>
    </w:p>
    <w:p w14:paraId="1D94E601" w14:textId="7437F5E3" w:rsidR="00047E69" w:rsidRPr="00FD4E0F" w:rsidRDefault="00C210A5" w:rsidP="0094563C">
      <w:pPr>
        <w:pStyle w:val="a5"/>
        <w:widowControl/>
        <w:adjustRightInd w:val="0"/>
        <w:snapToGrid w:val="0"/>
      </w:pPr>
      <w:r w:rsidRPr="00FD4E0F">
        <w:t>Patients may be at risk of developing infusion/hypersensitivity reactions</w:t>
      </w:r>
      <w:r w:rsidR="00A65414" w:rsidRPr="00FD4E0F">
        <w:t xml:space="preserve"> (including anaphylactic shock)</w:t>
      </w:r>
      <w:r w:rsidRPr="00FD4E0F">
        <w:t>. Close observation of the patient during and following the administration of bevacizumab is recommended as expected for any infusion of a therapeutic humanised monoclonal antibody. If a reaction occurs, the infusion should be discontinued and appropriate medical therapies should be administered. A systematic premedication is not warranted.</w:t>
      </w:r>
    </w:p>
    <w:p w14:paraId="7448856F" w14:textId="77777777" w:rsidR="00047E69" w:rsidRPr="00FD4E0F" w:rsidRDefault="00047E69" w:rsidP="0094563C">
      <w:pPr>
        <w:widowControl/>
        <w:adjustRightInd w:val="0"/>
        <w:snapToGrid w:val="0"/>
        <w:rPr>
          <w:rFonts w:ascii="Times New Roman" w:eastAsia="Times New Roman" w:hAnsi="Times New Roman" w:cs="Times New Roman"/>
          <w:sz w:val="21"/>
          <w:szCs w:val="21"/>
        </w:rPr>
      </w:pPr>
    </w:p>
    <w:p w14:paraId="1D33E1B2" w14:textId="77777777" w:rsidR="00047E69" w:rsidRPr="00FD4E0F" w:rsidRDefault="00C210A5" w:rsidP="0094563C">
      <w:pPr>
        <w:widowControl/>
        <w:adjustRightInd w:val="0"/>
        <w:snapToGrid w:val="0"/>
        <w:rPr>
          <w:rFonts w:ascii="Times New Roman" w:eastAsia="Times New Roman" w:hAnsi="Times New Roman" w:cs="Times New Roman"/>
        </w:rPr>
      </w:pPr>
      <w:r w:rsidRPr="00FD4E0F">
        <w:rPr>
          <w:rFonts w:ascii="Times New Roman"/>
          <w:iCs/>
          <w:u w:val="single"/>
        </w:rPr>
        <w:t>Osteonecrosis of the jaw (ONJ)</w:t>
      </w:r>
      <w:r w:rsidRPr="00FD4E0F">
        <w:rPr>
          <w:rFonts w:ascii="Times New Roman"/>
          <w:i/>
        </w:rPr>
        <w:t xml:space="preserve"> </w:t>
      </w:r>
      <w:r w:rsidRPr="00FD4E0F">
        <w:rPr>
          <w:rFonts w:ascii="Times New Roman"/>
        </w:rPr>
        <w:t>(see section 4.8)</w:t>
      </w:r>
    </w:p>
    <w:p w14:paraId="6A663291" w14:textId="77777777" w:rsidR="00047E69" w:rsidRPr="00FD4E0F" w:rsidRDefault="00C210A5" w:rsidP="0094563C">
      <w:pPr>
        <w:pStyle w:val="a5"/>
        <w:widowControl/>
        <w:adjustRightInd w:val="0"/>
        <w:snapToGrid w:val="0"/>
      </w:pPr>
      <w:r w:rsidRPr="00FD4E0F">
        <w:t>Cases of ONJ have been reported in cancer patients treated with bevacizumab, the majority of whom had received prior or concomitant treatment with intravenous bisphosphonates, for which ONJ is an identified risk. Caution should be exercised when bevacizumab and intravenous bisphosphonates are administered simultaneously or sequentially.</w:t>
      </w:r>
    </w:p>
    <w:p w14:paraId="6DAEDAC3" w14:textId="77777777" w:rsidR="00047E69" w:rsidRPr="00FD4E0F" w:rsidRDefault="00047E69" w:rsidP="0094563C">
      <w:pPr>
        <w:pStyle w:val="a5"/>
        <w:widowControl/>
        <w:adjustRightInd w:val="0"/>
        <w:snapToGrid w:val="0"/>
      </w:pPr>
    </w:p>
    <w:p w14:paraId="680B4EDE" w14:textId="6A8D8EE7" w:rsidR="00047E69" w:rsidRPr="00FD4E0F" w:rsidRDefault="00C210A5" w:rsidP="0094563C">
      <w:pPr>
        <w:pStyle w:val="a5"/>
        <w:widowControl/>
        <w:adjustRightInd w:val="0"/>
        <w:snapToGrid w:val="0"/>
        <w:ind w:hanging="1"/>
      </w:pPr>
      <w:r w:rsidRPr="00FD4E0F">
        <w:t>Invasive dental procedures are also an identified risk fact</w:t>
      </w:r>
      <w:r w:rsidRPr="00FD4E0F">
        <w:rPr>
          <w:rFonts w:eastAsiaTheme="minorEastAsia" w:cs="Times New Roman"/>
        </w:rPr>
        <w:t>or. A dental ex</w:t>
      </w:r>
      <w:r w:rsidRPr="00FD4E0F">
        <w:t xml:space="preserve">amination and appropriate preventive dentistry should be considered prior to starting the treatment with </w:t>
      </w:r>
      <w:r w:rsidR="00A32819">
        <w:t>Vegzelma</w:t>
      </w:r>
      <w:r w:rsidRPr="00FD4E0F">
        <w:t>. In patients who have previously received or are receiving intravenous bisphosphonates invasive dental procedures should be avoided, if possible.</w:t>
      </w:r>
    </w:p>
    <w:p w14:paraId="14DD875F" w14:textId="77777777" w:rsidR="00047E69" w:rsidRPr="00FD4E0F" w:rsidRDefault="00047E69" w:rsidP="0094563C">
      <w:pPr>
        <w:widowControl/>
        <w:adjustRightInd w:val="0"/>
        <w:snapToGrid w:val="0"/>
        <w:rPr>
          <w:rFonts w:ascii="Times New Roman" w:eastAsia="Times New Roman" w:hAnsi="Times New Roman" w:cs="Times New Roman"/>
          <w:sz w:val="21"/>
          <w:szCs w:val="21"/>
        </w:rPr>
      </w:pPr>
    </w:p>
    <w:p w14:paraId="119F107F" w14:textId="77777777" w:rsidR="00047E69" w:rsidRPr="00FD4E0F" w:rsidRDefault="00C210A5" w:rsidP="0094563C">
      <w:pPr>
        <w:widowControl/>
        <w:adjustRightInd w:val="0"/>
        <w:snapToGrid w:val="0"/>
        <w:rPr>
          <w:rFonts w:ascii="Times New Roman" w:eastAsia="Times New Roman" w:hAnsi="Times New Roman" w:cs="Times New Roman"/>
          <w:iCs/>
          <w:u w:val="single"/>
        </w:rPr>
      </w:pPr>
      <w:r w:rsidRPr="00FD4E0F">
        <w:rPr>
          <w:rFonts w:ascii="Times New Roman"/>
          <w:iCs/>
          <w:u w:val="single"/>
        </w:rPr>
        <w:t>Intravitreal use</w:t>
      </w:r>
    </w:p>
    <w:p w14:paraId="1E488878" w14:textId="53B02FA0" w:rsidR="00047E69" w:rsidRPr="00FD4E0F" w:rsidRDefault="00A32819" w:rsidP="0094563C">
      <w:pPr>
        <w:pStyle w:val="a5"/>
        <w:widowControl/>
        <w:adjustRightInd w:val="0"/>
        <w:snapToGrid w:val="0"/>
      </w:pPr>
      <w:r>
        <w:t>Vegzelma</w:t>
      </w:r>
      <w:r w:rsidR="00C210A5" w:rsidRPr="00FD4E0F">
        <w:t xml:space="preserve"> is not formulated for intravitreal use.</w:t>
      </w:r>
    </w:p>
    <w:p w14:paraId="5FA81D23" w14:textId="77777777" w:rsidR="00047E69" w:rsidRDefault="00047E69" w:rsidP="0094563C">
      <w:pPr>
        <w:widowControl/>
        <w:adjustRightInd w:val="0"/>
        <w:snapToGrid w:val="0"/>
        <w:rPr>
          <w:rFonts w:ascii="Times New Roman" w:eastAsia="Times New Roman" w:hAnsi="Times New Roman" w:cs="Times New Roman"/>
          <w:sz w:val="21"/>
          <w:szCs w:val="21"/>
        </w:rPr>
      </w:pPr>
    </w:p>
    <w:p w14:paraId="4F72B4BC" w14:textId="77777777" w:rsidR="00047E69" w:rsidRPr="00FD4E0F" w:rsidRDefault="00C210A5" w:rsidP="0094563C">
      <w:pPr>
        <w:widowControl/>
        <w:adjustRightInd w:val="0"/>
        <w:snapToGrid w:val="0"/>
        <w:rPr>
          <w:rFonts w:ascii="Times New Roman" w:eastAsia="Times New Roman" w:hAnsi="Times New Roman" w:cs="Times New Roman"/>
          <w:iCs/>
          <w:u w:val="single"/>
        </w:rPr>
      </w:pPr>
      <w:r w:rsidRPr="00FD4E0F">
        <w:rPr>
          <w:rFonts w:ascii="Times New Roman"/>
          <w:iCs/>
          <w:u w:val="single"/>
        </w:rPr>
        <w:t>Eye disorders</w:t>
      </w:r>
    </w:p>
    <w:p w14:paraId="7E8C7526" w14:textId="77777777" w:rsidR="00047E69" w:rsidRPr="00FD4E0F" w:rsidRDefault="00C210A5" w:rsidP="0094563C">
      <w:pPr>
        <w:pStyle w:val="a5"/>
        <w:widowControl/>
        <w:adjustRightInd w:val="0"/>
        <w:snapToGrid w:val="0"/>
      </w:pPr>
      <w:r w:rsidRPr="00FD4E0F">
        <w:t xml:space="preserve">Individual cases and clusters of serious ocular adverse reactions have been reported following unapproved intravitreal use of bevacizumab compounded from vials approved for intravenous administration in cancer patients. These reactions included infectious endophthalmitis, intraocular inflammation such as sterile endophthalmitis, uveitis and vitritis, retinal detachment, retinal pigment epithelial tear, intraocular pressure increased, intraocular haemorrhage such as vitreous haemorrhage </w:t>
      </w:r>
      <w:r w:rsidRPr="00FD4E0F">
        <w:lastRenderedPageBreak/>
        <w:t>or retinal haemorrhage and conjunctival haemorrhage. Some of these reactions have resulted in various degrees of visual loss, including permanent blindness.</w:t>
      </w:r>
    </w:p>
    <w:p w14:paraId="0DFB875C"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Systemic effects following intravitreal use</w:t>
      </w:r>
    </w:p>
    <w:p w14:paraId="0584940A" w14:textId="044F564A" w:rsidR="00047E69" w:rsidRPr="0030368A" w:rsidRDefault="00C210A5" w:rsidP="0094563C">
      <w:pPr>
        <w:pStyle w:val="a5"/>
        <w:widowControl/>
        <w:adjustRightInd w:val="0"/>
        <w:snapToGrid w:val="0"/>
      </w:pPr>
      <w:r w:rsidRPr="0030368A">
        <w:t>A reduction of circulating VEGF concentration has been demonstrated following intravitreal anti</w:t>
      </w:r>
      <w:r w:rsidR="00FD0731" w:rsidRPr="0030368A">
        <w:noBreakHyphen/>
      </w:r>
      <w:r w:rsidRPr="0030368A">
        <w:t>VEGF thera</w:t>
      </w:r>
      <w:r w:rsidRPr="0030368A">
        <w:rPr>
          <w:rFonts w:eastAsiaTheme="minorEastAsia" w:cs="Times New Roman"/>
        </w:rPr>
        <w:t>py. Sys</w:t>
      </w:r>
      <w:r w:rsidRPr="0030368A">
        <w:t>temic adverse reactions including non</w:t>
      </w:r>
      <w:r w:rsidR="00FD0731" w:rsidRPr="0030368A">
        <w:noBreakHyphen/>
      </w:r>
      <w:r w:rsidRPr="0030368A">
        <w:t>ocular haemorrhages and arterial thromboembolic reactions have been reported following intravitreal injection of VEGF inhibitors.</w:t>
      </w:r>
    </w:p>
    <w:p w14:paraId="4A2FFF47"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2E6110C0"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Ovarian failure/fertility</w:t>
      </w:r>
    </w:p>
    <w:p w14:paraId="440704EB" w14:textId="291FE2B2" w:rsidR="00A7496B" w:rsidRPr="0030368A" w:rsidRDefault="00C210A5" w:rsidP="0094563C">
      <w:pPr>
        <w:pStyle w:val="a5"/>
        <w:widowControl/>
        <w:adjustRightInd w:val="0"/>
        <w:snapToGrid w:val="0"/>
        <w:rPr>
          <w:rFonts w:eastAsiaTheme="minorEastAsia"/>
          <w:lang w:eastAsia="ko-KR"/>
        </w:rPr>
      </w:pPr>
      <w:r w:rsidRPr="0030368A">
        <w:t>Bevacizumab may impair female fertility (see sections 4.6 and 4.8). Therefore, fertility preservation strategies should be discussed with women of child</w:t>
      </w:r>
      <w:r w:rsidR="00FD0731" w:rsidRPr="0030368A">
        <w:noBreakHyphen/>
      </w:r>
      <w:r w:rsidRPr="0030368A">
        <w:t xml:space="preserve">bearing potential prior to starting treatment with </w:t>
      </w:r>
      <w:r w:rsidR="00A32819">
        <w:t>Vegzelma</w:t>
      </w:r>
      <w:r w:rsidRPr="0030368A">
        <w:t>.</w:t>
      </w:r>
    </w:p>
    <w:p w14:paraId="3D8E94D6" w14:textId="77777777" w:rsidR="00F96054" w:rsidRPr="0030368A" w:rsidRDefault="00F96054" w:rsidP="0094563C">
      <w:pPr>
        <w:pStyle w:val="a5"/>
        <w:widowControl/>
        <w:adjustRightInd w:val="0"/>
        <w:snapToGrid w:val="0"/>
        <w:rPr>
          <w:rFonts w:eastAsiaTheme="minorEastAsia"/>
          <w:lang w:eastAsia="ko-KR"/>
        </w:rPr>
      </w:pPr>
    </w:p>
    <w:p w14:paraId="32245C06" w14:textId="77777777" w:rsidR="00F96054" w:rsidRPr="0030368A" w:rsidRDefault="00F96054" w:rsidP="0094563C">
      <w:pPr>
        <w:pStyle w:val="a5"/>
        <w:widowControl/>
        <w:adjustRightInd w:val="0"/>
        <w:snapToGrid w:val="0"/>
        <w:rPr>
          <w:rFonts w:eastAsiaTheme="minorEastAsia"/>
          <w:u w:val="single"/>
          <w:lang w:eastAsia="ko-KR"/>
        </w:rPr>
      </w:pPr>
      <w:bookmarkStart w:id="2" w:name="_Hlk190181049"/>
      <w:r w:rsidRPr="0030368A">
        <w:rPr>
          <w:rFonts w:eastAsiaTheme="minorEastAsia" w:hint="eastAsia"/>
          <w:u w:val="single"/>
          <w:lang w:eastAsia="ko-KR"/>
        </w:rPr>
        <w:t>Excipients</w:t>
      </w:r>
    </w:p>
    <w:p w14:paraId="18E3F2E3" w14:textId="7B1D83D4" w:rsidR="000B25F5" w:rsidRPr="000B25F5" w:rsidRDefault="000B25F5" w:rsidP="0094563C">
      <w:pPr>
        <w:pStyle w:val="a5"/>
        <w:widowControl/>
        <w:adjustRightInd w:val="0"/>
        <w:snapToGrid w:val="0"/>
        <w:rPr>
          <w:rFonts w:eastAsiaTheme="minorEastAsia"/>
          <w:lang w:eastAsia="ko-KR"/>
        </w:rPr>
      </w:pPr>
      <w:bookmarkStart w:id="3" w:name="_Hlk190261210"/>
      <w:r>
        <w:rPr>
          <w:rFonts w:eastAsiaTheme="minorEastAsia" w:hint="eastAsia"/>
          <w:lang w:eastAsia="ko-KR"/>
        </w:rPr>
        <w:t xml:space="preserve">This </w:t>
      </w:r>
      <w:r w:rsidR="008F254E">
        <w:rPr>
          <w:rFonts w:eastAsiaTheme="minorEastAsia" w:hint="eastAsia"/>
          <w:lang w:eastAsia="ko-KR"/>
        </w:rPr>
        <w:t>medicine</w:t>
      </w:r>
      <w:r>
        <w:rPr>
          <w:rFonts w:eastAsiaTheme="minorEastAsia" w:hint="eastAsia"/>
          <w:lang w:eastAsia="ko-KR"/>
        </w:rPr>
        <w:t xml:space="preserve"> contains less than 1 mmol sodium (23 mg) per vial, that is to say essentially </w:t>
      </w:r>
      <w:r>
        <w:rPr>
          <w:rFonts w:eastAsiaTheme="minorEastAsia"/>
          <w:lang w:eastAsia="ko-KR"/>
        </w:rPr>
        <w:t>‘</w:t>
      </w:r>
      <w:r>
        <w:rPr>
          <w:rFonts w:eastAsiaTheme="minorEastAsia" w:hint="eastAsia"/>
          <w:lang w:eastAsia="ko-KR"/>
        </w:rPr>
        <w:t>sodium-free</w:t>
      </w:r>
      <w:r>
        <w:rPr>
          <w:rFonts w:eastAsiaTheme="minorEastAsia"/>
          <w:lang w:eastAsia="ko-KR"/>
        </w:rPr>
        <w:t>’</w:t>
      </w:r>
      <w:r w:rsidR="008F254E">
        <w:rPr>
          <w:rFonts w:eastAsiaTheme="minorEastAsia" w:hint="eastAsia"/>
          <w:lang w:eastAsia="ko-KR"/>
        </w:rPr>
        <w:t>.</w:t>
      </w:r>
    </w:p>
    <w:p w14:paraId="66B8CBC4" w14:textId="77777777" w:rsidR="000B25F5" w:rsidRDefault="000B25F5" w:rsidP="0094563C">
      <w:pPr>
        <w:pStyle w:val="a5"/>
        <w:widowControl/>
        <w:adjustRightInd w:val="0"/>
        <w:snapToGrid w:val="0"/>
        <w:rPr>
          <w:rFonts w:eastAsiaTheme="minorEastAsia"/>
          <w:lang w:eastAsia="ko-KR"/>
        </w:rPr>
      </w:pPr>
    </w:p>
    <w:p w14:paraId="229B3E68" w14:textId="464FCF80" w:rsidR="005C3F12" w:rsidRPr="008F254E" w:rsidRDefault="00EB26C1" w:rsidP="0094563C">
      <w:pPr>
        <w:pStyle w:val="a5"/>
        <w:widowControl/>
        <w:adjustRightInd w:val="0"/>
        <w:snapToGrid w:val="0"/>
        <w:rPr>
          <w:rFonts w:eastAsiaTheme="minorEastAsia"/>
          <w:lang w:eastAsia="ko-KR"/>
        </w:rPr>
      </w:pPr>
      <w:r>
        <w:rPr>
          <w:rFonts w:eastAsiaTheme="minorEastAsia" w:hint="eastAsia"/>
          <w:lang w:eastAsia="ko-KR"/>
        </w:rPr>
        <w:t>This medicine contains</w:t>
      </w:r>
      <w:r w:rsidR="008D5309">
        <w:rPr>
          <w:rFonts w:eastAsiaTheme="minorEastAsia" w:hint="eastAsia"/>
          <w:lang w:eastAsia="ko-KR"/>
        </w:rPr>
        <w:t xml:space="preserve"> 0.4 m</w:t>
      </w:r>
      <w:r w:rsidR="0042458C">
        <w:rPr>
          <w:rFonts w:eastAsiaTheme="minorEastAsia" w:hint="eastAsia"/>
          <w:lang w:eastAsia="ko-KR"/>
        </w:rPr>
        <w:t>g</w:t>
      </w:r>
      <w:r w:rsidR="008D5309">
        <w:rPr>
          <w:rFonts w:eastAsiaTheme="minorEastAsia" w:hint="eastAsia"/>
          <w:lang w:eastAsia="ko-KR"/>
        </w:rPr>
        <w:t xml:space="preserve"> of polysorbate </w:t>
      </w:r>
      <w:r w:rsidR="005C3F12">
        <w:rPr>
          <w:rFonts w:eastAsiaTheme="minorEastAsia" w:hint="eastAsia"/>
          <w:lang w:eastAsia="ko-KR"/>
        </w:rPr>
        <w:t xml:space="preserve">20 </w:t>
      </w:r>
      <w:r w:rsidR="008D5309">
        <w:rPr>
          <w:rFonts w:eastAsiaTheme="minorEastAsia" w:hint="eastAsia"/>
          <w:lang w:eastAsia="ko-KR"/>
        </w:rPr>
        <w:t>in each mL.</w:t>
      </w:r>
      <w:r w:rsidR="00065CB5">
        <w:rPr>
          <w:rFonts w:eastAsiaTheme="minorEastAsia" w:hint="eastAsia"/>
          <w:lang w:eastAsia="ko-KR"/>
        </w:rPr>
        <w:t xml:space="preserve"> Polysorbates may cause allergic reactions. </w:t>
      </w:r>
      <w:bookmarkStart w:id="4" w:name="_Hlk183096230"/>
      <w:r w:rsidR="002E22DE" w:rsidRPr="0030368A">
        <w:rPr>
          <w:rFonts w:eastAsiaTheme="minorEastAsia" w:hint="eastAsia"/>
          <w:lang w:eastAsia="ko-KR"/>
        </w:rPr>
        <w:t xml:space="preserve">Patients with </w:t>
      </w:r>
      <w:r w:rsidR="002E22DE" w:rsidRPr="0030368A">
        <w:rPr>
          <w:rFonts w:eastAsiaTheme="minorEastAsia"/>
          <w:lang w:eastAsia="ko-KR"/>
        </w:rPr>
        <w:t>polysorbate</w:t>
      </w:r>
      <w:r w:rsidR="002E22DE" w:rsidRPr="0030368A">
        <w:rPr>
          <w:rFonts w:eastAsiaTheme="minorEastAsia" w:hint="eastAsia"/>
          <w:lang w:eastAsia="ko-KR"/>
        </w:rPr>
        <w:t xml:space="preserve"> allergy should not take this medicine.</w:t>
      </w:r>
      <w:bookmarkEnd w:id="4"/>
    </w:p>
    <w:bookmarkEnd w:id="2"/>
    <w:bookmarkEnd w:id="3"/>
    <w:p w14:paraId="194E8113" w14:textId="77777777" w:rsidR="00A8704B" w:rsidRPr="0030368A" w:rsidRDefault="00A8704B" w:rsidP="0094563C">
      <w:pPr>
        <w:pStyle w:val="a5"/>
        <w:widowControl/>
        <w:adjustRightInd w:val="0"/>
        <w:snapToGrid w:val="0"/>
        <w:rPr>
          <w:rFonts w:eastAsiaTheme="minorEastAsia"/>
          <w:lang w:eastAsia="ko-KR"/>
        </w:rPr>
      </w:pPr>
    </w:p>
    <w:p w14:paraId="61E503C7" w14:textId="77777777" w:rsidR="00047E69" w:rsidRPr="0030368A" w:rsidRDefault="00C210A5" w:rsidP="0094563C">
      <w:pPr>
        <w:pStyle w:val="1"/>
        <w:widowControl/>
        <w:numPr>
          <w:ilvl w:val="1"/>
          <w:numId w:val="12"/>
        </w:numPr>
        <w:tabs>
          <w:tab w:val="left" w:pos="683"/>
        </w:tabs>
        <w:ind w:left="567"/>
        <w:rPr>
          <w:b w:val="0"/>
          <w:bCs w:val="0"/>
        </w:rPr>
      </w:pPr>
      <w:r w:rsidRPr="0030368A">
        <w:t>Interaction with other medicinal products and other forms of interaction</w:t>
      </w:r>
    </w:p>
    <w:p w14:paraId="29CEC6BB" w14:textId="77777777" w:rsidR="00047E69" w:rsidRPr="0030368A" w:rsidRDefault="00047E69" w:rsidP="0094563C">
      <w:pPr>
        <w:widowControl/>
        <w:adjustRightInd w:val="0"/>
        <w:snapToGrid w:val="0"/>
        <w:rPr>
          <w:rFonts w:ascii="Times New Roman" w:eastAsia="Times New Roman" w:hAnsi="Times New Roman" w:cs="Times New Roman"/>
          <w:b/>
          <w:bCs/>
          <w:sz w:val="21"/>
          <w:szCs w:val="21"/>
        </w:rPr>
      </w:pPr>
    </w:p>
    <w:p w14:paraId="7CAABAD0"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Effect of antineoplastic agents on bevacizumab pharmacokinetics</w:t>
      </w:r>
    </w:p>
    <w:p w14:paraId="3CCDB752" w14:textId="4696A60F" w:rsidR="00047E69" w:rsidRPr="0030368A" w:rsidRDefault="00C210A5" w:rsidP="0094563C">
      <w:pPr>
        <w:pStyle w:val="a5"/>
        <w:widowControl/>
        <w:adjustRightInd w:val="0"/>
        <w:snapToGrid w:val="0"/>
      </w:pPr>
      <w:r w:rsidRPr="0030368A">
        <w:t>No clinically relevant interaction of co</w:t>
      </w:r>
      <w:r w:rsidR="00FD0731" w:rsidRPr="0030368A">
        <w:noBreakHyphen/>
      </w:r>
      <w:r w:rsidRPr="0030368A">
        <w:t>administered chemotherapy on bevacizumab pharmacokinetics was observed based on the results of population pharmacokinetic analyses. There were neither statistically significant nor clinically relevant differences in bevacizumab clearance in patients receiving bevacizumab monotherapy compared to patients receiving bevacizumab in combination with interfer</w:t>
      </w:r>
      <w:r w:rsidRPr="0030368A">
        <w:rPr>
          <w:rFonts w:eastAsiaTheme="minorEastAsia" w:cs="Times New Roman"/>
        </w:rPr>
        <w:t>on a</w:t>
      </w:r>
      <w:r w:rsidRPr="0030368A">
        <w:t>lfa</w:t>
      </w:r>
      <w:r w:rsidR="00FD0731" w:rsidRPr="0030368A">
        <w:noBreakHyphen/>
      </w:r>
      <w:r w:rsidRPr="0030368A">
        <w:t>2a, erlotinib or chemotherapies (IFL, 5</w:t>
      </w:r>
      <w:r w:rsidR="00FD0731" w:rsidRPr="0030368A">
        <w:noBreakHyphen/>
      </w:r>
      <w:r w:rsidRPr="0030368A">
        <w:t>FU/LV, carboplatin/paclitaxel, capecitabine, doxorubi</w:t>
      </w:r>
      <w:r w:rsidRPr="0030368A">
        <w:rPr>
          <w:rFonts w:eastAsiaTheme="minorEastAsia" w:cs="Times New Roman"/>
        </w:rPr>
        <w:t>cin or cis</w:t>
      </w:r>
      <w:r w:rsidRPr="0030368A">
        <w:t>platin/gemcitabine).</w:t>
      </w:r>
    </w:p>
    <w:p w14:paraId="3AFEA513" w14:textId="77777777" w:rsidR="00047E69" w:rsidRPr="0030368A" w:rsidRDefault="00047E69" w:rsidP="0094563C">
      <w:pPr>
        <w:widowControl/>
        <w:adjustRightInd w:val="0"/>
        <w:snapToGrid w:val="0"/>
        <w:rPr>
          <w:rFonts w:ascii="Times New Roman" w:eastAsia="Times New Roman" w:hAnsi="Times New Roman" w:cs="Times New Roman"/>
        </w:rPr>
      </w:pPr>
    </w:p>
    <w:p w14:paraId="560F8D09"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Effect of bevacizumab on the pharmacokinetics of other antineoplastic agents</w:t>
      </w:r>
    </w:p>
    <w:p w14:paraId="2DA288E2" w14:textId="64F52503" w:rsidR="00047E69" w:rsidRPr="0030368A" w:rsidRDefault="00C210A5" w:rsidP="0094563C">
      <w:pPr>
        <w:pStyle w:val="a5"/>
        <w:widowControl/>
        <w:adjustRightInd w:val="0"/>
        <w:snapToGrid w:val="0"/>
      </w:pPr>
      <w:r w:rsidRPr="0030368A">
        <w:t>No clinically relevant interaction of bevacizumab was observed on the pharmacokinetics of co</w:t>
      </w:r>
      <w:r w:rsidR="00FD0731" w:rsidRPr="0030368A">
        <w:noBreakHyphen/>
      </w:r>
      <w:r w:rsidRPr="0030368A">
        <w:t>administered interferon alfa 2a, erlotinib (and its active metabolite OSI</w:t>
      </w:r>
      <w:r w:rsidR="00FD0731" w:rsidRPr="0030368A">
        <w:noBreakHyphen/>
      </w:r>
      <w:r w:rsidRPr="0030368A">
        <w:t>420), or the chemotherapies irinotecan (and its active metabolite SN3</w:t>
      </w:r>
      <w:r w:rsidRPr="0030368A">
        <w:rPr>
          <w:rFonts w:eastAsiaTheme="minorEastAsia" w:cs="Times New Roman"/>
        </w:rPr>
        <w:t>8),</w:t>
      </w:r>
      <w:r w:rsidRPr="0030368A">
        <w:t xml:space="preserve"> capecitabine, oxaliplatin (as determined by measurement of free and total platinum), and cisplatin. Conclusions on the impact of bevacizumab on gemcitabine pharmacokinetics cannot be drawn.</w:t>
      </w:r>
    </w:p>
    <w:p w14:paraId="4F6A0E2F" w14:textId="77777777" w:rsidR="00047E69" w:rsidRPr="0030368A" w:rsidRDefault="00047E69" w:rsidP="0094563C">
      <w:pPr>
        <w:widowControl/>
        <w:adjustRightInd w:val="0"/>
        <w:snapToGrid w:val="0"/>
        <w:rPr>
          <w:rFonts w:ascii="Times New Roman" w:eastAsia="Times New Roman" w:hAnsi="Times New Roman" w:cs="Times New Roman"/>
        </w:rPr>
      </w:pPr>
    </w:p>
    <w:p w14:paraId="32AEF0E0"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Combination of bevacizumab and sunitinib malate</w:t>
      </w:r>
    </w:p>
    <w:p w14:paraId="7C5B8602" w14:textId="77777777" w:rsidR="00047E69" w:rsidRPr="0030368A" w:rsidRDefault="00C210A5" w:rsidP="0094563C">
      <w:pPr>
        <w:pStyle w:val="a5"/>
        <w:widowControl/>
        <w:adjustRightInd w:val="0"/>
        <w:snapToGrid w:val="0"/>
      </w:pPr>
      <w:r w:rsidRPr="0030368A">
        <w:t>In two clinical trials of metastatic renal cell carcinoma, microangiopathic haemolytic anaemia (MAHA) was reported in 7 of 19 patients treated with bevacizumab (10 mg/kg every two weeks) and sunitinib malate (50 mg daily) combination.</w:t>
      </w:r>
    </w:p>
    <w:p w14:paraId="5E30E340"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148AF714" w14:textId="77777777" w:rsidR="00047E69" w:rsidRPr="0030368A" w:rsidRDefault="00C210A5" w:rsidP="0094563C">
      <w:pPr>
        <w:pStyle w:val="a5"/>
        <w:widowControl/>
        <w:adjustRightInd w:val="0"/>
        <w:snapToGrid w:val="0"/>
      </w:pPr>
      <w:r w:rsidRPr="0030368A">
        <w:t xml:space="preserve">MAHA is a haemolytic disorder which can present with red cell fragmentation, anaemia, and thrombocytopenia. In addition, hypertension (including hypertensive crisis), elevated creatinine, and neurological symptoms were observed in some of these patients. All of these findings were reversible upon discontinuation of bevacizumab and sunitinib malate (see </w:t>
      </w:r>
      <w:r w:rsidRPr="0030368A">
        <w:rPr>
          <w:iCs/>
          <w:u w:val="single"/>
        </w:rPr>
        <w:t>Hypertension</w:t>
      </w:r>
      <w:r w:rsidRPr="0030368A">
        <w:rPr>
          <w:iCs/>
        </w:rPr>
        <w:t xml:space="preserve">, </w:t>
      </w:r>
      <w:r w:rsidRPr="0030368A">
        <w:rPr>
          <w:iCs/>
          <w:u w:val="single"/>
        </w:rPr>
        <w:t>Proteinuria</w:t>
      </w:r>
      <w:r w:rsidRPr="0030368A">
        <w:rPr>
          <w:iCs/>
        </w:rPr>
        <w:t xml:space="preserve">, </w:t>
      </w:r>
      <w:r w:rsidRPr="0030368A">
        <w:rPr>
          <w:iCs/>
          <w:u w:val="single"/>
        </w:rPr>
        <w:t>PRES</w:t>
      </w:r>
      <w:r w:rsidRPr="0030368A">
        <w:rPr>
          <w:i/>
        </w:rPr>
        <w:t xml:space="preserve"> </w:t>
      </w:r>
      <w:r w:rsidRPr="0030368A">
        <w:t>in section 4.4).</w:t>
      </w:r>
    </w:p>
    <w:p w14:paraId="3235722A"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47697C11" w14:textId="2B99DAA1" w:rsidR="00047E69" w:rsidRPr="0030368A" w:rsidRDefault="00C210A5" w:rsidP="0094563C">
      <w:pPr>
        <w:widowControl/>
        <w:adjustRightInd w:val="0"/>
        <w:snapToGrid w:val="0"/>
        <w:rPr>
          <w:rFonts w:ascii="Times New Roman" w:eastAsia="Times New Roman" w:hAnsi="Times New Roman" w:cs="Times New Roman"/>
        </w:rPr>
      </w:pPr>
      <w:r w:rsidRPr="0030368A">
        <w:rPr>
          <w:rFonts w:ascii="Times New Roman"/>
          <w:iCs/>
          <w:u w:val="single"/>
        </w:rPr>
        <w:t>Combination with platinum- or taxane</w:t>
      </w:r>
      <w:r w:rsidR="00FD0731" w:rsidRPr="0030368A">
        <w:rPr>
          <w:rFonts w:ascii="Times New Roman"/>
          <w:iCs/>
          <w:u w:val="single"/>
        </w:rPr>
        <w:noBreakHyphen/>
      </w:r>
      <w:r w:rsidRPr="0030368A">
        <w:rPr>
          <w:rFonts w:ascii="Times New Roman"/>
          <w:iCs/>
          <w:u w:val="single"/>
        </w:rPr>
        <w:t>based therapies</w:t>
      </w:r>
      <w:r w:rsidRPr="0030368A">
        <w:rPr>
          <w:rFonts w:ascii="Times New Roman"/>
          <w:i/>
        </w:rPr>
        <w:t xml:space="preserve"> </w:t>
      </w:r>
      <w:r w:rsidRPr="0030368A">
        <w:rPr>
          <w:rFonts w:ascii="Times New Roman"/>
        </w:rPr>
        <w:t>(see sections 4.4 and 4.8)</w:t>
      </w:r>
    </w:p>
    <w:p w14:paraId="34C9649B" w14:textId="4865139A" w:rsidR="00047E69" w:rsidRPr="0030368A" w:rsidRDefault="00C210A5" w:rsidP="0094563C">
      <w:pPr>
        <w:pStyle w:val="a5"/>
        <w:widowControl/>
        <w:adjustRightInd w:val="0"/>
        <w:snapToGrid w:val="0"/>
      </w:pPr>
      <w:r w:rsidRPr="0030368A">
        <w:t>Increased rates of severe neutropenia, febrile neutropenia, or infection with or without severe neutropenia (including some fatalities) have been observed mainly in patients treated with platinum- or taxane</w:t>
      </w:r>
      <w:r w:rsidR="00FD0731" w:rsidRPr="0030368A">
        <w:noBreakHyphen/>
      </w:r>
      <w:r w:rsidRPr="0030368A">
        <w:t>based therapies in the treatment of NSCLC and mBC.</w:t>
      </w:r>
    </w:p>
    <w:p w14:paraId="2D254C47" w14:textId="77777777" w:rsidR="00047E69" w:rsidRPr="0030368A" w:rsidRDefault="00047E69" w:rsidP="0094563C">
      <w:pPr>
        <w:widowControl/>
        <w:adjustRightInd w:val="0"/>
        <w:snapToGrid w:val="0"/>
        <w:rPr>
          <w:rFonts w:ascii="Times New Roman" w:eastAsia="Times New Roman" w:hAnsi="Times New Roman" w:cs="Times New Roman"/>
        </w:rPr>
      </w:pPr>
    </w:p>
    <w:p w14:paraId="0AEBFB97"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Radiotherapy</w:t>
      </w:r>
    </w:p>
    <w:p w14:paraId="1A1F8163" w14:textId="77777777" w:rsidR="00047E69" w:rsidRPr="0030368A" w:rsidRDefault="00C210A5" w:rsidP="0094563C">
      <w:pPr>
        <w:pStyle w:val="a5"/>
        <w:widowControl/>
        <w:adjustRightInd w:val="0"/>
        <w:snapToGrid w:val="0"/>
      </w:pPr>
      <w:r w:rsidRPr="0030368A">
        <w:t>The safety and efficacy of concomitant administration of radiotherapy and bevacizumab has not been established.</w:t>
      </w:r>
    </w:p>
    <w:p w14:paraId="45B368EA" w14:textId="77777777" w:rsidR="00047E69" w:rsidRPr="0030368A" w:rsidRDefault="00047E69" w:rsidP="0094563C">
      <w:pPr>
        <w:widowControl/>
        <w:adjustRightInd w:val="0"/>
        <w:snapToGrid w:val="0"/>
        <w:rPr>
          <w:rFonts w:ascii="Times New Roman" w:eastAsia="Times New Roman" w:hAnsi="Times New Roman" w:cs="Times New Roman"/>
        </w:rPr>
      </w:pPr>
    </w:p>
    <w:p w14:paraId="0ECCAA75"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EGFR monoclonal antibodies in combination with bevacizumab chemotherapy regimens</w:t>
      </w:r>
    </w:p>
    <w:p w14:paraId="5CB40EFD" w14:textId="6EE5DEE8" w:rsidR="00047E69" w:rsidRPr="0030368A" w:rsidRDefault="00C210A5" w:rsidP="0094563C">
      <w:pPr>
        <w:pStyle w:val="a5"/>
        <w:widowControl/>
        <w:adjustRightInd w:val="0"/>
        <w:snapToGrid w:val="0"/>
      </w:pPr>
      <w:r w:rsidRPr="0030368A">
        <w:lastRenderedPageBreak/>
        <w:t>No interaction studies have been performed. EGFR monoclonal antibodies should not be administered for the treatment of mCRC in combination with bevacizumab</w:t>
      </w:r>
      <w:r w:rsidR="00FD0731" w:rsidRPr="0030368A">
        <w:noBreakHyphen/>
      </w:r>
      <w:r w:rsidRPr="0030368A">
        <w:t>containing chemotherapy. Results from the randomised phase III studies, PACCE and CAIRO-2, in patients with mCRC suggest that the use of anti</w:t>
      </w:r>
      <w:r w:rsidR="00FD0731" w:rsidRPr="0030368A">
        <w:noBreakHyphen/>
      </w:r>
      <w:r w:rsidRPr="0030368A">
        <w:t xml:space="preserve">EGFR monoclonal antibodies panitumumab and cetuximab, respectively, in combination with bevacizumab plus chemotherapy, is associated with decreased </w:t>
      </w:r>
      <w:r w:rsidR="00A135EE" w:rsidRPr="0030368A">
        <w:rPr>
          <w:color w:val="000000"/>
          <w:lang w:val="en-GB"/>
        </w:rPr>
        <w:t>progression-free survival (</w:t>
      </w:r>
      <w:r w:rsidRPr="0030368A">
        <w:t>PFS</w:t>
      </w:r>
      <w:r w:rsidR="00A135EE" w:rsidRPr="0030368A">
        <w:t>)</w:t>
      </w:r>
      <w:r w:rsidRPr="0030368A">
        <w:t xml:space="preserve"> and/or </w:t>
      </w:r>
      <w:r w:rsidR="00A135EE" w:rsidRPr="0030368A">
        <w:rPr>
          <w:color w:val="000000"/>
          <w:lang w:val="en-GB"/>
        </w:rPr>
        <w:t>overall survival (</w:t>
      </w:r>
      <w:r w:rsidRPr="0030368A">
        <w:t>OS</w:t>
      </w:r>
      <w:r w:rsidR="00A135EE" w:rsidRPr="0030368A">
        <w:t>)</w:t>
      </w:r>
      <w:r w:rsidRPr="0030368A">
        <w:t>, and with increased toxicity compared with bevacizumab plus chemotherapy alone.</w:t>
      </w:r>
    </w:p>
    <w:p w14:paraId="02AFDA81" w14:textId="77777777" w:rsidR="00047E69" w:rsidRPr="0030368A" w:rsidRDefault="00047E69" w:rsidP="0094563C">
      <w:pPr>
        <w:widowControl/>
        <w:adjustRightInd w:val="0"/>
        <w:snapToGrid w:val="0"/>
        <w:rPr>
          <w:rFonts w:ascii="Times New Roman" w:eastAsia="Times New Roman" w:hAnsi="Times New Roman" w:cs="Times New Roman"/>
        </w:rPr>
      </w:pPr>
    </w:p>
    <w:p w14:paraId="2F5E2B21" w14:textId="77777777" w:rsidR="00047E69" w:rsidRPr="0030368A" w:rsidRDefault="00C210A5" w:rsidP="0094563C">
      <w:pPr>
        <w:pStyle w:val="1"/>
        <w:widowControl/>
        <w:numPr>
          <w:ilvl w:val="1"/>
          <w:numId w:val="12"/>
        </w:numPr>
        <w:tabs>
          <w:tab w:val="left" w:pos="683"/>
        </w:tabs>
        <w:ind w:left="567"/>
        <w:rPr>
          <w:b w:val="0"/>
          <w:bCs w:val="0"/>
        </w:rPr>
      </w:pPr>
      <w:r w:rsidRPr="0030368A">
        <w:t>Fertility, pregnancy and lactation</w:t>
      </w:r>
    </w:p>
    <w:p w14:paraId="4AA96788" w14:textId="77777777" w:rsidR="00047E69" w:rsidRPr="0030368A" w:rsidRDefault="00047E69" w:rsidP="0094563C">
      <w:pPr>
        <w:widowControl/>
        <w:adjustRightInd w:val="0"/>
        <w:snapToGrid w:val="0"/>
        <w:rPr>
          <w:rFonts w:ascii="Times New Roman" w:eastAsia="Times New Roman" w:hAnsi="Times New Roman" w:cs="Times New Roman"/>
          <w:b/>
          <w:bCs/>
          <w:sz w:val="21"/>
          <w:szCs w:val="21"/>
        </w:rPr>
      </w:pPr>
    </w:p>
    <w:p w14:paraId="5FF5B561"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Women of childbearing potential</w:t>
      </w:r>
    </w:p>
    <w:p w14:paraId="703C366F" w14:textId="77777777" w:rsidR="00047E69" w:rsidRPr="0030368A" w:rsidRDefault="00C210A5" w:rsidP="0094563C">
      <w:pPr>
        <w:pStyle w:val="a5"/>
        <w:widowControl/>
        <w:adjustRightInd w:val="0"/>
        <w:snapToGrid w:val="0"/>
      </w:pPr>
      <w:r w:rsidRPr="0030368A">
        <w:t>Women of childbearing potential have to use effective contraception during (and up to 6 months after) treatment.</w:t>
      </w:r>
    </w:p>
    <w:p w14:paraId="51012540" w14:textId="77777777" w:rsidR="00047E69" w:rsidRPr="0030368A" w:rsidRDefault="00047E69" w:rsidP="0094563C">
      <w:pPr>
        <w:widowControl/>
        <w:adjustRightInd w:val="0"/>
        <w:snapToGrid w:val="0"/>
        <w:rPr>
          <w:rFonts w:ascii="Times New Roman" w:eastAsia="Times New Roman" w:hAnsi="Times New Roman" w:cs="Times New Roman"/>
        </w:rPr>
      </w:pPr>
    </w:p>
    <w:p w14:paraId="33FEFBDE"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Pregnancy</w:t>
      </w:r>
    </w:p>
    <w:p w14:paraId="5811318A" w14:textId="03A55655" w:rsidR="00047E69" w:rsidRPr="0030368A" w:rsidRDefault="00C210A5" w:rsidP="0094563C">
      <w:pPr>
        <w:pStyle w:val="a5"/>
        <w:widowControl/>
        <w:adjustRightInd w:val="0"/>
        <w:snapToGrid w:val="0"/>
      </w:pPr>
      <w:r w:rsidRPr="0030368A">
        <w:t xml:space="preserve">There are no clinical trial data on the use of bevacizumab in pregnant women. Studies in animals have shown reproductive toxicity including malformations (see section 5.3). </w:t>
      </w:r>
      <w:r w:rsidR="00355E84" w:rsidRPr="0030368A">
        <w:rPr>
          <w:color w:val="000000"/>
          <w:lang w:val="en-GB"/>
        </w:rPr>
        <w:t>ImmunoglobulinGs (</w:t>
      </w:r>
      <w:r w:rsidRPr="0030368A">
        <w:t>IgGs</w:t>
      </w:r>
      <w:r w:rsidR="00355E84" w:rsidRPr="0030368A">
        <w:t>)</w:t>
      </w:r>
      <w:r w:rsidRPr="0030368A">
        <w:t xml:space="preserve"> are known to cross t</w:t>
      </w:r>
      <w:r w:rsidRPr="0030368A">
        <w:rPr>
          <w:rFonts w:eastAsiaTheme="minorEastAsia" w:cs="Times New Roman"/>
        </w:rPr>
        <w:t>he placenta, an</w:t>
      </w:r>
      <w:r w:rsidRPr="0030368A">
        <w:t>d bevacizumab is anticipated to inhibit angiogenesis in the foetus, and thus is suspecte</w:t>
      </w:r>
      <w:r w:rsidRPr="0030368A">
        <w:rPr>
          <w:rFonts w:eastAsiaTheme="minorEastAsia" w:cs="Times New Roman"/>
        </w:rPr>
        <w:t xml:space="preserve">d to cause serious birth defects when </w:t>
      </w:r>
      <w:r w:rsidRPr="0030368A">
        <w:t>administered</w:t>
      </w:r>
      <w:r w:rsidRPr="0030368A">
        <w:rPr>
          <w:rFonts w:eastAsiaTheme="minorEastAsia" w:cs="Times New Roman"/>
        </w:rPr>
        <w:t xml:space="preserve"> during pregnancy. In the post</w:t>
      </w:r>
      <w:r w:rsidR="00FD0731" w:rsidRPr="0030368A">
        <w:rPr>
          <w:rFonts w:eastAsiaTheme="minorEastAsia" w:cs="Times New Roman"/>
        </w:rPr>
        <w:noBreakHyphen/>
      </w:r>
      <w:r w:rsidRPr="0030368A">
        <w:rPr>
          <w:rFonts w:eastAsiaTheme="minorEastAsia" w:cs="Times New Roman"/>
        </w:rPr>
        <w:t>marketing</w:t>
      </w:r>
      <w:r w:rsidRPr="0030368A">
        <w:t xml:space="preserve"> setting, cases of foetal abnormalities in women treated with bevacizumab alone or in combination with known embryotoxic chemotherapeutics have been observed (see section 4.8). </w:t>
      </w:r>
      <w:r w:rsidR="00642E23" w:rsidRPr="0030368A">
        <w:t>Bevacizumab</w:t>
      </w:r>
      <w:r w:rsidRPr="0030368A">
        <w:t xml:space="preserve"> is contraindicated in pregnancy (see section 4.3).</w:t>
      </w:r>
    </w:p>
    <w:p w14:paraId="26A65653" w14:textId="77777777" w:rsidR="00047E69" w:rsidRPr="0030368A" w:rsidRDefault="00047E69" w:rsidP="0094563C">
      <w:pPr>
        <w:widowControl/>
        <w:adjustRightInd w:val="0"/>
        <w:snapToGrid w:val="0"/>
        <w:rPr>
          <w:rFonts w:ascii="Times New Roman" w:eastAsia="Times New Roman" w:hAnsi="Times New Roman" w:cs="Times New Roman"/>
        </w:rPr>
      </w:pPr>
    </w:p>
    <w:p w14:paraId="564A63CD" w14:textId="78EDABA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Breast</w:t>
      </w:r>
      <w:r w:rsidR="00FD0731" w:rsidRPr="0030368A">
        <w:rPr>
          <w:rFonts w:ascii="Times New Roman"/>
          <w:iCs/>
          <w:u w:val="single"/>
        </w:rPr>
        <w:noBreakHyphen/>
      </w:r>
      <w:r w:rsidRPr="0030368A">
        <w:rPr>
          <w:rFonts w:ascii="Times New Roman"/>
          <w:iCs/>
          <w:u w:val="single"/>
        </w:rPr>
        <w:t>feeding</w:t>
      </w:r>
    </w:p>
    <w:p w14:paraId="7EE38B68" w14:textId="1D29BD69" w:rsidR="00047E69" w:rsidRPr="0030368A" w:rsidRDefault="00C210A5" w:rsidP="0094563C">
      <w:pPr>
        <w:pStyle w:val="a5"/>
        <w:widowControl/>
        <w:adjustRightInd w:val="0"/>
        <w:snapToGrid w:val="0"/>
      </w:pPr>
      <w:r w:rsidRPr="0030368A">
        <w:t>It is not known whether bevacizumab is excreted in human milk. As maternal IgG is excreted in milk and bevacizumab could harm infant growth and development (see section 5.3), women must discontinue breast</w:t>
      </w:r>
      <w:r w:rsidR="00FD0731" w:rsidRPr="0030368A">
        <w:noBreakHyphen/>
      </w:r>
      <w:r w:rsidRPr="0030368A">
        <w:t>feeding during therapy and not breast</w:t>
      </w:r>
      <w:r w:rsidR="00FD0731" w:rsidRPr="0030368A">
        <w:noBreakHyphen/>
      </w:r>
      <w:r w:rsidRPr="0030368A">
        <w:t>feed for at least six months following the last dose of bevacizumab.</w:t>
      </w:r>
    </w:p>
    <w:p w14:paraId="7A68101C"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053F01C7" w14:textId="77777777" w:rsidR="00047E69" w:rsidRPr="0030368A" w:rsidRDefault="00C210A5" w:rsidP="0094563C">
      <w:pPr>
        <w:widowControl/>
        <w:adjustRightInd w:val="0"/>
        <w:snapToGrid w:val="0"/>
        <w:rPr>
          <w:rFonts w:ascii="Times New Roman" w:eastAsia="Times New Roman" w:hAnsi="Times New Roman" w:cs="Times New Roman"/>
          <w:iCs/>
          <w:u w:val="single"/>
        </w:rPr>
      </w:pPr>
      <w:r w:rsidRPr="0030368A">
        <w:rPr>
          <w:rFonts w:ascii="Times New Roman"/>
          <w:iCs/>
          <w:u w:val="single"/>
        </w:rPr>
        <w:t>Fertility</w:t>
      </w:r>
    </w:p>
    <w:p w14:paraId="5D33EFA8" w14:textId="77777777" w:rsidR="00047E69" w:rsidRPr="0030368A" w:rsidRDefault="00C210A5" w:rsidP="0094563C">
      <w:pPr>
        <w:pStyle w:val="a5"/>
        <w:widowControl/>
        <w:adjustRightInd w:val="0"/>
        <w:snapToGrid w:val="0"/>
      </w:pPr>
      <w:r w:rsidRPr="0030368A">
        <w:t>Repeat dose toxicity studies in animals have shown that bevacizumab may have an adverse effect on female fertility (see section 5.3). In a phase III trial in the adjuvant treatment of patients with colon cancer, a substudy with premenopausal women has shown a higher incidence of new cases of ovarian failure in the bevacizumab group compared to the control group. After discontinuation of bevacizumab treatment, ovarian function recovered in the majority of patients. Long term effects of the treatment with bevacizumab on fertility are unknown.</w:t>
      </w:r>
    </w:p>
    <w:p w14:paraId="2C7DDAFF" w14:textId="77777777" w:rsidR="00047E69" w:rsidRPr="0030368A" w:rsidRDefault="00047E69" w:rsidP="0094563C">
      <w:pPr>
        <w:widowControl/>
        <w:adjustRightInd w:val="0"/>
        <w:snapToGrid w:val="0"/>
        <w:rPr>
          <w:rFonts w:ascii="Times New Roman" w:eastAsia="Times New Roman" w:hAnsi="Times New Roman" w:cs="Times New Roman"/>
        </w:rPr>
      </w:pPr>
    </w:p>
    <w:p w14:paraId="73472FBE" w14:textId="77777777" w:rsidR="00047E69" w:rsidRPr="0030368A" w:rsidRDefault="00C210A5" w:rsidP="0094563C">
      <w:pPr>
        <w:pStyle w:val="1"/>
        <w:widowControl/>
        <w:numPr>
          <w:ilvl w:val="1"/>
          <w:numId w:val="12"/>
        </w:numPr>
        <w:tabs>
          <w:tab w:val="left" w:pos="683"/>
        </w:tabs>
        <w:ind w:left="567"/>
        <w:rPr>
          <w:b w:val="0"/>
          <w:bCs w:val="0"/>
        </w:rPr>
      </w:pPr>
      <w:r w:rsidRPr="0030368A">
        <w:t>Effects on ability to drive and use machines</w:t>
      </w:r>
    </w:p>
    <w:p w14:paraId="0CFF7454" w14:textId="77777777" w:rsidR="00047E69" w:rsidRPr="0030368A" w:rsidRDefault="00047E69" w:rsidP="0094563C">
      <w:pPr>
        <w:widowControl/>
        <w:adjustRightInd w:val="0"/>
        <w:snapToGrid w:val="0"/>
        <w:rPr>
          <w:rFonts w:ascii="Times New Roman" w:eastAsia="Times New Roman" w:hAnsi="Times New Roman" w:cs="Times New Roman"/>
          <w:b/>
          <w:bCs/>
          <w:sz w:val="21"/>
          <w:szCs w:val="21"/>
        </w:rPr>
      </w:pPr>
    </w:p>
    <w:p w14:paraId="3F1E67FF" w14:textId="655433D1" w:rsidR="00047E69" w:rsidRPr="0030368A" w:rsidRDefault="00C210A5" w:rsidP="0094563C">
      <w:pPr>
        <w:pStyle w:val="a5"/>
        <w:widowControl/>
        <w:adjustRightInd w:val="0"/>
        <w:snapToGrid w:val="0"/>
      </w:pPr>
      <w:r w:rsidRPr="0030368A">
        <w:t>Bevaciz</w:t>
      </w:r>
      <w:r w:rsidRPr="0030368A">
        <w:rPr>
          <w:rFonts w:eastAsiaTheme="minorEastAsia" w:cs="Times New Roman"/>
        </w:rPr>
        <w:t>umab has no or negligible influence on the ability to drive and use machines. However, somnolence and s</w:t>
      </w:r>
      <w:r w:rsidRPr="0030368A">
        <w:t xml:space="preserve">yncope have been reported with bevacizumab use (see </w:t>
      </w:r>
      <w:r w:rsidR="00355E84" w:rsidRPr="0030368A">
        <w:t>T</w:t>
      </w:r>
      <w:r w:rsidRPr="0030368A">
        <w:t>able 1 in section 4.8). If pat</w:t>
      </w:r>
      <w:r w:rsidRPr="0030368A">
        <w:rPr>
          <w:rFonts w:eastAsiaTheme="minorEastAsia" w:cs="Times New Roman"/>
        </w:rPr>
        <w:t>ients are experiencing symptoms that affect their vision or concentration, or their ability to react, they</w:t>
      </w:r>
      <w:r w:rsidRPr="0030368A">
        <w:t xml:space="preserve"> sh</w:t>
      </w:r>
      <w:r w:rsidRPr="0030368A">
        <w:rPr>
          <w:rFonts w:eastAsiaTheme="minorEastAsia" w:cs="Times New Roman"/>
        </w:rPr>
        <w:t>ould be advis</w:t>
      </w:r>
      <w:r w:rsidRPr="0030368A">
        <w:t>ed not to drive and use machines until symptoms abate.</w:t>
      </w:r>
    </w:p>
    <w:p w14:paraId="0C88854B" w14:textId="77777777" w:rsidR="00047E69" w:rsidRPr="0030368A" w:rsidRDefault="00047E69" w:rsidP="0094563C">
      <w:pPr>
        <w:widowControl/>
        <w:adjustRightInd w:val="0"/>
        <w:snapToGrid w:val="0"/>
        <w:rPr>
          <w:rFonts w:ascii="Times New Roman" w:eastAsia="Times New Roman" w:hAnsi="Times New Roman" w:cs="Times New Roman"/>
        </w:rPr>
      </w:pPr>
    </w:p>
    <w:p w14:paraId="6C6E580C" w14:textId="77777777" w:rsidR="00047E69" w:rsidRPr="0030368A" w:rsidRDefault="00C210A5" w:rsidP="0094563C">
      <w:pPr>
        <w:pStyle w:val="1"/>
        <w:widowControl/>
        <w:numPr>
          <w:ilvl w:val="1"/>
          <w:numId w:val="12"/>
        </w:numPr>
        <w:tabs>
          <w:tab w:val="left" w:pos="683"/>
        </w:tabs>
        <w:ind w:left="567"/>
        <w:rPr>
          <w:b w:val="0"/>
          <w:bCs w:val="0"/>
        </w:rPr>
      </w:pPr>
      <w:r w:rsidRPr="0030368A">
        <w:t>Undesirable effects</w:t>
      </w:r>
    </w:p>
    <w:p w14:paraId="6034C157" w14:textId="77777777" w:rsidR="00047E69" w:rsidRPr="0030368A" w:rsidRDefault="00047E69" w:rsidP="0094563C">
      <w:pPr>
        <w:widowControl/>
        <w:adjustRightInd w:val="0"/>
        <w:snapToGrid w:val="0"/>
        <w:rPr>
          <w:rFonts w:ascii="Times New Roman" w:eastAsia="Times New Roman" w:hAnsi="Times New Roman" w:cs="Times New Roman"/>
          <w:b/>
          <w:bCs/>
          <w:sz w:val="21"/>
          <w:szCs w:val="21"/>
        </w:rPr>
      </w:pPr>
    </w:p>
    <w:p w14:paraId="62E9FF8B" w14:textId="77777777" w:rsidR="00047E69" w:rsidRPr="0030368A" w:rsidRDefault="00C210A5" w:rsidP="0094563C">
      <w:pPr>
        <w:pStyle w:val="a5"/>
        <w:widowControl/>
        <w:adjustRightInd w:val="0"/>
        <w:snapToGrid w:val="0"/>
      </w:pPr>
      <w:r w:rsidRPr="0030368A">
        <w:rPr>
          <w:u w:val="single" w:color="000000"/>
        </w:rPr>
        <w:t>Summary of the safety profile</w:t>
      </w:r>
    </w:p>
    <w:p w14:paraId="45FD68A3" w14:textId="77777777" w:rsidR="00047E69" w:rsidRPr="0030368A" w:rsidRDefault="00047E69" w:rsidP="0094563C">
      <w:pPr>
        <w:widowControl/>
        <w:adjustRightInd w:val="0"/>
        <w:snapToGrid w:val="0"/>
        <w:rPr>
          <w:rFonts w:ascii="Times New Roman" w:eastAsia="Times New Roman" w:hAnsi="Times New Roman" w:cs="Times New Roman"/>
          <w:sz w:val="15"/>
          <w:szCs w:val="15"/>
        </w:rPr>
      </w:pPr>
    </w:p>
    <w:p w14:paraId="25A419B2" w14:textId="77777777" w:rsidR="00047E69" w:rsidRPr="0030368A" w:rsidRDefault="00C210A5" w:rsidP="0094563C">
      <w:pPr>
        <w:pStyle w:val="a5"/>
        <w:widowControl/>
        <w:adjustRightInd w:val="0"/>
        <w:snapToGrid w:val="0"/>
      </w:pPr>
      <w:r w:rsidRPr="0030368A">
        <w:t>The overall safety profile of bevacizumab is based on data from over 5,700 patients with various malignancies, predominantly treated with bevacizumab in combination with chemotherapy in clinical trials.</w:t>
      </w:r>
    </w:p>
    <w:p w14:paraId="237A8B65"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2F427157" w14:textId="77777777" w:rsidR="00047E69" w:rsidRPr="0030368A" w:rsidRDefault="00C210A5" w:rsidP="0094563C">
      <w:pPr>
        <w:pStyle w:val="a5"/>
        <w:widowControl/>
        <w:adjustRightInd w:val="0"/>
        <w:snapToGrid w:val="0"/>
      </w:pPr>
      <w:r w:rsidRPr="0030368A">
        <w:t>The most serious adverse reactions were:</w:t>
      </w:r>
    </w:p>
    <w:p w14:paraId="2302F3AB" w14:textId="77777777" w:rsidR="00047E69" w:rsidRPr="0030368A" w:rsidRDefault="00047E69" w:rsidP="0094563C">
      <w:pPr>
        <w:widowControl/>
        <w:adjustRightInd w:val="0"/>
        <w:snapToGrid w:val="0"/>
        <w:rPr>
          <w:rFonts w:ascii="Times New Roman" w:eastAsia="Times New Roman" w:hAnsi="Times New Roman" w:cs="Times New Roman"/>
        </w:rPr>
      </w:pPr>
    </w:p>
    <w:p w14:paraId="434AB186" w14:textId="77777777" w:rsidR="00047E69" w:rsidRPr="0030368A" w:rsidRDefault="00C210A5" w:rsidP="0094563C">
      <w:pPr>
        <w:pStyle w:val="a5"/>
        <w:widowControl/>
        <w:numPr>
          <w:ilvl w:val="0"/>
          <w:numId w:val="11"/>
        </w:numPr>
        <w:tabs>
          <w:tab w:val="left" w:pos="683"/>
        </w:tabs>
        <w:adjustRightInd w:val="0"/>
        <w:snapToGrid w:val="0"/>
        <w:ind w:left="567" w:hanging="567"/>
      </w:pPr>
      <w:r w:rsidRPr="0030368A">
        <w:t>Gastrointestinal perforations (see section 4.4).</w:t>
      </w:r>
    </w:p>
    <w:p w14:paraId="238949AF" w14:textId="69CE619F" w:rsidR="00047E69" w:rsidRPr="0030368A" w:rsidRDefault="00C210A5" w:rsidP="0094563C">
      <w:pPr>
        <w:pStyle w:val="a5"/>
        <w:widowControl/>
        <w:numPr>
          <w:ilvl w:val="0"/>
          <w:numId w:val="11"/>
        </w:numPr>
        <w:tabs>
          <w:tab w:val="left" w:pos="683"/>
        </w:tabs>
        <w:adjustRightInd w:val="0"/>
        <w:snapToGrid w:val="0"/>
        <w:ind w:left="567" w:hanging="567"/>
      </w:pPr>
      <w:r w:rsidRPr="0030368A">
        <w:t xml:space="preserve">Haemorrhage, including pulmonary haemorrhage/haemoptysis, which is more common in </w:t>
      </w:r>
      <w:r w:rsidR="00355E84" w:rsidRPr="0030368A">
        <w:t>NSCLC</w:t>
      </w:r>
      <w:r w:rsidRPr="0030368A">
        <w:t xml:space="preserve"> patients (see section 4.4).</w:t>
      </w:r>
    </w:p>
    <w:p w14:paraId="64DC768B" w14:textId="77777777" w:rsidR="00047E69" w:rsidRPr="0030368A" w:rsidRDefault="00C210A5" w:rsidP="0094563C">
      <w:pPr>
        <w:pStyle w:val="a5"/>
        <w:widowControl/>
        <w:numPr>
          <w:ilvl w:val="0"/>
          <w:numId w:val="11"/>
        </w:numPr>
        <w:tabs>
          <w:tab w:val="left" w:pos="683"/>
        </w:tabs>
        <w:adjustRightInd w:val="0"/>
        <w:snapToGrid w:val="0"/>
        <w:ind w:left="567" w:hanging="567"/>
      </w:pPr>
      <w:r w:rsidRPr="0030368A">
        <w:t>Arterial thromboembolism (see section 4.4).</w:t>
      </w:r>
    </w:p>
    <w:p w14:paraId="78518384" w14:textId="77777777" w:rsidR="00047E69" w:rsidRPr="0030368A" w:rsidRDefault="00C210A5" w:rsidP="0094563C">
      <w:pPr>
        <w:pStyle w:val="a5"/>
        <w:widowControl/>
        <w:adjustRightInd w:val="0"/>
        <w:snapToGrid w:val="0"/>
      </w:pPr>
      <w:r w:rsidRPr="0030368A">
        <w:lastRenderedPageBreak/>
        <w:t>The most frequently observed adverse reactions across clinical trials in patients receiving bevacizumab were hypertension, fatigue or asthenia, diarrhoea and abdominal pain.</w:t>
      </w:r>
    </w:p>
    <w:p w14:paraId="6A2F6A18" w14:textId="77777777" w:rsidR="00047E69" w:rsidRPr="0030368A" w:rsidRDefault="00047E69" w:rsidP="0094563C">
      <w:pPr>
        <w:widowControl/>
        <w:adjustRightInd w:val="0"/>
        <w:snapToGrid w:val="0"/>
        <w:rPr>
          <w:rFonts w:ascii="Times New Roman" w:eastAsia="Times New Roman" w:hAnsi="Times New Roman" w:cs="Times New Roman"/>
        </w:rPr>
      </w:pPr>
    </w:p>
    <w:p w14:paraId="38060066" w14:textId="2D840C2C" w:rsidR="00047E69" w:rsidRPr="0030368A" w:rsidRDefault="00C210A5" w:rsidP="0094563C">
      <w:pPr>
        <w:pStyle w:val="a5"/>
        <w:widowControl/>
        <w:adjustRightInd w:val="0"/>
        <w:snapToGrid w:val="0"/>
      </w:pPr>
      <w:r w:rsidRPr="0030368A">
        <w:t>Analyses of the clinical safety data suggest that the occurrence of hypertension and proteinuria with bevacizumab therapy are likely to be dose</w:t>
      </w:r>
      <w:r w:rsidR="00FD0731" w:rsidRPr="0030368A">
        <w:noBreakHyphen/>
      </w:r>
      <w:r w:rsidRPr="0030368A">
        <w:t>dependent.</w:t>
      </w:r>
    </w:p>
    <w:p w14:paraId="594A0F30" w14:textId="77777777" w:rsidR="00047E69" w:rsidRPr="0030368A" w:rsidRDefault="00047E69" w:rsidP="0094563C">
      <w:pPr>
        <w:widowControl/>
        <w:adjustRightInd w:val="0"/>
        <w:snapToGrid w:val="0"/>
        <w:rPr>
          <w:rFonts w:ascii="Times New Roman" w:eastAsia="Times New Roman" w:hAnsi="Times New Roman" w:cs="Times New Roman"/>
        </w:rPr>
      </w:pPr>
    </w:p>
    <w:p w14:paraId="09357EE1" w14:textId="77777777" w:rsidR="00047E69" w:rsidRPr="0030368A" w:rsidRDefault="00C210A5" w:rsidP="0094563C">
      <w:pPr>
        <w:pStyle w:val="a5"/>
        <w:widowControl/>
        <w:adjustRightInd w:val="0"/>
        <w:snapToGrid w:val="0"/>
      </w:pPr>
      <w:r w:rsidRPr="0030368A">
        <w:rPr>
          <w:u w:val="single" w:color="000000"/>
        </w:rPr>
        <w:t>Tabulated list of adverse reactions</w:t>
      </w:r>
    </w:p>
    <w:p w14:paraId="64513A6E" w14:textId="77777777" w:rsidR="00047E69" w:rsidRPr="0030368A" w:rsidRDefault="00047E69" w:rsidP="0094563C">
      <w:pPr>
        <w:widowControl/>
        <w:adjustRightInd w:val="0"/>
        <w:snapToGrid w:val="0"/>
        <w:rPr>
          <w:rFonts w:ascii="Times New Roman" w:eastAsia="Times New Roman" w:hAnsi="Times New Roman" w:cs="Times New Roman"/>
          <w:sz w:val="15"/>
          <w:szCs w:val="15"/>
        </w:rPr>
      </w:pPr>
    </w:p>
    <w:p w14:paraId="1B3B6CBF" w14:textId="77777777" w:rsidR="00047E69" w:rsidRPr="0030368A" w:rsidRDefault="00C210A5" w:rsidP="0094563C">
      <w:pPr>
        <w:pStyle w:val="a5"/>
        <w:widowControl/>
        <w:adjustRightInd w:val="0"/>
        <w:snapToGrid w:val="0"/>
      </w:pPr>
      <w:r w:rsidRPr="0030368A">
        <w:t xml:space="preserve">The adverse reactions listed in this section fall into the following frequency categories: Very common </w:t>
      </w:r>
      <w:r w:rsidRPr="0030368A">
        <w:rPr>
          <w:rFonts w:cs="Times New Roman"/>
        </w:rPr>
        <w:t>(≥1</w:t>
      </w:r>
      <w:r w:rsidRPr="0030368A">
        <w:rPr>
          <w:rFonts w:eastAsiaTheme="minorEastAsia" w:cs="Times New Roman"/>
        </w:rPr>
        <w:t>/10); common (≥1/100 to &lt;1/10); uncommon (≥1/1,000 to &lt;1/100); rare (≥1/10,000 to &lt;1/1,000); very rare (&lt;1/10,000)</w:t>
      </w:r>
      <w:r w:rsidRPr="0030368A">
        <w:t>; not known (cannot be estimated from the available data).</w:t>
      </w:r>
    </w:p>
    <w:p w14:paraId="51C7AC9C" w14:textId="77777777" w:rsidR="00047E69" w:rsidRPr="0030368A" w:rsidRDefault="00047E69" w:rsidP="0094563C">
      <w:pPr>
        <w:widowControl/>
        <w:adjustRightInd w:val="0"/>
        <w:snapToGrid w:val="0"/>
        <w:rPr>
          <w:rFonts w:ascii="Times New Roman" w:eastAsia="Times New Roman" w:hAnsi="Times New Roman" w:cs="Times New Roman"/>
        </w:rPr>
      </w:pPr>
    </w:p>
    <w:p w14:paraId="7435B29D" w14:textId="77777777" w:rsidR="00047E69" w:rsidRPr="0030368A" w:rsidRDefault="00C210A5" w:rsidP="0094563C">
      <w:pPr>
        <w:pStyle w:val="a5"/>
        <w:widowControl/>
        <w:adjustRightInd w:val="0"/>
        <w:snapToGrid w:val="0"/>
      </w:pPr>
      <w:r w:rsidRPr="0030368A">
        <w:t>Tables 1 and 2 list adverse reactions associated with the use of bevacizumab in combination with di</w:t>
      </w:r>
      <w:r w:rsidRPr="0030368A">
        <w:rPr>
          <w:rFonts w:eastAsiaTheme="minorEastAsia" w:cs="Times New Roman"/>
        </w:rPr>
        <w:t>fferent chemotherap</w:t>
      </w:r>
      <w:r w:rsidRPr="0030368A">
        <w:t>y regimens in multiple indications, by MedDRA system organ class.</w:t>
      </w:r>
    </w:p>
    <w:p w14:paraId="110FA68F" w14:textId="77777777" w:rsidR="000747D5" w:rsidRPr="0030368A" w:rsidRDefault="000747D5" w:rsidP="0094563C">
      <w:pPr>
        <w:pStyle w:val="a5"/>
        <w:widowControl/>
        <w:adjustRightInd w:val="0"/>
        <w:snapToGrid w:val="0"/>
      </w:pPr>
    </w:p>
    <w:p w14:paraId="102F0E91" w14:textId="17A4319A" w:rsidR="00047E69" w:rsidRPr="0030368A" w:rsidRDefault="00C210A5" w:rsidP="0094563C">
      <w:pPr>
        <w:pStyle w:val="a5"/>
        <w:widowControl/>
        <w:adjustRightInd w:val="0"/>
        <w:snapToGrid w:val="0"/>
      </w:pPr>
      <w:r w:rsidRPr="0030368A">
        <w:t>Table 1 provides all adverse reactions by frequency that were determined to have a causal relationship with bevacizumab through:</w:t>
      </w:r>
    </w:p>
    <w:p w14:paraId="784E995A" w14:textId="0623B1BD" w:rsidR="00047E69" w:rsidRPr="0030368A" w:rsidRDefault="00C210A5" w:rsidP="0094563C">
      <w:pPr>
        <w:pStyle w:val="a5"/>
        <w:widowControl/>
        <w:numPr>
          <w:ilvl w:val="0"/>
          <w:numId w:val="11"/>
        </w:numPr>
        <w:tabs>
          <w:tab w:val="left" w:pos="683"/>
        </w:tabs>
        <w:adjustRightInd w:val="0"/>
        <w:snapToGrid w:val="0"/>
        <w:ind w:left="567" w:hanging="567"/>
      </w:pPr>
      <w:r w:rsidRPr="0030368A">
        <w:t>comparative incidences noted between clinical trial treatment arms (with at least a 10% difference compared to the control arm for NCI</w:t>
      </w:r>
      <w:r w:rsidR="00FD0731" w:rsidRPr="0030368A">
        <w:noBreakHyphen/>
      </w:r>
      <w:r w:rsidRPr="0030368A">
        <w:t>CTCAE Grade 1-5 reactions or at least a 2% difference compared to the control arm for NCI</w:t>
      </w:r>
      <w:r w:rsidR="00FD0731" w:rsidRPr="0030368A">
        <w:noBreakHyphen/>
      </w:r>
      <w:r w:rsidRPr="0030368A">
        <w:t>CTCAE Grade 3-5 reactions,</w:t>
      </w:r>
    </w:p>
    <w:p w14:paraId="7A5E193D" w14:textId="226653AA" w:rsidR="00047E69" w:rsidRPr="0030368A" w:rsidRDefault="00C210A5" w:rsidP="0094563C">
      <w:pPr>
        <w:pStyle w:val="a5"/>
        <w:widowControl/>
        <w:numPr>
          <w:ilvl w:val="0"/>
          <w:numId w:val="11"/>
        </w:numPr>
        <w:tabs>
          <w:tab w:val="left" w:pos="683"/>
        </w:tabs>
        <w:adjustRightInd w:val="0"/>
        <w:snapToGrid w:val="0"/>
        <w:ind w:left="567" w:hanging="567"/>
      </w:pPr>
      <w:r w:rsidRPr="0030368A">
        <w:t>post</w:t>
      </w:r>
      <w:r w:rsidR="00FD0731" w:rsidRPr="0030368A">
        <w:noBreakHyphen/>
      </w:r>
      <w:r w:rsidRPr="0030368A">
        <w:t>authorisation safety studies,</w:t>
      </w:r>
    </w:p>
    <w:p w14:paraId="06FB29A2" w14:textId="77777777" w:rsidR="00047E69" w:rsidRPr="0030368A" w:rsidRDefault="00C210A5" w:rsidP="0094563C">
      <w:pPr>
        <w:pStyle w:val="a5"/>
        <w:widowControl/>
        <w:numPr>
          <w:ilvl w:val="0"/>
          <w:numId w:val="11"/>
        </w:numPr>
        <w:tabs>
          <w:tab w:val="left" w:pos="683"/>
        </w:tabs>
        <w:adjustRightInd w:val="0"/>
        <w:snapToGrid w:val="0"/>
        <w:ind w:left="567" w:hanging="567"/>
      </w:pPr>
      <w:r w:rsidRPr="0030368A">
        <w:t>spontaneous reporting,</w:t>
      </w:r>
    </w:p>
    <w:p w14:paraId="6C78D1B0" w14:textId="4AA4567B" w:rsidR="00047E69" w:rsidRPr="0030368A" w:rsidRDefault="00C210A5" w:rsidP="0094563C">
      <w:pPr>
        <w:pStyle w:val="a5"/>
        <w:widowControl/>
        <w:numPr>
          <w:ilvl w:val="0"/>
          <w:numId w:val="11"/>
        </w:numPr>
        <w:tabs>
          <w:tab w:val="left" w:pos="683"/>
        </w:tabs>
        <w:adjustRightInd w:val="0"/>
        <w:snapToGrid w:val="0"/>
        <w:ind w:left="567" w:hanging="567"/>
      </w:pPr>
      <w:r w:rsidRPr="0030368A">
        <w:t>epidemiological studies\non</w:t>
      </w:r>
      <w:r w:rsidR="00FD0731" w:rsidRPr="0030368A">
        <w:noBreakHyphen/>
      </w:r>
      <w:r w:rsidRPr="0030368A">
        <w:t>interventional or observational studies,</w:t>
      </w:r>
    </w:p>
    <w:p w14:paraId="721142B9" w14:textId="77777777" w:rsidR="00047E69" w:rsidRPr="0030368A" w:rsidRDefault="00C210A5" w:rsidP="0094563C">
      <w:pPr>
        <w:pStyle w:val="a5"/>
        <w:widowControl/>
        <w:numPr>
          <w:ilvl w:val="0"/>
          <w:numId w:val="11"/>
        </w:numPr>
        <w:tabs>
          <w:tab w:val="left" w:pos="683"/>
        </w:tabs>
        <w:adjustRightInd w:val="0"/>
        <w:snapToGrid w:val="0"/>
        <w:ind w:left="567" w:hanging="567"/>
        <w:rPr>
          <w:sz w:val="21"/>
          <w:szCs w:val="21"/>
        </w:rPr>
      </w:pPr>
      <w:r w:rsidRPr="0030368A">
        <w:t>or through an evaluation of individual case reports</w:t>
      </w:r>
      <w:r w:rsidRPr="0030368A">
        <w:rPr>
          <w:sz w:val="21"/>
        </w:rPr>
        <w:t>.</w:t>
      </w:r>
    </w:p>
    <w:p w14:paraId="1B39A1BB"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0CFE336A" w14:textId="1D968F97" w:rsidR="00047E69" w:rsidRPr="0030368A" w:rsidRDefault="00C210A5" w:rsidP="0094563C">
      <w:pPr>
        <w:pStyle w:val="a5"/>
        <w:widowControl/>
        <w:adjustRightInd w:val="0"/>
        <w:snapToGrid w:val="0"/>
      </w:pPr>
      <w:r w:rsidRPr="0030368A">
        <w:t>Table 2 provides the frequency of severe adverse reactions. Severe reactions are defined as adverse events with at least a 2% difference compared to the control arm in clinical studies for NCI</w:t>
      </w:r>
      <w:r w:rsidR="00FD0731" w:rsidRPr="0030368A">
        <w:noBreakHyphen/>
      </w:r>
      <w:r w:rsidRPr="0030368A">
        <w:t xml:space="preserve">CTCAE Grade 3-5 reactions. Table 2 also includes adverse reactions which are considered by the </w:t>
      </w:r>
      <w:bookmarkStart w:id="5" w:name="_Hlk103773096"/>
      <w:r w:rsidR="005F3594" w:rsidRPr="0030368A">
        <w:t xml:space="preserve">marketing authorisation holder </w:t>
      </w:r>
      <w:bookmarkEnd w:id="5"/>
      <w:r w:rsidR="005F3594" w:rsidRPr="0030368A">
        <w:t>(</w:t>
      </w:r>
      <w:r w:rsidRPr="0030368A">
        <w:t>MAH</w:t>
      </w:r>
      <w:r w:rsidR="005F3594" w:rsidRPr="0030368A">
        <w:t>)</w:t>
      </w:r>
      <w:r w:rsidRPr="0030368A">
        <w:t xml:space="preserve"> to</w:t>
      </w:r>
      <w:r w:rsidRPr="0030368A">
        <w:rPr>
          <w:rFonts w:eastAsiaTheme="minorEastAsia" w:cs="Times New Roman"/>
        </w:rPr>
        <w:t xml:space="preserve"> be clinically s</w:t>
      </w:r>
      <w:r w:rsidRPr="0030368A">
        <w:t>ignificant or severe.</w:t>
      </w:r>
    </w:p>
    <w:p w14:paraId="0F0730FE" w14:textId="77777777" w:rsidR="00047E69" w:rsidRPr="0030368A" w:rsidRDefault="00047E69" w:rsidP="0094563C">
      <w:pPr>
        <w:widowControl/>
        <w:adjustRightInd w:val="0"/>
        <w:snapToGrid w:val="0"/>
        <w:rPr>
          <w:rFonts w:ascii="Times New Roman" w:eastAsia="Times New Roman" w:hAnsi="Times New Roman" w:cs="Times New Roman"/>
        </w:rPr>
      </w:pPr>
    </w:p>
    <w:p w14:paraId="21EF3EB1" w14:textId="4D9726DB" w:rsidR="00047E69" w:rsidRPr="0030368A" w:rsidRDefault="00C210A5" w:rsidP="0094563C">
      <w:pPr>
        <w:pStyle w:val="a5"/>
        <w:widowControl/>
        <w:adjustRightInd w:val="0"/>
        <w:snapToGrid w:val="0"/>
      </w:pPr>
      <w:r w:rsidRPr="0030368A">
        <w:t>Post</w:t>
      </w:r>
      <w:r w:rsidR="00FD0731" w:rsidRPr="0030368A">
        <w:noBreakHyphen/>
      </w:r>
      <w:r w:rsidRPr="0030368A">
        <w:t>marketing adverse reactions are included in both Tables 1 and 2, where applicable. Detailed information about these post</w:t>
      </w:r>
      <w:r w:rsidR="00FD0731" w:rsidRPr="0030368A">
        <w:noBreakHyphen/>
      </w:r>
      <w:r w:rsidRPr="0030368A">
        <w:t>marketing reactions are provided in Table 3.</w:t>
      </w:r>
    </w:p>
    <w:p w14:paraId="7244CB8A" w14:textId="77777777" w:rsidR="00047E69" w:rsidRPr="0030368A" w:rsidRDefault="00047E69" w:rsidP="0094563C">
      <w:pPr>
        <w:widowControl/>
        <w:adjustRightInd w:val="0"/>
        <w:snapToGrid w:val="0"/>
        <w:rPr>
          <w:rFonts w:ascii="Times New Roman" w:eastAsia="Times New Roman" w:hAnsi="Times New Roman" w:cs="Times New Roman"/>
        </w:rPr>
      </w:pPr>
    </w:p>
    <w:p w14:paraId="544152A9" w14:textId="77777777" w:rsidR="00047E69" w:rsidRPr="0030368A" w:rsidRDefault="00C210A5" w:rsidP="0094563C">
      <w:pPr>
        <w:pStyle w:val="a5"/>
        <w:widowControl/>
        <w:adjustRightInd w:val="0"/>
        <w:snapToGrid w:val="0"/>
      </w:pPr>
      <w:r w:rsidRPr="0030368A">
        <w:t>Adverse reactions are added to the appropriate frequency category in the tables below according to the highest incidence seen in any indication.</w:t>
      </w:r>
    </w:p>
    <w:p w14:paraId="690CFC07" w14:textId="77777777" w:rsidR="00047E69" w:rsidRPr="0030368A" w:rsidRDefault="00C210A5" w:rsidP="0094563C">
      <w:pPr>
        <w:pStyle w:val="a5"/>
        <w:widowControl/>
        <w:adjustRightInd w:val="0"/>
        <w:snapToGrid w:val="0"/>
      </w:pPr>
      <w:r w:rsidRPr="0030368A">
        <w:t>Within each frequency category, adverse reactions are presented in the order of decreasing seriousness.</w:t>
      </w:r>
    </w:p>
    <w:p w14:paraId="322D8231" w14:textId="77777777" w:rsidR="00047E69" w:rsidRPr="0030368A" w:rsidRDefault="00047E69" w:rsidP="0094563C">
      <w:pPr>
        <w:widowControl/>
        <w:adjustRightInd w:val="0"/>
        <w:snapToGrid w:val="0"/>
        <w:rPr>
          <w:rFonts w:ascii="Times New Roman" w:eastAsia="Times New Roman" w:hAnsi="Times New Roman" w:cs="Times New Roman"/>
          <w:sz w:val="21"/>
          <w:szCs w:val="21"/>
        </w:rPr>
      </w:pPr>
    </w:p>
    <w:p w14:paraId="16E86FFD" w14:textId="3ABA74C1" w:rsidR="00047E69" w:rsidRPr="0030368A" w:rsidRDefault="00C210A5" w:rsidP="0094563C">
      <w:pPr>
        <w:pStyle w:val="a5"/>
        <w:widowControl/>
        <w:adjustRightInd w:val="0"/>
        <w:snapToGrid w:val="0"/>
      </w:pPr>
      <w:r w:rsidRPr="0030368A">
        <w:t>Some of the adverse reactions are reactions commonly seen with chemotherapy; howe</w:t>
      </w:r>
      <w:r w:rsidRPr="0030368A">
        <w:rPr>
          <w:rFonts w:eastAsiaTheme="minorEastAsia" w:cs="Times New Roman"/>
        </w:rPr>
        <w:t>ver, bevaciz</w:t>
      </w:r>
      <w:r w:rsidRPr="0030368A">
        <w:t xml:space="preserve">umab </w:t>
      </w:r>
      <w:r w:rsidRPr="0030368A">
        <w:rPr>
          <w:rFonts w:eastAsiaTheme="minorEastAsia" w:cs="Times New Roman"/>
        </w:rPr>
        <w:t>may exacerbate thes</w:t>
      </w:r>
      <w:r w:rsidRPr="0030368A">
        <w:t>e reactions when combined with chemotherapeutic agents. Examples i</w:t>
      </w:r>
      <w:r w:rsidRPr="0030368A">
        <w:rPr>
          <w:rFonts w:eastAsiaTheme="minorEastAsia" w:cs="Times New Roman"/>
        </w:rPr>
        <w:t>nclu</w:t>
      </w:r>
      <w:r w:rsidRPr="0030368A">
        <w:t>de palmar</w:t>
      </w:r>
      <w:r w:rsidR="00FD0731" w:rsidRPr="0030368A">
        <w:noBreakHyphen/>
      </w:r>
      <w:r w:rsidRPr="0030368A">
        <w:t>plantar erythrodysaesthesia syndrome with pegylated liposomal doxorubicin or capecitabine, peripheral sensory neuropathy with paclitaxel or oxaliplatin, nail disorders or alopecia with paclitaxel, and paronychia with erlotinib.</w:t>
      </w:r>
    </w:p>
    <w:p w14:paraId="6E1CFCBF" w14:textId="78C6521C" w:rsidR="0025452B" w:rsidRDefault="0025452B" w:rsidP="0094563C">
      <w:pPr>
        <w:widowControl/>
        <w:rPr>
          <w:rFonts w:ascii="Times New Roman" w:eastAsia="Times New Roman" w:hAnsi="Times New Roman"/>
          <w:b/>
          <w:bCs/>
        </w:rPr>
      </w:pPr>
    </w:p>
    <w:p w14:paraId="6919224C" w14:textId="6C56E55C"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w:t>
      </w:r>
      <w:r w:rsidRPr="00C26876">
        <w:rPr>
          <w:rFonts w:ascii="Times New Roman" w:hAnsi="Times New Roman" w:cs="Times New Roman"/>
          <w:b/>
          <w:bCs/>
        </w:rPr>
        <w:t xml:space="preserve"> 1</w:t>
      </w:r>
      <w:r w:rsidR="00536B4F">
        <w:rPr>
          <w:rFonts w:ascii="Times New Roman" w:hAnsi="Times New Roman" w:cs="Times New Roman"/>
          <w:b/>
          <w:bCs/>
        </w:rPr>
        <w:tab/>
      </w:r>
      <w:r w:rsidRPr="00536B4F">
        <w:rPr>
          <w:rFonts w:ascii="Times New Roman" w:hAnsi="Times New Roman" w:cs="Times New Roman"/>
          <w:b/>
          <w:bCs/>
        </w:rPr>
        <w:t>Adverse</w:t>
      </w:r>
      <w:r w:rsidRPr="00C26876">
        <w:rPr>
          <w:rFonts w:ascii="Times New Roman" w:hAnsi="Times New Roman" w:cs="Times New Roman"/>
          <w:b/>
          <w:bCs/>
        </w:rPr>
        <w:t xml:space="preserve"> </w:t>
      </w:r>
      <w:r w:rsidR="00E13FE8" w:rsidRPr="00536B4F">
        <w:rPr>
          <w:rFonts w:ascii="Times New Roman" w:hAnsi="Times New Roman" w:cs="Times New Roman"/>
          <w:b/>
          <w:bCs/>
        </w:rPr>
        <w:t>r</w:t>
      </w:r>
      <w:r w:rsidRPr="00536B4F">
        <w:rPr>
          <w:rFonts w:ascii="Times New Roman" w:hAnsi="Times New Roman" w:cs="Times New Roman"/>
          <w:b/>
          <w:bCs/>
        </w:rPr>
        <w:t xml:space="preserve">eactions by </w:t>
      </w:r>
      <w:r w:rsidR="00E13FE8" w:rsidRPr="00536B4F">
        <w:rPr>
          <w:rFonts w:ascii="Times New Roman" w:hAnsi="Times New Roman" w:cs="Times New Roman"/>
          <w:b/>
          <w:bCs/>
        </w:rPr>
        <w:t>f</w:t>
      </w:r>
      <w:r w:rsidRPr="00536B4F">
        <w:rPr>
          <w:rFonts w:ascii="Times New Roman" w:hAnsi="Times New Roman" w:cs="Times New Roman"/>
          <w:b/>
          <w:bCs/>
        </w:rPr>
        <w:t>requency</w:t>
      </w:r>
    </w:p>
    <w:p w14:paraId="14D450DF" w14:textId="77777777" w:rsidR="002F3873" w:rsidRDefault="002F3873" w:rsidP="005E4476">
      <w:pPr>
        <w:rPr>
          <w:b/>
          <w:bCs/>
        </w:rPr>
      </w:pPr>
    </w:p>
    <w:tbl>
      <w:tblPr>
        <w:tblStyle w:val="TableNormal0"/>
        <w:tblW w:w="5232" w:type="pct"/>
        <w:tblInd w:w="7" w:type="dxa"/>
        <w:tblLayout w:type="fixed"/>
        <w:tblCellMar>
          <w:left w:w="108" w:type="dxa"/>
          <w:right w:w="108" w:type="dxa"/>
        </w:tblCellMar>
        <w:tblLook w:val="01E0" w:firstRow="1" w:lastRow="1" w:firstColumn="1" w:lastColumn="1" w:noHBand="0" w:noVBand="0"/>
      </w:tblPr>
      <w:tblGrid>
        <w:gridCol w:w="1371"/>
        <w:gridCol w:w="1708"/>
        <w:gridCol w:w="1484"/>
        <w:gridCol w:w="1093"/>
        <w:gridCol w:w="1295"/>
        <w:gridCol w:w="1125"/>
        <w:gridCol w:w="1406"/>
      </w:tblGrid>
      <w:tr w:rsidR="00295307" w:rsidRPr="00042795" w14:paraId="7228282A" w14:textId="77777777" w:rsidTr="00310BF1">
        <w:trPr>
          <w:tblHeader/>
        </w:trPr>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47D9E4C" w14:textId="56D2731E"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System</w:t>
            </w:r>
            <w:r w:rsidR="006932E2">
              <w:rPr>
                <w:rFonts w:ascii="Times New Roman" w:hAnsi="Times New Roman" w:cs="Times New Roman" w:hint="eastAsia"/>
                <w:b/>
                <w:bCs/>
                <w:sz w:val="20"/>
                <w:szCs w:val="20"/>
                <w:lang w:eastAsia="ko-KR"/>
              </w:rPr>
              <w:t xml:space="preserve"> </w:t>
            </w:r>
            <w:r w:rsidRPr="004A1586">
              <w:rPr>
                <w:rFonts w:ascii="Times New Roman" w:hAnsi="Times New Roman" w:cs="Times New Roman"/>
                <w:b/>
                <w:bCs/>
                <w:sz w:val="20"/>
                <w:szCs w:val="20"/>
              </w:rPr>
              <w:t>organ class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22EA47F" w14:textId="458408A0"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 xml:space="preserve">Very </w:t>
            </w:r>
            <w:r w:rsidR="00F85B2B" w:rsidRPr="004A1586">
              <w:rPr>
                <w:rFonts w:ascii="Times New Roman" w:hAnsi="Times New Roman" w:cs="Times New Roman"/>
                <w:b/>
                <w:bCs/>
                <w:sz w:val="20"/>
                <w:szCs w:val="20"/>
              </w:rPr>
              <w:t>c</w:t>
            </w:r>
            <w:r w:rsidRPr="004A1586">
              <w:rPr>
                <w:rFonts w:ascii="Times New Roman" w:hAnsi="Times New Roman" w:cs="Times New Roman"/>
                <w:b/>
                <w:bCs/>
                <w:sz w:val="20"/>
                <w:szCs w:val="20"/>
              </w:rPr>
              <w:t>ommon</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26982A4" w14:textId="77777777"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Common</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4C593A2" w14:textId="21E0EEE4"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Uncommon</w:t>
            </w: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ABDA7AF" w14:textId="77777777"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Rare</w:t>
            </w: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8D6CBE7" w14:textId="754BCC38"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 xml:space="preserve">Very </w:t>
            </w:r>
            <w:r w:rsidR="00F85B2B" w:rsidRPr="004A1586">
              <w:rPr>
                <w:rFonts w:ascii="Times New Roman" w:hAnsi="Times New Roman" w:cs="Times New Roman"/>
                <w:b/>
                <w:bCs/>
                <w:sz w:val="20"/>
                <w:szCs w:val="20"/>
              </w:rPr>
              <w:t>r</w:t>
            </w:r>
            <w:r w:rsidRPr="004A1586">
              <w:rPr>
                <w:rFonts w:ascii="Times New Roman" w:hAnsi="Times New Roman" w:cs="Times New Roman"/>
                <w:b/>
                <w:bCs/>
                <w:sz w:val="20"/>
                <w:szCs w:val="20"/>
              </w:rPr>
              <w:t>are</w:t>
            </w: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35922E7" w14:textId="77777777" w:rsidR="00047E69" w:rsidRPr="004A1586" w:rsidRDefault="00C210A5" w:rsidP="001D5BF7">
            <w:pPr>
              <w:pStyle w:val="TableParagraph"/>
              <w:jc w:val="center"/>
              <w:rPr>
                <w:rFonts w:ascii="Times New Roman" w:hAnsi="Times New Roman" w:cs="Times New Roman"/>
                <w:b/>
                <w:bCs/>
                <w:sz w:val="20"/>
                <w:szCs w:val="20"/>
              </w:rPr>
            </w:pPr>
            <w:r w:rsidRPr="004A1586">
              <w:rPr>
                <w:rFonts w:ascii="Times New Roman" w:hAnsi="Times New Roman" w:cs="Times New Roman"/>
                <w:b/>
                <w:bCs/>
                <w:sz w:val="20"/>
                <w:szCs w:val="20"/>
              </w:rPr>
              <w:t>Frequency</w:t>
            </w:r>
          </w:p>
          <w:p w14:paraId="2D9CC46C" w14:textId="62093F28" w:rsidR="00047E69" w:rsidRPr="004A1586" w:rsidRDefault="00C210A5" w:rsidP="001D5BF7">
            <w:pPr>
              <w:pStyle w:val="TableParagraph"/>
              <w:jc w:val="center"/>
              <w:rPr>
                <w:rFonts w:ascii="Times New Roman" w:eastAsia="Times New Roman" w:hAnsi="Times New Roman" w:cs="Times New Roman"/>
                <w:b/>
                <w:bCs/>
                <w:sz w:val="20"/>
                <w:szCs w:val="20"/>
              </w:rPr>
            </w:pPr>
            <w:r w:rsidRPr="004A1586">
              <w:rPr>
                <w:rFonts w:ascii="Times New Roman" w:hAnsi="Times New Roman" w:cs="Times New Roman"/>
                <w:b/>
                <w:bCs/>
                <w:sz w:val="20"/>
                <w:szCs w:val="20"/>
              </w:rPr>
              <w:t>n</w:t>
            </w:r>
            <w:r w:rsidR="002700BA" w:rsidRPr="004A1586">
              <w:rPr>
                <w:rFonts w:ascii="Times New Roman" w:hAnsi="Times New Roman" w:cs="Times New Roman"/>
                <w:b/>
                <w:bCs/>
                <w:sz w:val="20"/>
                <w:szCs w:val="20"/>
              </w:rPr>
              <w:t xml:space="preserve">ot </w:t>
            </w:r>
            <w:r w:rsidRPr="004A1586">
              <w:rPr>
                <w:rFonts w:ascii="Times New Roman" w:hAnsi="Times New Roman" w:cs="Times New Roman"/>
                <w:b/>
                <w:bCs/>
                <w:sz w:val="20"/>
                <w:szCs w:val="20"/>
              </w:rPr>
              <w:t>k</w:t>
            </w:r>
            <w:r w:rsidR="002700BA" w:rsidRPr="004A1586">
              <w:rPr>
                <w:rFonts w:ascii="Times New Roman" w:hAnsi="Times New Roman" w:cs="Times New Roman"/>
                <w:b/>
                <w:bCs/>
                <w:sz w:val="20"/>
                <w:szCs w:val="20"/>
              </w:rPr>
              <w:t>nown</w:t>
            </w:r>
          </w:p>
        </w:tc>
      </w:tr>
      <w:tr w:rsidR="00295307" w:rsidRPr="00042795" w14:paraId="0EF5C607"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999D7A9"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Infections and infestations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DF3205F" w14:textId="77777777" w:rsidR="00047E69" w:rsidRPr="004A1586" w:rsidRDefault="00047E69" w:rsidP="001D5BF7">
            <w:pPr>
              <w:jc w:val="center"/>
              <w:rPr>
                <w:rFonts w:ascii="Times New Roman" w:hAnsi="Times New Roman" w:cs="Times New Roman"/>
                <w:sz w:val="20"/>
                <w:szCs w:val="20"/>
              </w:rPr>
            </w:pP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B3F98A5" w14:textId="47427079"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Sepsis,</w:t>
            </w:r>
            <w:r w:rsidR="008513AB">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a</w:t>
            </w:r>
            <w:r w:rsidR="002700BA" w:rsidRPr="004A1586">
              <w:rPr>
                <w:rFonts w:ascii="Times New Roman" w:hAnsi="Times New Roman" w:cs="Times New Roman"/>
                <w:sz w:val="20"/>
                <w:szCs w:val="20"/>
              </w:rPr>
              <w:t>bscess</w:t>
            </w:r>
            <w:r w:rsidR="002700BA" w:rsidRPr="00A1365B">
              <w:rPr>
                <w:rFonts w:ascii="Times New Roman" w:hAnsi="Times New Roman" w:cs="Times New Roman"/>
                <w:sz w:val="20"/>
                <w:szCs w:val="20"/>
                <w:vertAlign w:val="superscript"/>
              </w:rPr>
              <w:t>b,d</w:t>
            </w:r>
            <w:r w:rsidR="002700BA" w:rsidRPr="004A1586">
              <w:rPr>
                <w:rFonts w:ascii="Times New Roman" w:hAnsi="Times New Roman" w:cs="Times New Roman"/>
                <w:sz w:val="20"/>
                <w:szCs w:val="20"/>
              </w:rPr>
              <w:t xml:space="preserve">, </w:t>
            </w:r>
            <w:r w:rsidRPr="004A1586">
              <w:rPr>
                <w:rFonts w:ascii="Times New Roman" w:hAnsi="Times New Roman" w:cs="Times New Roman"/>
                <w:sz w:val="20"/>
                <w:szCs w:val="20"/>
              </w:rPr>
              <w:t>c</w:t>
            </w:r>
            <w:r w:rsidR="002700BA" w:rsidRPr="004A1586">
              <w:rPr>
                <w:rFonts w:ascii="Times New Roman" w:hAnsi="Times New Roman" w:cs="Times New Roman"/>
                <w:sz w:val="20"/>
                <w:szCs w:val="20"/>
              </w:rPr>
              <w:t xml:space="preserve">ellulitis, </w:t>
            </w:r>
            <w:r w:rsidRPr="004A1586">
              <w:rPr>
                <w:rFonts w:ascii="Times New Roman" w:hAnsi="Times New Roman" w:cs="Times New Roman"/>
                <w:sz w:val="20"/>
                <w:szCs w:val="20"/>
              </w:rPr>
              <w:t>i</w:t>
            </w:r>
            <w:r w:rsidR="002700BA" w:rsidRPr="004A1586">
              <w:rPr>
                <w:rFonts w:ascii="Times New Roman" w:hAnsi="Times New Roman" w:cs="Times New Roman"/>
                <w:sz w:val="20"/>
                <w:szCs w:val="20"/>
              </w:rPr>
              <w:t>nfection,</w:t>
            </w:r>
            <w:r w:rsidR="00D370BC">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u</w:t>
            </w:r>
            <w:r w:rsidR="002700BA" w:rsidRPr="004A1586">
              <w:rPr>
                <w:rFonts w:ascii="Times New Roman" w:hAnsi="Times New Roman" w:cs="Times New Roman"/>
                <w:sz w:val="20"/>
                <w:szCs w:val="20"/>
              </w:rPr>
              <w:t>rinary tract infection</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1CFAF29"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77F7ABB"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Necrotising fasciitis</w:t>
            </w:r>
            <w:r w:rsidRPr="00A1365B">
              <w:rPr>
                <w:rFonts w:ascii="Times New Roman" w:hAnsi="Times New Roman" w:cs="Times New Roman"/>
                <w:sz w:val="20"/>
                <w:szCs w:val="20"/>
                <w:vertAlign w:val="superscript"/>
              </w:rPr>
              <w:t>a</w:t>
            </w: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09432AC"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068C90D" w14:textId="77777777" w:rsidR="00047E69" w:rsidRPr="004A1586" w:rsidRDefault="00047E69" w:rsidP="001D5BF7">
            <w:pPr>
              <w:jc w:val="center"/>
              <w:rPr>
                <w:rFonts w:ascii="Times New Roman" w:hAnsi="Times New Roman" w:cs="Times New Roman"/>
                <w:sz w:val="20"/>
                <w:szCs w:val="20"/>
              </w:rPr>
            </w:pPr>
          </w:p>
        </w:tc>
      </w:tr>
      <w:tr w:rsidR="00295307" w:rsidRPr="00042795" w14:paraId="62A2D345"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5BAA6E8"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Blood and lymphatic system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4A1B3C6" w14:textId="23059B87" w:rsidR="00047E69"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Febrile</w:t>
            </w:r>
            <w:r w:rsidRPr="004A1586">
              <w:rPr>
                <w:rFonts w:ascii="Times New Roman" w:hAnsi="Times New Roman" w:cs="Times New Roman"/>
                <w:sz w:val="20"/>
                <w:szCs w:val="20"/>
                <w:lang w:eastAsia="ko-KR"/>
              </w:rPr>
              <w:t xml:space="preserve"> </w:t>
            </w:r>
            <w:r w:rsidRPr="004A1586">
              <w:rPr>
                <w:rFonts w:ascii="Times New Roman" w:hAnsi="Times New Roman" w:cs="Times New Roman"/>
                <w:sz w:val="20"/>
                <w:szCs w:val="20"/>
              </w:rPr>
              <w:t xml:space="preserve">neutropenia, </w:t>
            </w:r>
            <w:r w:rsidR="00F85B2B" w:rsidRPr="004A1586">
              <w:rPr>
                <w:rFonts w:ascii="Times New Roman" w:hAnsi="Times New Roman" w:cs="Times New Roman"/>
                <w:sz w:val="20"/>
                <w:szCs w:val="20"/>
              </w:rPr>
              <w:t>l</w:t>
            </w:r>
            <w:r w:rsidRPr="004A1586">
              <w:rPr>
                <w:rFonts w:ascii="Times New Roman" w:hAnsi="Times New Roman" w:cs="Times New Roman"/>
                <w:sz w:val="20"/>
                <w:szCs w:val="20"/>
              </w:rPr>
              <w:t xml:space="preserve">eucopenia, </w:t>
            </w:r>
            <w:r w:rsidR="00F85B2B" w:rsidRPr="004A1586">
              <w:rPr>
                <w:rFonts w:ascii="Times New Roman" w:hAnsi="Times New Roman" w:cs="Times New Roman"/>
                <w:sz w:val="20"/>
                <w:szCs w:val="20"/>
              </w:rPr>
              <w:t>n</w:t>
            </w:r>
            <w:r w:rsidRPr="004A1586">
              <w:rPr>
                <w:rFonts w:ascii="Times New Roman" w:hAnsi="Times New Roman" w:cs="Times New Roman"/>
                <w:sz w:val="20"/>
                <w:szCs w:val="20"/>
              </w:rPr>
              <w:t>eutropenia</w:t>
            </w:r>
            <w:r w:rsidRPr="00A1365B">
              <w:rPr>
                <w:rFonts w:ascii="Times New Roman" w:hAnsi="Times New Roman" w:cs="Times New Roman"/>
                <w:sz w:val="20"/>
                <w:szCs w:val="20"/>
                <w:vertAlign w:val="superscript"/>
              </w:rPr>
              <w:t>b</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t</w:t>
            </w:r>
            <w:r w:rsidRPr="004A1586">
              <w:rPr>
                <w:rFonts w:ascii="Times New Roman" w:hAnsi="Times New Roman" w:cs="Times New Roman"/>
                <w:sz w:val="20"/>
                <w:szCs w:val="20"/>
              </w:rPr>
              <w:t>hrombocytopenia</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A7A9430" w14:textId="292C557F"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 xml:space="preserve">Anaemia, </w:t>
            </w:r>
            <w:r w:rsidR="00F85B2B" w:rsidRPr="004A1586">
              <w:rPr>
                <w:rFonts w:ascii="Times New Roman" w:hAnsi="Times New Roman" w:cs="Times New Roman"/>
                <w:sz w:val="20"/>
                <w:szCs w:val="20"/>
              </w:rPr>
              <w:t>l</w:t>
            </w:r>
            <w:r w:rsidRPr="004A1586">
              <w:rPr>
                <w:rFonts w:ascii="Times New Roman" w:hAnsi="Times New Roman" w:cs="Times New Roman"/>
                <w:sz w:val="20"/>
                <w:szCs w:val="20"/>
              </w:rPr>
              <w:t>ymphopenia</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B93C670"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F3077BA"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16DE785"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057C810" w14:textId="77777777" w:rsidR="00047E69" w:rsidRPr="004A1586" w:rsidRDefault="00047E69" w:rsidP="001D5BF7">
            <w:pPr>
              <w:jc w:val="center"/>
              <w:rPr>
                <w:rFonts w:ascii="Times New Roman" w:hAnsi="Times New Roman" w:cs="Times New Roman"/>
                <w:sz w:val="20"/>
                <w:szCs w:val="20"/>
              </w:rPr>
            </w:pPr>
          </w:p>
        </w:tc>
      </w:tr>
      <w:tr w:rsidR="00295307" w:rsidRPr="00042795" w14:paraId="494E3371"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B8FE685"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lastRenderedPageBreak/>
              <w:t>Immune system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A8B37BB" w14:textId="77777777" w:rsidR="00047E69" w:rsidRPr="004A1586" w:rsidRDefault="00047E69" w:rsidP="001D5BF7">
            <w:pPr>
              <w:jc w:val="center"/>
              <w:rPr>
                <w:rFonts w:ascii="Times New Roman" w:hAnsi="Times New Roman" w:cs="Times New Roman"/>
                <w:sz w:val="20"/>
                <w:szCs w:val="20"/>
              </w:rPr>
            </w:pP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9E602B6" w14:textId="77777777" w:rsidR="00047E69" w:rsidRPr="004A1586" w:rsidRDefault="00C210A5" w:rsidP="00CD1D39">
            <w:pPr>
              <w:pStyle w:val="TableParagraph"/>
              <w:keepNext/>
              <w:keepLines/>
              <w:jc w:val="center"/>
              <w:rPr>
                <w:rFonts w:ascii="Times New Roman" w:eastAsia="Times New Roman" w:hAnsi="Times New Roman" w:cs="Times New Roman"/>
                <w:sz w:val="20"/>
                <w:szCs w:val="20"/>
              </w:rPr>
            </w:pPr>
            <w:r w:rsidRPr="004A1586">
              <w:rPr>
                <w:rFonts w:ascii="Times New Roman" w:hAnsi="Times New Roman" w:cs="Times New Roman"/>
                <w:sz w:val="20"/>
                <w:szCs w:val="20"/>
              </w:rPr>
              <w:t>Hypersensitivity, infusion reactions</w:t>
            </w:r>
            <w:r w:rsidRPr="00DE2A77">
              <w:rPr>
                <w:rFonts w:ascii="Times New Roman" w:hAnsi="Times New Roman" w:cs="Times New Roman"/>
                <w:sz w:val="20"/>
                <w:szCs w:val="20"/>
                <w:vertAlign w:val="superscript"/>
              </w:rPr>
              <w:t>a,b,d</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802CAAC"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E25F80F" w14:textId="7B480A77" w:rsidR="00047E69" w:rsidRPr="004A1586" w:rsidRDefault="00A65414" w:rsidP="001D5BF7">
            <w:pPr>
              <w:jc w:val="center"/>
              <w:rPr>
                <w:rFonts w:ascii="Times New Roman" w:hAnsi="Times New Roman" w:cs="Times New Roman"/>
                <w:sz w:val="20"/>
                <w:szCs w:val="20"/>
                <w:lang w:eastAsia="ko-KR"/>
              </w:rPr>
            </w:pPr>
            <w:r w:rsidRPr="004A1586">
              <w:rPr>
                <w:rFonts w:ascii="Times New Roman" w:hAnsi="Times New Roman" w:cs="Times New Roman"/>
                <w:sz w:val="20"/>
                <w:szCs w:val="20"/>
                <w:lang w:eastAsia="ko-KR"/>
              </w:rPr>
              <w:t>Anaphylactic shock</w:t>
            </w: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1AA2D8B"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8A1FC06" w14:textId="77777777" w:rsidR="00047E69" w:rsidRPr="004A1586" w:rsidRDefault="00047E69" w:rsidP="001D5BF7">
            <w:pPr>
              <w:jc w:val="center"/>
              <w:rPr>
                <w:rFonts w:ascii="Times New Roman" w:hAnsi="Times New Roman" w:cs="Times New Roman"/>
                <w:sz w:val="20"/>
                <w:szCs w:val="20"/>
              </w:rPr>
            </w:pPr>
          </w:p>
        </w:tc>
      </w:tr>
      <w:tr w:rsidR="00295307" w:rsidRPr="00042795" w14:paraId="46B031AA"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81857E8"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Metabolism and nutrition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8F141AA" w14:textId="2A3B6850" w:rsidR="00047E69" w:rsidRPr="004A1586" w:rsidRDefault="00C210A5" w:rsidP="001D5BF7">
            <w:pPr>
              <w:pStyle w:val="TableParagraph"/>
              <w:jc w:val="center"/>
              <w:rPr>
                <w:rFonts w:ascii="Times New Roman" w:eastAsia="Times New Roman" w:hAnsi="Times New Roman" w:cs="Times New Roman"/>
                <w:sz w:val="20"/>
                <w:szCs w:val="20"/>
              </w:rPr>
            </w:pPr>
            <w:bookmarkStart w:id="6" w:name="_Hlk107213373"/>
            <w:r w:rsidRPr="004A1586">
              <w:rPr>
                <w:rFonts w:ascii="Times New Roman" w:hAnsi="Times New Roman" w:cs="Times New Roman"/>
                <w:sz w:val="20"/>
                <w:szCs w:val="20"/>
              </w:rPr>
              <w:t>Anorexia</w:t>
            </w:r>
            <w:r w:rsidR="00F85B2B" w:rsidRPr="004A1586">
              <w:rPr>
                <w:rFonts w:ascii="Times New Roman" w:hAnsi="Times New Roman" w:cs="Times New Roman"/>
                <w:sz w:val="20"/>
                <w:szCs w:val="20"/>
              </w:rPr>
              <w:t>,</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h</w:t>
            </w:r>
            <w:r w:rsidRPr="004A1586">
              <w:rPr>
                <w:rFonts w:ascii="Times New Roman" w:hAnsi="Times New Roman" w:cs="Times New Roman"/>
                <w:sz w:val="20"/>
                <w:szCs w:val="20"/>
              </w:rPr>
              <w:t>ypomagnesaemia</w:t>
            </w:r>
            <w:r w:rsidR="00F85B2B" w:rsidRPr="004A1586">
              <w:rPr>
                <w:rFonts w:ascii="Times New Roman" w:hAnsi="Times New Roman" w:cs="Times New Roman"/>
                <w:sz w:val="20"/>
                <w:szCs w:val="20"/>
              </w:rPr>
              <w:t>,</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h</w:t>
            </w:r>
            <w:r w:rsidRPr="004A1586">
              <w:rPr>
                <w:rFonts w:ascii="Times New Roman" w:hAnsi="Times New Roman" w:cs="Times New Roman"/>
                <w:sz w:val="20"/>
                <w:szCs w:val="20"/>
              </w:rPr>
              <w:t>yponatraemia</w:t>
            </w:r>
            <w:bookmarkEnd w:id="6"/>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A70DD31"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Dehydration</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6E270BF"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80C4852"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A3F5239"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A4225C8" w14:textId="77777777" w:rsidR="00047E69" w:rsidRPr="004A1586" w:rsidRDefault="00047E69" w:rsidP="001D5BF7">
            <w:pPr>
              <w:jc w:val="center"/>
              <w:rPr>
                <w:rFonts w:ascii="Times New Roman" w:hAnsi="Times New Roman" w:cs="Times New Roman"/>
                <w:sz w:val="20"/>
                <w:szCs w:val="20"/>
              </w:rPr>
            </w:pPr>
          </w:p>
        </w:tc>
      </w:tr>
      <w:tr w:rsidR="00295307" w:rsidRPr="00042795" w14:paraId="3582DB37"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06E0F96"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Nervous system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958DC9C" w14:textId="0DB83733"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Peripheral sensory neuropathy</w:t>
            </w:r>
            <w:r w:rsidRPr="004364FE">
              <w:rPr>
                <w:rFonts w:ascii="Times New Roman" w:hAnsi="Times New Roman" w:cs="Times New Roman"/>
                <w:sz w:val="20"/>
                <w:szCs w:val="20"/>
                <w:vertAlign w:val="superscript"/>
              </w:rPr>
              <w:t>b</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d</w:t>
            </w:r>
            <w:r w:rsidRPr="004A1586">
              <w:rPr>
                <w:rFonts w:ascii="Times New Roman" w:hAnsi="Times New Roman" w:cs="Times New Roman"/>
                <w:sz w:val="20"/>
                <w:szCs w:val="20"/>
              </w:rPr>
              <w:t xml:space="preserve">ysarthria, </w:t>
            </w:r>
            <w:r w:rsidR="00F85B2B" w:rsidRPr="004A1586">
              <w:rPr>
                <w:rFonts w:ascii="Times New Roman" w:hAnsi="Times New Roman" w:cs="Times New Roman"/>
                <w:sz w:val="20"/>
                <w:szCs w:val="20"/>
              </w:rPr>
              <w:t>h</w:t>
            </w:r>
            <w:r w:rsidRPr="004A1586">
              <w:rPr>
                <w:rFonts w:ascii="Times New Roman" w:hAnsi="Times New Roman" w:cs="Times New Roman"/>
                <w:sz w:val="20"/>
                <w:szCs w:val="20"/>
              </w:rPr>
              <w:t xml:space="preserve">eadache, </w:t>
            </w:r>
            <w:r w:rsidR="00F85B2B" w:rsidRPr="004A1586">
              <w:rPr>
                <w:rFonts w:ascii="Times New Roman" w:hAnsi="Times New Roman" w:cs="Times New Roman"/>
                <w:sz w:val="20"/>
                <w:szCs w:val="20"/>
              </w:rPr>
              <w:t>d</w:t>
            </w:r>
            <w:r w:rsidRPr="004A1586">
              <w:rPr>
                <w:rFonts w:ascii="Times New Roman" w:hAnsi="Times New Roman" w:cs="Times New Roman"/>
                <w:sz w:val="20"/>
                <w:szCs w:val="20"/>
              </w:rPr>
              <w:t>ysguesia</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11434E5" w14:textId="44A56BB6"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 xml:space="preserve">Cerebrovascular accident, </w:t>
            </w:r>
            <w:r w:rsidR="00F85B2B" w:rsidRPr="004A1586">
              <w:rPr>
                <w:rFonts w:ascii="Times New Roman" w:hAnsi="Times New Roman" w:cs="Times New Roman"/>
                <w:sz w:val="20"/>
                <w:szCs w:val="20"/>
              </w:rPr>
              <w:t>s</w:t>
            </w:r>
            <w:r w:rsidRPr="004A1586">
              <w:rPr>
                <w:rFonts w:ascii="Times New Roman" w:hAnsi="Times New Roman" w:cs="Times New Roman"/>
                <w:sz w:val="20"/>
                <w:szCs w:val="20"/>
              </w:rPr>
              <w:t xml:space="preserve">yncope, </w:t>
            </w:r>
            <w:r w:rsidR="00F85B2B" w:rsidRPr="004A1586">
              <w:rPr>
                <w:rFonts w:ascii="Times New Roman" w:hAnsi="Times New Roman" w:cs="Times New Roman"/>
                <w:sz w:val="20"/>
                <w:szCs w:val="20"/>
              </w:rPr>
              <w:t>s</w:t>
            </w:r>
            <w:r w:rsidRPr="004A1586">
              <w:rPr>
                <w:rFonts w:ascii="Times New Roman" w:hAnsi="Times New Roman" w:cs="Times New Roman"/>
                <w:sz w:val="20"/>
                <w:szCs w:val="20"/>
              </w:rPr>
              <w:t>omnolence</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F3E286F"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4E33AD5" w14:textId="5855075A" w:rsidR="00047E69" w:rsidRPr="004A1586" w:rsidRDefault="00C210A5" w:rsidP="001D5BF7">
            <w:pPr>
              <w:pStyle w:val="TableParagraph"/>
              <w:jc w:val="center"/>
              <w:rPr>
                <w:rFonts w:ascii="Times New Roman" w:eastAsia="Times New Roman" w:hAnsi="Times New Roman" w:cs="Times New Roman"/>
                <w:sz w:val="20"/>
                <w:szCs w:val="20"/>
                <w:vertAlign w:val="superscript"/>
              </w:rPr>
            </w:pPr>
            <w:r w:rsidRPr="004A1586">
              <w:rPr>
                <w:rFonts w:ascii="Times New Roman" w:hAnsi="Times New Roman" w:cs="Times New Roman"/>
                <w:sz w:val="20"/>
                <w:szCs w:val="20"/>
              </w:rPr>
              <w:t>Posterior reversible encephalo- pathy syndrome</w:t>
            </w:r>
            <w:r w:rsidRPr="004A1586">
              <w:rPr>
                <w:rFonts w:ascii="Times New Roman" w:hAnsi="Times New Roman" w:cs="Times New Roman"/>
                <w:sz w:val="20"/>
                <w:szCs w:val="20"/>
                <w:vertAlign w:val="superscript"/>
              </w:rPr>
              <w:t>a,b,d</w:t>
            </w: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54CF6D"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Hypertensive encephalo- pathy</w:t>
            </w:r>
            <w:r w:rsidRPr="00A67742">
              <w:rPr>
                <w:rFonts w:ascii="Times New Roman" w:hAnsi="Times New Roman" w:cs="Times New Roman"/>
                <w:sz w:val="20"/>
                <w:szCs w:val="20"/>
                <w:vertAlign w:val="superscript"/>
              </w:rPr>
              <w:t>a</w:t>
            </w: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CA65E78" w14:textId="77777777" w:rsidR="00047E69" w:rsidRPr="004A1586" w:rsidRDefault="00047E69" w:rsidP="001D5BF7">
            <w:pPr>
              <w:jc w:val="center"/>
              <w:rPr>
                <w:rFonts w:ascii="Times New Roman" w:hAnsi="Times New Roman" w:cs="Times New Roman"/>
                <w:sz w:val="20"/>
                <w:szCs w:val="20"/>
              </w:rPr>
            </w:pPr>
          </w:p>
        </w:tc>
      </w:tr>
      <w:tr w:rsidR="00295307" w:rsidRPr="00042795" w14:paraId="3ECD1CD6"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8209A9A"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Eye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5D80D0B" w14:textId="5107EC19"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 xml:space="preserve">Eye disorder, </w:t>
            </w:r>
            <w:r w:rsidR="00F85B2B" w:rsidRPr="004A1586">
              <w:rPr>
                <w:rFonts w:ascii="Times New Roman" w:hAnsi="Times New Roman" w:cs="Times New Roman"/>
                <w:sz w:val="20"/>
                <w:szCs w:val="20"/>
              </w:rPr>
              <w:t>l</w:t>
            </w:r>
            <w:r w:rsidRPr="004A1586">
              <w:rPr>
                <w:rFonts w:ascii="Times New Roman" w:hAnsi="Times New Roman" w:cs="Times New Roman"/>
                <w:sz w:val="20"/>
                <w:szCs w:val="20"/>
              </w:rPr>
              <w:t>acrimation increased</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C7925A8" w14:textId="77777777" w:rsidR="00047E69" w:rsidRPr="004A1586" w:rsidRDefault="00047E69" w:rsidP="001D5BF7">
            <w:pPr>
              <w:jc w:val="center"/>
              <w:rPr>
                <w:rFonts w:ascii="Times New Roman" w:hAnsi="Times New Roman" w:cs="Times New Roman"/>
                <w:sz w:val="20"/>
                <w:szCs w:val="20"/>
              </w:rPr>
            </w:pP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EA65C85"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F3846E2"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D0453F3"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A1550E5" w14:textId="77777777" w:rsidR="00047E69" w:rsidRPr="004A1586" w:rsidRDefault="00047E69" w:rsidP="001D5BF7">
            <w:pPr>
              <w:jc w:val="center"/>
              <w:rPr>
                <w:rFonts w:ascii="Times New Roman" w:hAnsi="Times New Roman" w:cs="Times New Roman"/>
                <w:sz w:val="20"/>
                <w:szCs w:val="20"/>
              </w:rPr>
            </w:pPr>
          </w:p>
        </w:tc>
      </w:tr>
      <w:tr w:rsidR="00295307" w:rsidRPr="00042795" w14:paraId="3A75E3EE"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DD807B2"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Cardiac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3AC1C38" w14:textId="77777777" w:rsidR="00047E69" w:rsidRPr="004A1586" w:rsidRDefault="00047E69" w:rsidP="001D5BF7">
            <w:pPr>
              <w:jc w:val="center"/>
              <w:rPr>
                <w:rFonts w:ascii="Times New Roman" w:hAnsi="Times New Roman" w:cs="Times New Roman"/>
                <w:sz w:val="20"/>
                <w:szCs w:val="20"/>
              </w:rPr>
            </w:pP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C3610B" w14:textId="37F96435"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Congestive heart failure</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s</w:t>
            </w:r>
            <w:r w:rsidRPr="004A1586">
              <w:rPr>
                <w:rFonts w:ascii="Times New Roman" w:hAnsi="Times New Roman" w:cs="Times New Roman"/>
                <w:sz w:val="20"/>
                <w:szCs w:val="20"/>
              </w:rPr>
              <w:t>upraventricular tachycardia</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E6EAE86"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72A281D"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751CDC8"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850450C" w14:textId="77777777" w:rsidR="00047E69" w:rsidRPr="004A1586" w:rsidRDefault="00047E69" w:rsidP="001D5BF7">
            <w:pPr>
              <w:jc w:val="center"/>
              <w:rPr>
                <w:rFonts w:ascii="Times New Roman" w:hAnsi="Times New Roman" w:cs="Times New Roman"/>
                <w:sz w:val="20"/>
                <w:szCs w:val="20"/>
              </w:rPr>
            </w:pPr>
          </w:p>
        </w:tc>
      </w:tr>
      <w:tr w:rsidR="00295307" w:rsidRPr="00042795" w14:paraId="26CA2B4E"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7B603FE"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Vascular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CC3FBA4" w14:textId="75861905"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Hypertension</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t</w:t>
            </w:r>
            <w:r w:rsidRPr="004A1586">
              <w:rPr>
                <w:rFonts w:ascii="Times New Roman" w:hAnsi="Times New Roman" w:cs="Times New Roman"/>
                <w:sz w:val="20"/>
                <w:szCs w:val="20"/>
              </w:rPr>
              <w:t>hromboembolism (venous)</w:t>
            </w:r>
            <w:r w:rsidRPr="00A67742">
              <w:rPr>
                <w:rFonts w:ascii="Times New Roman" w:hAnsi="Times New Roman" w:cs="Times New Roman"/>
                <w:sz w:val="20"/>
                <w:szCs w:val="20"/>
                <w:vertAlign w:val="superscript"/>
              </w:rPr>
              <w:t>b,d</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599B0A7" w14:textId="67B82DA6"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Thrombo- embolism (arterial)</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h</w:t>
            </w:r>
            <w:r w:rsidRPr="004A1586">
              <w:rPr>
                <w:rFonts w:ascii="Times New Roman" w:hAnsi="Times New Roman" w:cs="Times New Roman"/>
                <w:sz w:val="20"/>
                <w:szCs w:val="20"/>
              </w:rPr>
              <w:t>aemorrhage</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d</w:t>
            </w:r>
            <w:r w:rsidRPr="004A1586">
              <w:rPr>
                <w:rFonts w:ascii="Times New Roman" w:hAnsi="Times New Roman" w:cs="Times New Roman"/>
                <w:sz w:val="20"/>
                <w:szCs w:val="20"/>
              </w:rPr>
              <w:t>eep vein thrombosis</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41AA3B2"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D06EA3C"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D54E254"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9A5C02C" w14:textId="415E44B1"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Renal thrombotic</w:t>
            </w:r>
            <w:r w:rsidR="005B47EB">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microangio</w:t>
            </w:r>
            <w:r w:rsidR="00A90CC3">
              <w:rPr>
                <w:rFonts w:ascii="Times New Roman" w:hAnsi="Times New Roman" w:cs="Times New Roman" w:hint="eastAsia"/>
                <w:sz w:val="20"/>
                <w:szCs w:val="20"/>
                <w:lang w:eastAsia="ko-KR"/>
              </w:rPr>
              <w:t>-</w:t>
            </w:r>
            <w:r w:rsidRPr="004A1586">
              <w:rPr>
                <w:rFonts w:ascii="Times New Roman" w:hAnsi="Times New Roman" w:cs="Times New Roman"/>
                <w:sz w:val="20"/>
                <w:szCs w:val="20"/>
              </w:rPr>
              <w:t>pathy</w:t>
            </w:r>
            <w:r w:rsidRPr="00A67742">
              <w:rPr>
                <w:rFonts w:ascii="Times New Roman" w:hAnsi="Times New Roman" w:cs="Times New Roman"/>
                <w:sz w:val="20"/>
                <w:szCs w:val="20"/>
                <w:vertAlign w:val="superscript"/>
              </w:rPr>
              <w:t>a,b</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a</w:t>
            </w:r>
            <w:r w:rsidRPr="004A1586">
              <w:rPr>
                <w:rFonts w:ascii="Times New Roman" w:hAnsi="Times New Roman" w:cs="Times New Roman"/>
                <w:sz w:val="20"/>
                <w:szCs w:val="20"/>
              </w:rPr>
              <w:t>neurysms and artery dissections</w:t>
            </w:r>
          </w:p>
        </w:tc>
      </w:tr>
      <w:tr w:rsidR="00295307" w:rsidRPr="00042795" w14:paraId="23FF6D86"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4EC2894"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Respiratory, thoracic and mediastinal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2DD760D" w14:textId="77777777" w:rsidR="00047E69"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Dyspnoea,</w:t>
            </w:r>
          </w:p>
          <w:p w14:paraId="6506CB14" w14:textId="0DB89E4C" w:rsidR="00047E69"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r</w:t>
            </w:r>
            <w:r w:rsidR="002700BA" w:rsidRPr="004A1586">
              <w:rPr>
                <w:rFonts w:ascii="Times New Roman" w:hAnsi="Times New Roman" w:cs="Times New Roman"/>
                <w:sz w:val="20"/>
                <w:szCs w:val="20"/>
              </w:rPr>
              <w:t>hinitis</w:t>
            </w:r>
            <w:r w:rsidRPr="004A1586">
              <w:rPr>
                <w:rFonts w:ascii="Times New Roman" w:hAnsi="Times New Roman" w:cs="Times New Roman"/>
                <w:sz w:val="20"/>
                <w:szCs w:val="20"/>
              </w:rPr>
              <w:t>,</w:t>
            </w:r>
          </w:p>
          <w:p w14:paraId="50A9AFDB" w14:textId="7E9D8300" w:rsidR="00047E69"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e</w:t>
            </w:r>
            <w:r w:rsidR="002700BA" w:rsidRPr="004A1586">
              <w:rPr>
                <w:rFonts w:ascii="Times New Roman" w:hAnsi="Times New Roman" w:cs="Times New Roman"/>
                <w:sz w:val="20"/>
                <w:szCs w:val="20"/>
              </w:rPr>
              <w:t>pistaxis</w:t>
            </w:r>
            <w:r w:rsidRPr="004A1586">
              <w:rPr>
                <w:rFonts w:ascii="Times New Roman" w:hAnsi="Times New Roman" w:cs="Times New Roman"/>
                <w:sz w:val="20"/>
                <w:szCs w:val="20"/>
              </w:rPr>
              <w:t>,</w:t>
            </w:r>
          </w:p>
          <w:p w14:paraId="18CC4C7D" w14:textId="7BB79C72"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c</w:t>
            </w:r>
            <w:r w:rsidR="002700BA" w:rsidRPr="004A1586">
              <w:rPr>
                <w:rFonts w:ascii="Times New Roman" w:hAnsi="Times New Roman" w:cs="Times New Roman"/>
                <w:sz w:val="20"/>
                <w:szCs w:val="20"/>
              </w:rPr>
              <w:t>ough</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09F0869" w14:textId="211A4A14"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 xml:space="preserve">Pulmonary haemorrhage/ </w:t>
            </w:r>
            <w:r w:rsidR="00F85B2B" w:rsidRPr="004A1586">
              <w:rPr>
                <w:rFonts w:ascii="Times New Roman" w:hAnsi="Times New Roman" w:cs="Times New Roman"/>
                <w:sz w:val="20"/>
                <w:szCs w:val="20"/>
              </w:rPr>
              <w:t>h</w:t>
            </w:r>
            <w:r w:rsidRPr="004A1586">
              <w:rPr>
                <w:rFonts w:ascii="Times New Roman" w:hAnsi="Times New Roman" w:cs="Times New Roman"/>
                <w:sz w:val="20"/>
                <w:szCs w:val="20"/>
              </w:rPr>
              <w:t>aemoptysis</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p</w:t>
            </w:r>
            <w:r w:rsidRPr="004A1586">
              <w:rPr>
                <w:rFonts w:ascii="Times New Roman" w:hAnsi="Times New Roman" w:cs="Times New Roman"/>
                <w:sz w:val="20"/>
                <w:szCs w:val="20"/>
              </w:rPr>
              <w:t xml:space="preserve">ulmonary embolism, </w:t>
            </w:r>
            <w:r w:rsidR="00F85B2B" w:rsidRPr="004A1586">
              <w:rPr>
                <w:rFonts w:ascii="Times New Roman" w:hAnsi="Times New Roman" w:cs="Times New Roman"/>
                <w:sz w:val="20"/>
                <w:szCs w:val="20"/>
              </w:rPr>
              <w:t>h</w:t>
            </w:r>
            <w:r w:rsidRPr="004A1586">
              <w:rPr>
                <w:rFonts w:ascii="Times New Roman" w:hAnsi="Times New Roman" w:cs="Times New Roman"/>
                <w:sz w:val="20"/>
                <w:szCs w:val="20"/>
              </w:rPr>
              <w:t xml:space="preserve">ypoxia, </w:t>
            </w:r>
            <w:r w:rsidR="00F85B2B" w:rsidRPr="004A1586">
              <w:rPr>
                <w:rFonts w:ascii="Times New Roman" w:hAnsi="Times New Roman" w:cs="Times New Roman"/>
                <w:sz w:val="20"/>
                <w:szCs w:val="20"/>
              </w:rPr>
              <w:t>d</w:t>
            </w:r>
            <w:r w:rsidRPr="004A1586">
              <w:rPr>
                <w:rFonts w:ascii="Times New Roman" w:hAnsi="Times New Roman" w:cs="Times New Roman"/>
                <w:sz w:val="20"/>
                <w:szCs w:val="20"/>
              </w:rPr>
              <w:t>ysphonia</w:t>
            </w:r>
            <w:r w:rsidRPr="00A67742">
              <w:rPr>
                <w:rFonts w:ascii="Times New Roman" w:hAnsi="Times New Roman" w:cs="Times New Roman"/>
                <w:sz w:val="20"/>
                <w:szCs w:val="20"/>
                <w:vertAlign w:val="superscript"/>
              </w:rPr>
              <w:t>a</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0129C68"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50709CB"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A0F5336"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8F82DBD" w14:textId="0898932C"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Pulmonary hypertension</w:t>
            </w:r>
            <w:r w:rsidRPr="00A67742">
              <w:rPr>
                <w:rFonts w:ascii="Times New Roman" w:hAnsi="Times New Roman" w:cs="Times New Roman"/>
                <w:sz w:val="20"/>
                <w:szCs w:val="20"/>
                <w:vertAlign w:val="superscript"/>
              </w:rPr>
              <w:t>a</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n</w:t>
            </w:r>
            <w:r w:rsidRPr="004A1586">
              <w:rPr>
                <w:rFonts w:ascii="Times New Roman" w:hAnsi="Times New Roman" w:cs="Times New Roman"/>
                <w:sz w:val="20"/>
                <w:szCs w:val="20"/>
              </w:rPr>
              <w:t>asal septum perforation</w:t>
            </w:r>
            <w:r w:rsidRPr="00A67742">
              <w:rPr>
                <w:rFonts w:ascii="Times New Roman" w:hAnsi="Times New Roman" w:cs="Times New Roman"/>
                <w:sz w:val="20"/>
                <w:szCs w:val="20"/>
                <w:vertAlign w:val="superscript"/>
              </w:rPr>
              <w:t>a</w:t>
            </w:r>
          </w:p>
        </w:tc>
      </w:tr>
      <w:tr w:rsidR="00295307" w:rsidRPr="00042795" w14:paraId="01CF05DF"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9197A8F"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Gastrointestinal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3929638" w14:textId="6BD49D01" w:rsidR="00047E69"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Rectal</w:t>
            </w:r>
            <w:r w:rsidR="00A76516">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 xml:space="preserve">haemorrhage, </w:t>
            </w:r>
            <w:r w:rsidR="00F85B2B" w:rsidRPr="004A1586">
              <w:rPr>
                <w:rFonts w:ascii="Times New Roman" w:hAnsi="Times New Roman" w:cs="Times New Roman"/>
                <w:sz w:val="20"/>
                <w:szCs w:val="20"/>
              </w:rPr>
              <w:t>s</w:t>
            </w:r>
            <w:r w:rsidRPr="004A1586">
              <w:rPr>
                <w:rFonts w:ascii="Times New Roman" w:hAnsi="Times New Roman" w:cs="Times New Roman"/>
                <w:sz w:val="20"/>
                <w:szCs w:val="20"/>
              </w:rPr>
              <w:t xml:space="preserve">tomatitis, </w:t>
            </w:r>
            <w:r w:rsidR="00F85B2B" w:rsidRPr="004A1586">
              <w:rPr>
                <w:rFonts w:ascii="Times New Roman" w:hAnsi="Times New Roman" w:cs="Times New Roman"/>
                <w:sz w:val="20"/>
                <w:szCs w:val="20"/>
              </w:rPr>
              <w:t>c</w:t>
            </w:r>
            <w:r w:rsidRPr="004A1586">
              <w:rPr>
                <w:rFonts w:ascii="Times New Roman" w:hAnsi="Times New Roman" w:cs="Times New Roman"/>
                <w:sz w:val="20"/>
                <w:szCs w:val="20"/>
              </w:rPr>
              <w:t xml:space="preserve">onstipation, </w:t>
            </w:r>
            <w:r w:rsidR="00F85B2B" w:rsidRPr="004A1586">
              <w:rPr>
                <w:rFonts w:ascii="Times New Roman" w:hAnsi="Times New Roman" w:cs="Times New Roman"/>
                <w:sz w:val="20"/>
                <w:szCs w:val="20"/>
              </w:rPr>
              <w:t>d</w:t>
            </w:r>
            <w:r w:rsidRPr="004A1586">
              <w:rPr>
                <w:rFonts w:ascii="Times New Roman" w:hAnsi="Times New Roman" w:cs="Times New Roman"/>
                <w:sz w:val="20"/>
                <w:szCs w:val="20"/>
              </w:rPr>
              <w:t>iarrhoea,</w:t>
            </w:r>
          </w:p>
          <w:p w14:paraId="7999961E" w14:textId="444C8511" w:rsidR="00047E69"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n</w:t>
            </w:r>
            <w:r w:rsidR="002700BA" w:rsidRPr="004A1586">
              <w:rPr>
                <w:rFonts w:ascii="Times New Roman" w:hAnsi="Times New Roman" w:cs="Times New Roman"/>
                <w:sz w:val="20"/>
                <w:szCs w:val="20"/>
              </w:rPr>
              <w:t>ausea,</w:t>
            </w:r>
          </w:p>
          <w:p w14:paraId="1420F5F3" w14:textId="119BEB4D"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v</w:t>
            </w:r>
            <w:r w:rsidR="002700BA" w:rsidRPr="004A1586">
              <w:rPr>
                <w:rFonts w:ascii="Times New Roman" w:hAnsi="Times New Roman" w:cs="Times New Roman"/>
                <w:sz w:val="20"/>
                <w:szCs w:val="20"/>
              </w:rPr>
              <w:t xml:space="preserve">omiting, </w:t>
            </w:r>
            <w:r w:rsidRPr="004A1586">
              <w:rPr>
                <w:rFonts w:ascii="Times New Roman" w:hAnsi="Times New Roman" w:cs="Times New Roman"/>
                <w:sz w:val="20"/>
                <w:szCs w:val="20"/>
              </w:rPr>
              <w:t>a</w:t>
            </w:r>
            <w:r w:rsidR="002700BA" w:rsidRPr="004A1586">
              <w:rPr>
                <w:rFonts w:ascii="Times New Roman" w:hAnsi="Times New Roman" w:cs="Times New Roman"/>
                <w:sz w:val="20"/>
                <w:szCs w:val="20"/>
              </w:rPr>
              <w:t>bdominal pain</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DFE374A" w14:textId="5FAC723D" w:rsidR="00047E69" w:rsidRPr="004A1586" w:rsidRDefault="00C210A5" w:rsidP="004F0848">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Gastrointestinal perforation</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 xml:space="preserve">, </w:t>
            </w:r>
            <w:r w:rsidR="00F85B2B" w:rsidRPr="004A1586">
              <w:rPr>
                <w:rFonts w:ascii="Times New Roman" w:hAnsi="Times New Roman" w:cs="Times New Roman"/>
                <w:sz w:val="20"/>
                <w:szCs w:val="20"/>
              </w:rPr>
              <w:t>i</w:t>
            </w:r>
            <w:r w:rsidRPr="004A1586">
              <w:rPr>
                <w:rFonts w:ascii="Times New Roman" w:hAnsi="Times New Roman" w:cs="Times New Roman"/>
                <w:sz w:val="20"/>
                <w:szCs w:val="20"/>
              </w:rPr>
              <w:t>ntestinal perforation,</w:t>
            </w:r>
            <w:r w:rsidR="004F0848">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i</w:t>
            </w:r>
            <w:r w:rsidR="002700BA" w:rsidRPr="004A1586">
              <w:rPr>
                <w:rFonts w:ascii="Times New Roman" w:hAnsi="Times New Roman" w:cs="Times New Roman"/>
                <w:sz w:val="20"/>
                <w:szCs w:val="20"/>
              </w:rPr>
              <w:t>leus,</w:t>
            </w:r>
            <w:r w:rsidR="004F0848">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i</w:t>
            </w:r>
            <w:r w:rsidR="002700BA" w:rsidRPr="004A1586">
              <w:rPr>
                <w:rFonts w:ascii="Times New Roman" w:hAnsi="Times New Roman" w:cs="Times New Roman"/>
                <w:sz w:val="20"/>
                <w:szCs w:val="20"/>
              </w:rPr>
              <w:t>ntestinal obstruction,</w:t>
            </w:r>
            <w:r w:rsidR="004F0848">
              <w:rPr>
                <w:rFonts w:ascii="Times New Roman" w:hAnsi="Times New Roman" w:cs="Times New Roman" w:hint="eastAsia"/>
                <w:sz w:val="20"/>
                <w:szCs w:val="20"/>
                <w:lang w:eastAsia="ko-KR"/>
              </w:rPr>
              <w:t xml:space="preserve"> </w:t>
            </w:r>
            <w:r w:rsidRPr="004A1586">
              <w:rPr>
                <w:rFonts w:ascii="Times New Roman" w:hAnsi="Times New Roman" w:cs="Times New Roman"/>
                <w:sz w:val="20"/>
                <w:szCs w:val="20"/>
              </w:rPr>
              <w:t>r</w:t>
            </w:r>
            <w:r w:rsidR="002700BA" w:rsidRPr="004A1586">
              <w:rPr>
                <w:rFonts w:ascii="Times New Roman" w:hAnsi="Times New Roman" w:cs="Times New Roman"/>
                <w:sz w:val="20"/>
                <w:szCs w:val="20"/>
              </w:rPr>
              <w:t>ecto-vaginal fistulae</w:t>
            </w:r>
            <w:r w:rsidR="002700BA" w:rsidRPr="00A67742">
              <w:rPr>
                <w:rFonts w:ascii="Times New Roman" w:hAnsi="Times New Roman" w:cs="Times New Roman"/>
                <w:sz w:val="20"/>
                <w:szCs w:val="20"/>
                <w:vertAlign w:val="superscript"/>
              </w:rPr>
              <w:t>d,e</w:t>
            </w:r>
            <w:r w:rsidR="002700BA" w:rsidRPr="004A1586">
              <w:rPr>
                <w:rFonts w:ascii="Times New Roman" w:hAnsi="Times New Roman" w:cs="Times New Roman"/>
                <w:sz w:val="20"/>
                <w:szCs w:val="20"/>
              </w:rPr>
              <w:t xml:space="preserve">, </w:t>
            </w:r>
            <w:r w:rsidRPr="004A1586">
              <w:rPr>
                <w:rFonts w:ascii="Times New Roman" w:hAnsi="Times New Roman" w:cs="Times New Roman"/>
                <w:sz w:val="20"/>
                <w:szCs w:val="20"/>
              </w:rPr>
              <w:t>g</w:t>
            </w:r>
            <w:r w:rsidR="002700BA" w:rsidRPr="004A1586">
              <w:rPr>
                <w:rFonts w:ascii="Times New Roman" w:hAnsi="Times New Roman" w:cs="Times New Roman"/>
                <w:sz w:val="20"/>
                <w:szCs w:val="20"/>
              </w:rPr>
              <w:t xml:space="preserve">astrointestinal </w:t>
            </w:r>
            <w:r w:rsidR="004918AD" w:rsidRPr="004A1586">
              <w:rPr>
                <w:rFonts w:ascii="Times New Roman" w:hAnsi="Times New Roman" w:cs="Times New Roman"/>
                <w:sz w:val="20"/>
                <w:szCs w:val="20"/>
                <w:lang w:eastAsia="ko-KR"/>
              </w:rPr>
              <w:t>d</w:t>
            </w:r>
            <w:r w:rsidR="002700BA" w:rsidRPr="004A1586">
              <w:rPr>
                <w:rFonts w:ascii="Times New Roman" w:hAnsi="Times New Roman" w:cs="Times New Roman"/>
                <w:sz w:val="20"/>
                <w:szCs w:val="20"/>
              </w:rPr>
              <w:t xml:space="preserve">isorder, </w:t>
            </w:r>
            <w:r w:rsidRPr="004A1586">
              <w:rPr>
                <w:rFonts w:ascii="Times New Roman" w:hAnsi="Times New Roman" w:cs="Times New Roman"/>
                <w:sz w:val="20"/>
                <w:szCs w:val="20"/>
              </w:rPr>
              <w:t>p</w:t>
            </w:r>
            <w:r w:rsidR="002700BA" w:rsidRPr="004A1586">
              <w:rPr>
                <w:rFonts w:ascii="Times New Roman" w:hAnsi="Times New Roman" w:cs="Times New Roman"/>
                <w:sz w:val="20"/>
                <w:szCs w:val="20"/>
              </w:rPr>
              <w:t>roctalgia</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C9BD431"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128527C"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2F15475"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F41FE8B"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Gastrointestinal ulcer</w:t>
            </w:r>
            <w:r w:rsidRPr="00A67742">
              <w:rPr>
                <w:rFonts w:ascii="Times New Roman" w:hAnsi="Times New Roman" w:cs="Times New Roman"/>
                <w:sz w:val="20"/>
                <w:szCs w:val="20"/>
                <w:vertAlign w:val="superscript"/>
              </w:rPr>
              <w:t>a</w:t>
            </w:r>
          </w:p>
        </w:tc>
      </w:tr>
      <w:tr w:rsidR="00295307" w:rsidRPr="00042795" w14:paraId="22CD478E"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E20FAA6"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Hepatobiliary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23CACD0" w14:textId="77777777" w:rsidR="00047E69" w:rsidRPr="004A1586" w:rsidRDefault="00047E69" w:rsidP="001D5BF7">
            <w:pPr>
              <w:jc w:val="center"/>
              <w:rPr>
                <w:rFonts w:ascii="Times New Roman" w:hAnsi="Times New Roman" w:cs="Times New Roman"/>
                <w:sz w:val="20"/>
                <w:szCs w:val="20"/>
              </w:rPr>
            </w:pP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CBE97BA" w14:textId="77777777" w:rsidR="00047E69" w:rsidRPr="004A1586" w:rsidRDefault="00047E69" w:rsidP="001D5BF7">
            <w:pPr>
              <w:jc w:val="center"/>
              <w:rPr>
                <w:rFonts w:ascii="Times New Roman" w:hAnsi="Times New Roman" w:cs="Times New Roman"/>
                <w:sz w:val="20"/>
                <w:szCs w:val="20"/>
              </w:rPr>
            </w:pP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6CFB78D" w14:textId="77777777" w:rsidR="00047E69" w:rsidRPr="004A1586" w:rsidRDefault="00047E69"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9C17529" w14:textId="77777777" w:rsidR="00047E69" w:rsidRPr="004A1586" w:rsidRDefault="00047E69"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DB89709" w14:textId="77777777" w:rsidR="00047E69" w:rsidRPr="004A1586" w:rsidRDefault="00047E69"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D8718BF" w14:textId="77777777" w:rsidR="00047E69" w:rsidRPr="004A1586" w:rsidRDefault="00C210A5" w:rsidP="001D5BF7">
            <w:pPr>
              <w:pStyle w:val="TableParagraph"/>
              <w:jc w:val="center"/>
              <w:rPr>
                <w:rFonts w:ascii="Times New Roman" w:eastAsia="Times New Roman" w:hAnsi="Times New Roman" w:cs="Times New Roman"/>
                <w:sz w:val="20"/>
                <w:szCs w:val="20"/>
              </w:rPr>
            </w:pPr>
            <w:r w:rsidRPr="004A1586">
              <w:rPr>
                <w:rFonts w:ascii="Times New Roman" w:hAnsi="Times New Roman" w:cs="Times New Roman"/>
                <w:sz w:val="20"/>
                <w:szCs w:val="20"/>
              </w:rPr>
              <w:t>Gallbladder perforation</w:t>
            </w:r>
            <w:r w:rsidRPr="00A67742">
              <w:rPr>
                <w:rFonts w:ascii="Times New Roman" w:hAnsi="Times New Roman" w:cs="Times New Roman"/>
                <w:sz w:val="20"/>
                <w:szCs w:val="20"/>
                <w:vertAlign w:val="superscript"/>
              </w:rPr>
              <w:t>a,b</w:t>
            </w:r>
          </w:p>
        </w:tc>
      </w:tr>
      <w:tr w:rsidR="00295307" w:rsidRPr="00042795" w14:paraId="760C13E2"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E66ED4F" w14:textId="2CA1B042"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Skin and subcutaneous tissue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1F3A174" w14:textId="77777777" w:rsidR="005F3594" w:rsidRPr="004A1586" w:rsidRDefault="00C210A5" w:rsidP="001D5BF7">
            <w:pPr>
              <w:pStyle w:val="TableParagraph"/>
              <w:adjustRightInd w:val="0"/>
              <w:snapToGrid w:val="0"/>
              <w:ind w:hanging="2"/>
              <w:jc w:val="center"/>
              <w:rPr>
                <w:rFonts w:ascii="Times New Roman" w:hAnsi="Times New Roman" w:cs="Times New Roman"/>
                <w:sz w:val="20"/>
                <w:szCs w:val="20"/>
              </w:rPr>
            </w:pPr>
            <w:r w:rsidRPr="004A1586">
              <w:rPr>
                <w:rFonts w:ascii="Times New Roman" w:hAnsi="Times New Roman" w:cs="Times New Roman"/>
                <w:sz w:val="20"/>
                <w:szCs w:val="20"/>
              </w:rPr>
              <w:t>Wound healing complications</w:t>
            </w:r>
            <w:r w:rsidRPr="00A67742">
              <w:rPr>
                <w:rFonts w:ascii="Times New Roman" w:hAnsi="Times New Roman" w:cs="Times New Roman"/>
                <w:sz w:val="20"/>
                <w:szCs w:val="20"/>
                <w:vertAlign w:val="superscript"/>
              </w:rPr>
              <w:t>b,d</w:t>
            </w:r>
            <w:r w:rsidRPr="004A1586">
              <w:rPr>
                <w:rFonts w:ascii="Times New Roman" w:hAnsi="Times New Roman" w:cs="Times New Roman"/>
                <w:sz w:val="20"/>
                <w:szCs w:val="20"/>
              </w:rPr>
              <w:t>,</w:t>
            </w:r>
          </w:p>
          <w:p w14:paraId="0A85B1F1" w14:textId="55025607" w:rsidR="005F3594" w:rsidRPr="004A1586" w:rsidRDefault="00C210A5" w:rsidP="001D5BF7">
            <w:pPr>
              <w:pStyle w:val="TableParagraph"/>
              <w:adjustRightInd w:val="0"/>
              <w:snapToGrid w:val="0"/>
              <w:ind w:hanging="2"/>
              <w:jc w:val="center"/>
              <w:rPr>
                <w:rFonts w:ascii="Times New Roman" w:eastAsia="Times New Roman" w:hAnsi="Times New Roman" w:cs="Times New Roman"/>
                <w:sz w:val="20"/>
                <w:szCs w:val="20"/>
              </w:rPr>
            </w:pPr>
            <w:r w:rsidRPr="004A1586">
              <w:rPr>
                <w:rFonts w:ascii="Times New Roman" w:hAnsi="Times New Roman" w:cs="Times New Roman"/>
                <w:sz w:val="20"/>
                <w:szCs w:val="20"/>
              </w:rPr>
              <w:t>exfoliative dermatitis,</w:t>
            </w:r>
          </w:p>
          <w:p w14:paraId="46081303" w14:textId="55AB1EB0" w:rsidR="005F3594" w:rsidRPr="004A1586" w:rsidRDefault="00C210A5" w:rsidP="001D5BF7">
            <w:pPr>
              <w:pStyle w:val="TableParagraph"/>
              <w:adjustRightInd w:val="0"/>
              <w:snapToGrid w:val="0"/>
              <w:ind w:hanging="2"/>
              <w:jc w:val="center"/>
              <w:rPr>
                <w:rFonts w:ascii="Times New Roman" w:hAnsi="Times New Roman" w:cs="Times New Roman"/>
                <w:sz w:val="20"/>
                <w:szCs w:val="20"/>
              </w:rPr>
            </w:pPr>
            <w:r w:rsidRPr="004A1586">
              <w:rPr>
                <w:rFonts w:ascii="Times New Roman" w:hAnsi="Times New Roman" w:cs="Times New Roman"/>
                <w:sz w:val="20"/>
                <w:szCs w:val="20"/>
              </w:rPr>
              <w:t>dry skin,</w:t>
            </w:r>
          </w:p>
          <w:p w14:paraId="2DAAE736" w14:textId="2F6ED0BD"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skin discolo</w:t>
            </w:r>
            <w:r w:rsidR="00B60875">
              <w:rPr>
                <w:rFonts w:ascii="Times New Roman" w:hAnsi="Times New Roman" w:cs="Times New Roman" w:hint="eastAsia"/>
                <w:sz w:val="20"/>
                <w:szCs w:val="20"/>
                <w:lang w:eastAsia="ko-KR"/>
              </w:rPr>
              <w:t>u</w:t>
            </w:r>
            <w:r w:rsidRPr="004A1586">
              <w:rPr>
                <w:rFonts w:ascii="Times New Roman" w:hAnsi="Times New Roman" w:cs="Times New Roman"/>
                <w:sz w:val="20"/>
                <w:szCs w:val="20"/>
              </w:rPr>
              <w:t>ration</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074D198" w14:textId="08297D72"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Palmar-plantar erythro- dysaesthesia syndrome</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C9978ED"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6C10B97"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6E6847C"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47560B7" w14:textId="77777777" w:rsidR="005F3594" w:rsidRPr="004A1586" w:rsidRDefault="005F3594" w:rsidP="001D5BF7">
            <w:pPr>
              <w:pStyle w:val="TableParagraph"/>
              <w:jc w:val="center"/>
              <w:rPr>
                <w:rFonts w:ascii="Times New Roman" w:hAnsi="Times New Roman" w:cs="Times New Roman"/>
                <w:sz w:val="20"/>
                <w:szCs w:val="20"/>
              </w:rPr>
            </w:pPr>
          </w:p>
        </w:tc>
      </w:tr>
      <w:tr w:rsidR="00295307" w:rsidRPr="00042795" w14:paraId="6D4EC22D"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A70401A" w14:textId="3ABE3BEE"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Musculoskeletal and connective tissue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F0DF82C" w14:textId="77777777" w:rsidR="005F3594" w:rsidRPr="004A1586" w:rsidRDefault="00C210A5" w:rsidP="001D5BF7">
            <w:pPr>
              <w:pStyle w:val="TableParagraph"/>
              <w:adjustRightInd w:val="0"/>
              <w:snapToGrid w:val="0"/>
              <w:jc w:val="center"/>
              <w:rPr>
                <w:rFonts w:ascii="Times New Roman" w:eastAsia="Times New Roman" w:hAnsi="Times New Roman" w:cs="Times New Roman"/>
                <w:sz w:val="20"/>
                <w:szCs w:val="20"/>
              </w:rPr>
            </w:pPr>
            <w:r w:rsidRPr="004A1586">
              <w:rPr>
                <w:rFonts w:ascii="Times New Roman" w:hAnsi="Times New Roman" w:cs="Times New Roman"/>
                <w:sz w:val="20"/>
                <w:szCs w:val="20"/>
              </w:rPr>
              <w:t>Arthralgia,</w:t>
            </w:r>
          </w:p>
          <w:p w14:paraId="7F580919" w14:textId="45470821"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myalgia</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BBC503A" w14:textId="623080A9" w:rsidR="005F3594" w:rsidRPr="004A1586" w:rsidRDefault="00225C43" w:rsidP="001D5BF7">
            <w:pPr>
              <w:pStyle w:val="TableParagraph"/>
              <w:adjustRightInd w:val="0"/>
              <w:snapToGrid w:val="0"/>
              <w:ind w:firstLine="28"/>
              <w:jc w:val="center"/>
              <w:rPr>
                <w:rFonts w:ascii="Times New Roman" w:hAnsi="Times New Roman" w:cs="Times New Roman"/>
                <w:sz w:val="20"/>
                <w:szCs w:val="20"/>
              </w:rPr>
            </w:pPr>
            <w:r w:rsidRPr="004A1586">
              <w:rPr>
                <w:rFonts w:ascii="Times New Roman" w:hAnsi="Times New Roman" w:cs="Times New Roman"/>
                <w:sz w:val="20"/>
                <w:szCs w:val="20"/>
              </w:rPr>
              <w:t>F</w:t>
            </w:r>
            <w:r w:rsidR="00C210A5" w:rsidRPr="004A1586">
              <w:rPr>
                <w:rFonts w:ascii="Times New Roman" w:hAnsi="Times New Roman" w:cs="Times New Roman"/>
                <w:sz w:val="20"/>
                <w:szCs w:val="20"/>
              </w:rPr>
              <w:t>istula</w:t>
            </w:r>
            <w:r w:rsidR="00C210A5" w:rsidRPr="00A67742">
              <w:rPr>
                <w:rFonts w:ascii="Times New Roman" w:hAnsi="Times New Roman" w:cs="Times New Roman"/>
                <w:sz w:val="20"/>
                <w:szCs w:val="20"/>
                <w:vertAlign w:val="superscript"/>
              </w:rPr>
              <w:t>b,d</w:t>
            </w:r>
            <w:r w:rsidR="00C210A5" w:rsidRPr="004A1586">
              <w:rPr>
                <w:rFonts w:ascii="Times New Roman" w:hAnsi="Times New Roman" w:cs="Times New Roman"/>
                <w:sz w:val="20"/>
                <w:szCs w:val="20"/>
              </w:rPr>
              <w:t>, muscular weakness,</w:t>
            </w:r>
          </w:p>
          <w:p w14:paraId="6F61F43F" w14:textId="79C4BED7"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back pain</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BE411F2"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7912A89"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7199765"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BD1DE6C" w14:textId="1504FE4A" w:rsidR="005F3594" w:rsidRPr="004A1586" w:rsidRDefault="00C210A5" w:rsidP="001D5BF7">
            <w:pPr>
              <w:pStyle w:val="TableParagraph"/>
              <w:adjustRightInd w:val="0"/>
              <w:snapToGrid w:val="0"/>
              <w:jc w:val="center"/>
              <w:rPr>
                <w:rFonts w:ascii="Times New Roman" w:hAnsi="Times New Roman" w:cs="Times New Roman"/>
                <w:sz w:val="20"/>
                <w:szCs w:val="20"/>
              </w:rPr>
            </w:pPr>
            <w:r w:rsidRPr="004A1586">
              <w:rPr>
                <w:rFonts w:ascii="Times New Roman" w:hAnsi="Times New Roman" w:cs="Times New Roman"/>
                <w:sz w:val="20"/>
                <w:szCs w:val="20"/>
              </w:rPr>
              <w:t>Osteonecrosis of the jaw</w:t>
            </w:r>
            <w:r w:rsidRPr="00A67742">
              <w:rPr>
                <w:rFonts w:ascii="Times New Roman" w:hAnsi="Times New Roman" w:cs="Times New Roman"/>
                <w:sz w:val="20"/>
                <w:szCs w:val="20"/>
                <w:vertAlign w:val="superscript"/>
              </w:rPr>
              <w:t>a,b</w:t>
            </w:r>
            <w:r w:rsidR="00225C43" w:rsidRPr="004A1586">
              <w:rPr>
                <w:rFonts w:ascii="Times New Roman" w:hAnsi="Times New Roman" w:cs="Times New Roman"/>
                <w:sz w:val="20"/>
                <w:szCs w:val="20"/>
              </w:rPr>
              <w:t xml:space="preserve">, </w:t>
            </w:r>
            <w:r w:rsidRPr="004A1586">
              <w:rPr>
                <w:rFonts w:ascii="Times New Roman" w:hAnsi="Times New Roman" w:cs="Times New Roman"/>
                <w:sz w:val="20"/>
                <w:szCs w:val="20"/>
              </w:rPr>
              <w:t>non-mandibular osteonecrosis</w:t>
            </w:r>
            <w:r w:rsidRPr="00A67742">
              <w:rPr>
                <w:rFonts w:ascii="Times New Roman" w:hAnsi="Times New Roman" w:cs="Times New Roman"/>
                <w:sz w:val="20"/>
                <w:szCs w:val="20"/>
                <w:vertAlign w:val="superscript"/>
              </w:rPr>
              <w:t>a,f</w:t>
            </w:r>
          </w:p>
        </w:tc>
      </w:tr>
      <w:tr w:rsidR="00295307" w:rsidRPr="00042795" w14:paraId="71EA665D"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C6EF685" w14:textId="1D2424CF"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Renal and urinary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7F4555C" w14:textId="0EA4CDE1"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Proteinuria</w:t>
            </w:r>
            <w:r w:rsidRPr="00A67742">
              <w:rPr>
                <w:rFonts w:ascii="Times New Roman" w:hAnsi="Times New Roman" w:cs="Times New Roman"/>
                <w:sz w:val="20"/>
                <w:szCs w:val="20"/>
                <w:vertAlign w:val="superscript"/>
              </w:rPr>
              <w:t>b,d</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37B8CCF" w14:textId="77777777" w:rsidR="005F3594" w:rsidRPr="004A1586" w:rsidRDefault="005F3594" w:rsidP="001D5BF7">
            <w:pPr>
              <w:jc w:val="center"/>
              <w:rPr>
                <w:rFonts w:ascii="Times New Roman" w:hAnsi="Times New Roman" w:cs="Times New Roman"/>
                <w:sz w:val="20"/>
                <w:szCs w:val="20"/>
              </w:rPr>
            </w:pP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5D58145"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ACD0403"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61FE007"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FE22677" w14:textId="77777777" w:rsidR="005F3594" w:rsidRPr="004A1586" w:rsidRDefault="005F3594" w:rsidP="001D5BF7">
            <w:pPr>
              <w:pStyle w:val="TableParagraph"/>
              <w:jc w:val="center"/>
              <w:rPr>
                <w:rFonts w:ascii="Times New Roman" w:hAnsi="Times New Roman" w:cs="Times New Roman"/>
                <w:sz w:val="20"/>
                <w:szCs w:val="20"/>
              </w:rPr>
            </w:pPr>
          </w:p>
        </w:tc>
      </w:tr>
      <w:tr w:rsidR="00295307" w:rsidRPr="00042795" w14:paraId="42E031C8"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E420A84" w14:textId="637AD873" w:rsidR="005F3594" w:rsidRPr="004A1586" w:rsidRDefault="00C210A5" w:rsidP="00CD1D39">
            <w:pPr>
              <w:pStyle w:val="TableParagraph"/>
              <w:keepNext/>
              <w:keepLines/>
              <w:jc w:val="center"/>
              <w:rPr>
                <w:rFonts w:ascii="Times New Roman" w:hAnsi="Times New Roman" w:cs="Times New Roman"/>
                <w:sz w:val="20"/>
                <w:szCs w:val="20"/>
              </w:rPr>
            </w:pPr>
            <w:r w:rsidRPr="004A1586">
              <w:rPr>
                <w:rFonts w:ascii="Times New Roman" w:hAnsi="Times New Roman" w:cs="Times New Roman"/>
                <w:sz w:val="20"/>
                <w:szCs w:val="20"/>
              </w:rPr>
              <w:lastRenderedPageBreak/>
              <w:t>Reproductive system and breast disorders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69A6E5A" w14:textId="7ACE97F4"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Ovarian failure</w:t>
            </w:r>
            <w:r w:rsidRPr="00A67742">
              <w:rPr>
                <w:rFonts w:ascii="Times New Roman" w:hAnsi="Times New Roman" w:cs="Times New Roman"/>
                <w:sz w:val="20"/>
                <w:szCs w:val="20"/>
                <w:vertAlign w:val="superscript"/>
              </w:rPr>
              <w:t>b,c,d</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D884B0A" w14:textId="7B9C20D7"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Pelvic pain</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0B37807"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01083A0"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4967E38"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C75162A" w14:textId="77777777" w:rsidR="005F3594" w:rsidRPr="004A1586" w:rsidRDefault="005F3594" w:rsidP="001D5BF7">
            <w:pPr>
              <w:pStyle w:val="TableParagraph"/>
              <w:jc w:val="center"/>
              <w:rPr>
                <w:rFonts w:ascii="Times New Roman" w:hAnsi="Times New Roman" w:cs="Times New Roman"/>
                <w:sz w:val="20"/>
                <w:szCs w:val="20"/>
              </w:rPr>
            </w:pPr>
          </w:p>
        </w:tc>
      </w:tr>
      <w:tr w:rsidR="00295307" w:rsidRPr="00042795" w14:paraId="40E343B7"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4C0E1B9" w14:textId="716678D6"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Congenital, familial, and genetic disorder</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6A026FB" w14:textId="77777777" w:rsidR="005F3594" w:rsidRPr="004A1586" w:rsidRDefault="005F3594" w:rsidP="001D5BF7">
            <w:pPr>
              <w:jc w:val="center"/>
              <w:rPr>
                <w:rFonts w:ascii="Times New Roman" w:hAnsi="Times New Roman" w:cs="Times New Roman"/>
                <w:sz w:val="20"/>
                <w:szCs w:val="20"/>
              </w:rPr>
            </w:pP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90474E6" w14:textId="77777777" w:rsidR="005F3594" w:rsidRPr="004A1586" w:rsidRDefault="005F3594" w:rsidP="001D5BF7">
            <w:pPr>
              <w:jc w:val="center"/>
              <w:rPr>
                <w:rFonts w:ascii="Times New Roman" w:hAnsi="Times New Roman" w:cs="Times New Roman"/>
                <w:sz w:val="20"/>
                <w:szCs w:val="20"/>
              </w:rPr>
            </w:pP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B05965D"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0663C88"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D2D29F0"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8AEB1AE" w14:textId="0336ABAC"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Foetal abnormalities</w:t>
            </w:r>
            <w:r w:rsidRPr="00A67742">
              <w:rPr>
                <w:rFonts w:ascii="Times New Roman" w:hAnsi="Times New Roman" w:cs="Times New Roman"/>
                <w:sz w:val="20"/>
                <w:szCs w:val="20"/>
                <w:vertAlign w:val="superscript"/>
              </w:rPr>
              <w:t>a,b</w:t>
            </w:r>
          </w:p>
        </w:tc>
      </w:tr>
      <w:tr w:rsidR="00295307" w:rsidRPr="00042795" w14:paraId="7348C404"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E9F294" w14:textId="636497C2"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General disorders and administration site conditions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51EE91D" w14:textId="77777777" w:rsidR="005F3594" w:rsidRPr="004A1586" w:rsidRDefault="00C210A5" w:rsidP="001D5BF7">
            <w:pPr>
              <w:pStyle w:val="TableParagraph"/>
              <w:adjustRightInd w:val="0"/>
              <w:snapToGrid w:val="0"/>
              <w:ind w:firstLine="2"/>
              <w:jc w:val="center"/>
              <w:rPr>
                <w:rFonts w:ascii="Times New Roman" w:hAnsi="Times New Roman" w:cs="Times New Roman"/>
                <w:sz w:val="20"/>
                <w:szCs w:val="20"/>
              </w:rPr>
            </w:pPr>
            <w:r w:rsidRPr="004A1586">
              <w:rPr>
                <w:rFonts w:ascii="Times New Roman" w:hAnsi="Times New Roman" w:cs="Times New Roman"/>
                <w:sz w:val="20"/>
                <w:szCs w:val="20"/>
              </w:rPr>
              <w:t>Asthenia,</w:t>
            </w:r>
          </w:p>
          <w:p w14:paraId="2DE1BCC7" w14:textId="2FA4CEA5" w:rsidR="005F3594" w:rsidRPr="004A1586" w:rsidRDefault="00C210A5" w:rsidP="001D5BF7">
            <w:pPr>
              <w:pStyle w:val="TableParagraph"/>
              <w:adjustRightInd w:val="0"/>
              <w:snapToGrid w:val="0"/>
              <w:ind w:firstLine="2"/>
              <w:jc w:val="center"/>
              <w:rPr>
                <w:rFonts w:ascii="Times New Roman" w:hAnsi="Times New Roman" w:cs="Times New Roman"/>
                <w:sz w:val="20"/>
                <w:szCs w:val="20"/>
              </w:rPr>
            </w:pPr>
            <w:r w:rsidRPr="004A1586">
              <w:rPr>
                <w:rFonts w:ascii="Times New Roman" w:hAnsi="Times New Roman" w:cs="Times New Roman"/>
                <w:sz w:val="20"/>
                <w:szCs w:val="20"/>
              </w:rPr>
              <w:t>fatigue,</w:t>
            </w:r>
          </w:p>
          <w:p w14:paraId="4813DD75" w14:textId="4E7019BF" w:rsidR="005F3594" w:rsidRPr="004A1586" w:rsidRDefault="00C210A5" w:rsidP="001D5BF7">
            <w:pPr>
              <w:pStyle w:val="TableParagraph"/>
              <w:adjustRightInd w:val="0"/>
              <w:snapToGrid w:val="0"/>
              <w:ind w:firstLine="2"/>
              <w:jc w:val="center"/>
              <w:rPr>
                <w:rFonts w:ascii="Times New Roman" w:hAnsi="Times New Roman" w:cs="Times New Roman"/>
                <w:sz w:val="20"/>
                <w:szCs w:val="20"/>
              </w:rPr>
            </w:pPr>
            <w:r w:rsidRPr="004A1586">
              <w:rPr>
                <w:rFonts w:ascii="Times New Roman" w:hAnsi="Times New Roman" w:cs="Times New Roman"/>
                <w:sz w:val="20"/>
                <w:szCs w:val="20"/>
              </w:rPr>
              <w:t>pyrexia, pain,</w:t>
            </w:r>
          </w:p>
          <w:p w14:paraId="760BFF50" w14:textId="3D9896C5"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mucosal inflammation</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54EA150" w14:textId="1D26387F" w:rsidR="005F3594" w:rsidRPr="004A1586" w:rsidRDefault="00C210A5" w:rsidP="001D5BF7">
            <w:pPr>
              <w:jc w:val="center"/>
              <w:rPr>
                <w:rFonts w:ascii="Times New Roman" w:hAnsi="Times New Roman" w:cs="Times New Roman"/>
                <w:sz w:val="20"/>
                <w:szCs w:val="20"/>
              </w:rPr>
            </w:pPr>
            <w:r w:rsidRPr="004A1586">
              <w:rPr>
                <w:rFonts w:ascii="Times New Roman" w:hAnsi="Times New Roman" w:cs="Times New Roman"/>
                <w:sz w:val="20"/>
                <w:szCs w:val="20"/>
              </w:rPr>
              <w:t>Lethargy</w:t>
            </w: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48F60A3"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B7B409B"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26A49A9"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2989995" w14:textId="77777777" w:rsidR="005F3594" w:rsidRPr="004A1586" w:rsidRDefault="005F3594" w:rsidP="001D5BF7">
            <w:pPr>
              <w:pStyle w:val="TableParagraph"/>
              <w:jc w:val="center"/>
              <w:rPr>
                <w:rFonts w:ascii="Times New Roman" w:hAnsi="Times New Roman" w:cs="Times New Roman"/>
                <w:sz w:val="20"/>
                <w:szCs w:val="20"/>
              </w:rPr>
            </w:pPr>
          </w:p>
        </w:tc>
      </w:tr>
      <w:tr w:rsidR="00295307" w:rsidRPr="00042795" w14:paraId="5DC80948" w14:textId="77777777" w:rsidTr="00310BF1">
        <w:tc>
          <w:tcPr>
            <w:tcW w:w="137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024909A" w14:textId="5E18FC1A" w:rsidR="005F3594" w:rsidRPr="004A1586" w:rsidRDefault="00C210A5" w:rsidP="001D5BF7">
            <w:pPr>
              <w:pStyle w:val="TableParagraph"/>
              <w:jc w:val="center"/>
              <w:rPr>
                <w:rFonts w:ascii="Times New Roman" w:hAnsi="Times New Roman" w:cs="Times New Roman"/>
                <w:sz w:val="20"/>
                <w:szCs w:val="20"/>
              </w:rPr>
            </w:pPr>
            <w:r w:rsidRPr="004A1586">
              <w:rPr>
                <w:rFonts w:ascii="Times New Roman" w:hAnsi="Times New Roman" w:cs="Times New Roman"/>
                <w:sz w:val="20"/>
                <w:szCs w:val="20"/>
              </w:rPr>
              <w:t>Investigations</w:t>
            </w:r>
          </w:p>
        </w:tc>
        <w:tc>
          <w:tcPr>
            <w:tcW w:w="1708"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5CC0152" w14:textId="7F8C4F54" w:rsidR="005F3594" w:rsidRPr="004A1586" w:rsidRDefault="00C210A5" w:rsidP="001D5BF7">
            <w:pPr>
              <w:pStyle w:val="TableParagraph"/>
              <w:adjustRightInd w:val="0"/>
              <w:snapToGrid w:val="0"/>
              <w:ind w:firstLine="2"/>
              <w:jc w:val="center"/>
              <w:rPr>
                <w:rFonts w:ascii="Times New Roman" w:hAnsi="Times New Roman" w:cs="Times New Roman"/>
                <w:sz w:val="20"/>
                <w:szCs w:val="20"/>
              </w:rPr>
            </w:pPr>
            <w:r w:rsidRPr="004A1586">
              <w:rPr>
                <w:rFonts w:ascii="Times New Roman" w:hAnsi="Times New Roman" w:cs="Times New Roman"/>
                <w:sz w:val="20"/>
                <w:szCs w:val="20"/>
              </w:rPr>
              <w:t>Weight decreased</w:t>
            </w:r>
          </w:p>
        </w:tc>
        <w:tc>
          <w:tcPr>
            <w:tcW w:w="148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E5B620F" w14:textId="77777777" w:rsidR="005F3594" w:rsidRPr="004A1586" w:rsidRDefault="005F3594" w:rsidP="001D5BF7">
            <w:pPr>
              <w:jc w:val="center"/>
              <w:rPr>
                <w:rFonts w:ascii="Times New Roman" w:hAnsi="Times New Roman" w:cs="Times New Roman"/>
                <w:sz w:val="20"/>
                <w:szCs w:val="20"/>
              </w:rPr>
            </w:pPr>
          </w:p>
        </w:tc>
        <w:tc>
          <w:tcPr>
            <w:tcW w:w="1093"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2CDB54B" w14:textId="77777777" w:rsidR="005F3594" w:rsidRPr="004A1586" w:rsidRDefault="005F3594" w:rsidP="001D5BF7">
            <w:pPr>
              <w:jc w:val="center"/>
              <w:rPr>
                <w:rFonts w:ascii="Times New Roman" w:hAnsi="Times New Roman" w:cs="Times New Roman"/>
                <w:sz w:val="20"/>
                <w:szCs w:val="20"/>
              </w:rPr>
            </w:pPr>
          </w:p>
        </w:tc>
        <w:tc>
          <w:tcPr>
            <w:tcW w:w="129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8B0D41D" w14:textId="77777777" w:rsidR="005F3594" w:rsidRPr="004A1586" w:rsidRDefault="005F3594" w:rsidP="001D5BF7">
            <w:pPr>
              <w:jc w:val="center"/>
              <w:rPr>
                <w:rFonts w:ascii="Times New Roman" w:hAnsi="Times New Roman" w:cs="Times New Roman"/>
                <w:sz w:val="20"/>
                <w:szCs w:val="20"/>
              </w:rPr>
            </w:pPr>
          </w:p>
        </w:tc>
        <w:tc>
          <w:tcPr>
            <w:tcW w:w="1125"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2C63C85" w14:textId="77777777" w:rsidR="005F3594" w:rsidRPr="004A1586" w:rsidRDefault="005F3594" w:rsidP="001D5BF7">
            <w:pPr>
              <w:jc w:val="center"/>
              <w:rPr>
                <w:rFonts w:ascii="Times New Roman" w:hAnsi="Times New Roman" w:cs="Times New Roman"/>
                <w:sz w:val="20"/>
                <w:szCs w:val="20"/>
              </w:rPr>
            </w:pPr>
          </w:p>
        </w:tc>
        <w:tc>
          <w:tcPr>
            <w:tcW w:w="140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A0C87F1" w14:textId="77777777" w:rsidR="005F3594" w:rsidRPr="004A1586" w:rsidRDefault="005F3594" w:rsidP="001D5BF7">
            <w:pPr>
              <w:pStyle w:val="TableParagraph"/>
              <w:jc w:val="center"/>
              <w:rPr>
                <w:rFonts w:ascii="Times New Roman" w:hAnsi="Times New Roman" w:cs="Times New Roman"/>
                <w:sz w:val="20"/>
                <w:szCs w:val="20"/>
              </w:rPr>
            </w:pPr>
          </w:p>
        </w:tc>
      </w:tr>
    </w:tbl>
    <w:p w14:paraId="03F4E1D9" w14:textId="77777777" w:rsidR="00047E69" w:rsidRPr="00962A57" w:rsidRDefault="00C210A5" w:rsidP="00F34602">
      <w:pPr>
        <w:adjustRightInd w:val="0"/>
        <w:snapToGrid w:val="0"/>
        <w:rPr>
          <w:rFonts w:ascii="Times New Roman" w:eastAsia="Times New Roman" w:hAnsi="Times New Roman" w:cs="Times New Roman"/>
          <w:sz w:val="20"/>
          <w:szCs w:val="20"/>
        </w:rPr>
      </w:pPr>
      <w:r w:rsidRPr="00962A57">
        <w:rPr>
          <w:rFonts w:ascii="Times New Roman"/>
          <w:sz w:val="20"/>
          <w:szCs w:val="20"/>
        </w:rPr>
        <w:t>When events were noted as both all grade and grade 3-5 adverse drug reactions in clinical trials, the highest frequency observed in patients has been reported. Data are unadjusted for the differential time on treatment.</w:t>
      </w:r>
    </w:p>
    <w:p w14:paraId="729147E4" w14:textId="21DCCA00" w:rsidR="00047E69" w:rsidRPr="00962A57" w:rsidRDefault="00C210A5" w:rsidP="00F34602">
      <w:pPr>
        <w:adjustRightInd w:val="0"/>
        <w:snapToGrid w:val="0"/>
        <w:rPr>
          <w:rFonts w:ascii="Times New Roman" w:eastAsia="Times New Roman" w:hAnsi="Times New Roman" w:cs="Times New Roman"/>
          <w:sz w:val="20"/>
          <w:szCs w:val="20"/>
        </w:rPr>
      </w:pPr>
      <w:r w:rsidRPr="00962A57">
        <w:rPr>
          <w:rFonts w:ascii="Times New Roman"/>
          <w:sz w:val="20"/>
          <w:szCs w:val="20"/>
          <w:vertAlign w:val="superscript"/>
        </w:rPr>
        <w:t>a</w:t>
      </w:r>
      <w:r w:rsidRPr="00962A57">
        <w:rPr>
          <w:rFonts w:ascii="Times New Roman"/>
          <w:sz w:val="20"/>
          <w:szCs w:val="20"/>
        </w:rPr>
        <w:t xml:space="preserve"> For further information please refer to Table 3 'Adverse reactions reported in post</w:t>
      </w:r>
      <w:r w:rsidR="00FD0731" w:rsidRPr="00962A57">
        <w:rPr>
          <w:rFonts w:ascii="Times New Roman"/>
          <w:sz w:val="20"/>
          <w:szCs w:val="20"/>
        </w:rPr>
        <w:noBreakHyphen/>
      </w:r>
      <w:r w:rsidRPr="00962A57">
        <w:rPr>
          <w:rFonts w:ascii="Times New Roman"/>
          <w:sz w:val="20"/>
          <w:szCs w:val="20"/>
        </w:rPr>
        <w:t>marketing setting.'</w:t>
      </w:r>
    </w:p>
    <w:p w14:paraId="4A7FDCB4" w14:textId="3F8225ED" w:rsidR="00047E69" w:rsidRPr="00962A57" w:rsidRDefault="00C210A5" w:rsidP="00F34602">
      <w:pPr>
        <w:adjustRightInd w:val="0"/>
        <w:snapToGrid w:val="0"/>
        <w:rPr>
          <w:rFonts w:ascii="Times New Roman" w:eastAsia="Times New Roman" w:hAnsi="Times New Roman" w:cs="Times New Roman"/>
          <w:sz w:val="20"/>
          <w:szCs w:val="20"/>
        </w:rPr>
      </w:pPr>
      <w:r w:rsidRPr="00962A57">
        <w:rPr>
          <w:rFonts w:ascii="Times New Roman"/>
          <w:sz w:val="20"/>
          <w:szCs w:val="20"/>
          <w:vertAlign w:val="superscript"/>
        </w:rPr>
        <w:t>b</w:t>
      </w:r>
      <w:r w:rsidRPr="00962A57">
        <w:rPr>
          <w:rFonts w:ascii="Times New Roman"/>
          <w:sz w:val="20"/>
          <w:szCs w:val="20"/>
        </w:rPr>
        <w:t xml:space="preserve"> Terms represent a group of events that describe a medical concept rather than a single condition or MedDRA (Medical Dictionary for Regulatory Activities) preferred term. This group of medical terms may involve the same underlying pathophysiology (e.g. arterial thromboembolic reactions include cerebrovascular accident, myocardial infarction, transient ischaemic attack and other arterial thromboembolic reactions).</w:t>
      </w:r>
    </w:p>
    <w:p w14:paraId="2642CE5E" w14:textId="77777777" w:rsidR="00047E69" w:rsidRPr="00962A57" w:rsidRDefault="00C210A5" w:rsidP="00F34602">
      <w:pPr>
        <w:adjustRightInd w:val="0"/>
        <w:snapToGrid w:val="0"/>
        <w:rPr>
          <w:rFonts w:ascii="Times New Roman" w:eastAsia="Times New Roman" w:hAnsi="Times New Roman" w:cs="Times New Roman"/>
          <w:sz w:val="20"/>
          <w:szCs w:val="20"/>
        </w:rPr>
      </w:pPr>
      <w:r w:rsidRPr="00962A57">
        <w:rPr>
          <w:rFonts w:ascii="Times New Roman"/>
          <w:sz w:val="20"/>
          <w:szCs w:val="20"/>
          <w:vertAlign w:val="superscript"/>
        </w:rPr>
        <w:t>c</w:t>
      </w:r>
      <w:r w:rsidRPr="00962A57">
        <w:rPr>
          <w:rFonts w:ascii="Times New Roman"/>
          <w:sz w:val="20"/>
          <w:szCs w:val="20"/>
        </w:rPr>
        <w:t xml:space="preserve"> Based on a substudy from NSABP C-08 with 295 patients</w:t>
      </w:r>
    </w:p>
    <w:p w14:paraId="6BF3B1FB" w14:textId="77777777" w:rsidR="00047E69" w:rsidRPr="00962A57" w:rsidRDefault="00C210A5" w:rsidP="00F34602">
      <w:pPr>
        <w:adjustRightInd w:val="0"/>
        <w:snapToGrid w:val="0"/>
        <w:rPr>
          <w:rFonts w:ascii="Times New Roman" w:eastAsia="Times New Roman" w:hAnsi="Times New Roman" w:cs="Times New Roman"/>
          <w:sz w:val="20"/>
          <w:szCs w:val="20"/>
        </w:rPr>
      </w:pPr>
      <w:r w:rsidRPr="00962A57">
        <w:rPr>
          <w:rFonts w:ascii="Times New Roman"/>
          <w:sz w:val="20"/>
          <w:szCs w:val="20"/>
          <w:vertAlign w:val="superscript"/>
        </w:rPr>
        <w:t>d</w:t>
      </w:r>
      <w:r w:rsidRPr="00962A57">
        <w:rPr>
          <w:rFonts w:ascii="Times New Roman"/>
          <w:sz w:val="20"/>
          <w:szCs w:val="20"/>
        </w:rPr>
        <w:t xml:space="preserve"> For additional information refer below within section "Further information on selected serious adverse reactions."</w:t>
      </w:r>
    </w:p>
    <w:p w14:paraId="7EFFCF1C" w14:textId="230F09DA" w:rsidR="00047E69" w:rsidRPr="00962A57" w:rsidRDefault="00C210A5" w:rsidP="00F34602">
      <w:pPr>
        <w:adjustRightInd w:val="0"/>
        <w:snapToGrid w:val="0"/>
        <w:rPr>
          <w:rFonts w:ascii="Times New Roman" w:eastAsia="Times New Roman" w:hAnsi="Times New Roman" w:cs="Times New Roman"/>
          <w:sz w:val="20"/>
          <w:szCs w:val="20"/>
        </w:rPr>
      </w:pPr>
      <w:r w:rsidRPr="00962A57">
        <w:rPr>
          <w:rFonts w:ascii="Times New Roman"/>
          <w:sz w:val="20"/>
          <w:szCs w:val="20"/>
          <w:vertAlign w:val="superscript"/>
        </w:rPr>
        <w:t>e</w:t>
      </w:r>
      <w:r w:rsidRPr="00962A57">
        <w:rPr>
          <w:rFonts w:ascii="Times New Roman"/>
          <w:sz w:val="20"/>
          <w:szCs w:val="20"/>
        </w:rPr>
        <w:t xml:space="preserve"> Recto</w:t>
      </w:r>
      <w:r w:rsidR="00FD0731" w:rsidRPr="00962A57">
        <w:rPr>
          <w:rFonts w:ascii="Times New Roman"/>
          <w:sz w:val="20"/>
          <w:szCs w:val="20"/>
        </w:rPr>
        <w:noBreakHyphen/>
      </w:r>
      <w:r w:rsidRPr="00962A57">
        <w:rPr>
          <w:rFonts w:ascii="Times New Roman"/>
          <w:sz w:val="20"/>
          <w:szCs w:val="20"/>
        </w:rPr>
        <w:t>vaginal fistulae are the most common fistulae in the GI</w:t>
      </w:r>
      <w:r w:rsidR="00FD0731" w:rsidRPr="00962A57">
        <w:rPr>
          <w:rFonts w:ascii="Times New Roman"/>
          <w:sz w:val="20"/>
          <w:szCs w:val="20"/>
        </w:rPr>
        <w:noBreakHyphen/>
      </w:r>
      <w:r w:rsidRPr="00962A57">
        <w:rPr>
          <w:rFonts w:ascii="Times New Roman"/>
          <w:sz w:val="20"/>
          <w:szCs w:val="20"/>
        </w:rPr>
        <w:t>vaginal fistula category.</w:t>
      </w:r>
    </w:p>
    <w:p w14:paraId="36B958CA" w14:textId="1B63C1AA" w:rsidR="00047E69" w:rsidRDefault="00C210A5" w:rsidP="00F34602">
      <w:pPr>
        <w:adjustRightInd w:val="0"/>
        <w:snapToGrid w:val="0"/>
        <w:rPr>
          <w:rFonts w:ascii="Times New Roman"/>
          <w:sz w:val="20"/>
          <w:szCs w:val="20"/>
        </w:rPr>
      </w:pPr>
      <w:r w:rsidRPr="00962A57">
        <w:rPr>
          <w:rFonts w:ascii="Times New Roman"/>
          <w:sz w:val="20"/>
          <w:szCs w:val="20"/>
          <w:vertAlign w:val="superscript"/>
        </w:rPr>
        <w:t>f</w:t>
      </w:r>
      <w:r w:rsidRPr="00962A57">
        <w:rPr>
          <w:rFonts w:ascii="Times New Roman"/>
          <w:sz w:val="20"/>
          <w:szCs w:val="20"/>
        </w:rPr>
        <w:t xml:space="preserve"> Observed in p</w:t>
      </w:r>
      <w:r w:rsidRPr="00962A57">
        <w:rPr>
          <w:rFonts w:ascii="Times New Roman" w:hint="eastAsia"/>
          <w:sz w:val="20"/>
          <w:szCs w:val="20"/>
          <w:lang w:eastAsia="ko-KR"/>
        </w:rPr>
        <w:t>a</w:t>
      </w:r>
      <w:r w:rsidRPr="00962A57">
        <w:rPr>
          <w:rFonts w:ascii="Times New Roman"/>
          <w:sz w:val="20"/>
          <w:szCs w:val="20"/>
        </w:rPr>
        <w:t>ediatric population only</w:t>
      </w:r>
    </w:p>
    <w:p w14:paraId="6EEB16AE" w14:textId="77777777" w:rsidR="00B61EB7" w:rsidRPr="005E1E6B" w:rsidRDefault="00B61EB7" w:rsidP="005E1E6B">
      <w:pPr>
        <w:adjustRightInd w:val="0"/>
        <w:snapToGrid w:val="0"/>
        <w:rPr>
          <w:rFonts w:ascii="Times New Roman"/>
          <w:sz w:val="20"/>
          <w:szCs w:val="20"/>
        </w:rPr>
      </w:pPr>
    </w:p>
    <w:p w14:paraId="51AA677D" w14:textId="4C2D2EC6"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2</w:t>
      </w:r>
      <w:r w:rsidR="00536B4F">
        <w:rPr>
          <w:rFonts w:ascii="Times New Roman" w:hAnsi="Times New Roman" w:cs="Times New Roman"/>
          <w:b/>
          <w:bCs/>
        </w:rPr>
        <w:tab/>
      </w:r>
      <w:r w:rsidRPr="00536B4F">
        <w:rPr>
          <w:rFonts w:ascii="Times New Roman" w:hAnsi="Times New Roman" w:cs="Times New Roman"/>
          <w:b/>
          <w:bCs/>
        </w:rPr>
        <w:t xml:space="preserve">Severe </w:t>
      </w:r>
      <w:r w:rsidR="00F85B2B" w:rsidRPr="00536B4F">
        <w:rPr>
          <w:rFonts w:ascii="Times New Roman" w:hAnsi="Times New Roman" w:cs="Times New Roman"/>
          <w:b/>
          <w:bCs/>
        </w:rPr>
        <w:t>a</w:t>
      </w:r>
      <w:r w:rsidRPr="00536B4F">
        <w:rPr>
          <w:rFonts w:ascii="Times New Roman" w:hAnsi="Times New Roman" w:cs="Times New Roman"/>
          <w:b/>
          <w:bCs/>
        </w:rPr>
        <w:t xml:space="preserve">dverse </w:t>
      </w:r>
      <w:r w:rsidR="00F85B2B" w:rsidRPr="00536B4F">
        <w:rPr>
          <w:rFonts w:ascii="Times New Roman" w:hAnsi="Times New Roman" w:cs="Times New Roman"/>
          <w:b/>
          <w:bCs/>
        </w:rPr>
        <w:t>r</w:t>
      </w:r>
      <w:r w:rsidRPr="00536B4F">
        <w:rPr>
          <w:rFonts w:ascii="Times New Roman" w:hAnsi="Times New Roman" w:cs="Times New Roman"/>
          <w:b/>
          <w:bCs/>
        </w:rPr>
        <w:t xml:space="preserve">eactions by </w:t>
      </w:r>
      <w:r w:rsidR="00F85B2B" w:rsidRPr="00536B4F">
        <w:rPr>
          <w:rFonts w:ascii="Times New Roman" w:hAnsi="Times New Roman" w:cs="Times New Roman"/>
          <w:b/>
          <w:bCs/>
        </w:rPr>
        <w:t>f</w:t>
      </w:r>
      <w:r w:rsidRPr="00536B4F">
        <w:rPr>
          <w:rFonts w:ascii="Times New Roman" w:hAnsi="Times New Roman" w:cs="Times New Roman"/>
          <w:b/>
          <w:bCs/>
        </w:rPr>
        <w:t>requency</w:t>
      </w:r>
    </w:p>
    <w:p w14:paraId="201DF03B" w14:textId="77777777" w:rsidR="002F3873" w:rsidRPr="005E1E6B" w:rsidRDefault="002F3873" w:rsidP="005E4476">
      <w:pPr>
        <w:rPr>
          <w:b/>
          <w:bCs/>
        </w:rPr>
      </w:pPr>
    </w:p>
    <w:tbl>
      <w:tblPr>
        <w:tblStyle w:val="TableNormal0"/>
        <w:tblW w:w="5237" w:type="pct"/>
        <w:tblLayout w:type="fixed"/>
        <w:tblCellMar>
          <w:left w:w="108" w:type="dxa"/>
          <w:right w:w="108" w:type="dxa"/>
        </w:tblCellMar>
        <w:tblLook w:val="01E0" w:firstRow="1" w:lastRow="1" w:firstColumn="1" w:lastColumn="1" w:noHBand="0" w:noVBand="0"/>
      </w:tblPr>
      <w:tblGrid>
        <w:gridCol w:w="1412"/>
        <w:gridCol w:w="1354"/>
        <w:gridCol w:w="1764"/>
        <w:gridCol w:w="1182"/>
        <w:gridCol w:w="1210"/>
        <w:gridCol w:w="756"/>
        <w:gridCol w:w="1814"/>
      </w:tblGrid>
      <w:tr w:rsidR="004A79F9" w:rsidRPr="005E1E6B" w14:paraId="0028642E" w14:textId="77777777" w:rsidTr="00881AF2">
        <w:trPr>
          <w:cantSplit/>
          <w:tblHeader/>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B3E6C06" w14:textId="77777777"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System organ class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4C311BF" w14:textId="4C845153"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 xml:space="preserve">Very </w:t>
            </w:r>
            <w:r w:rsidR="000E181C" w:rsidRPr="005E1E6B">
              <w:rPr>
                <w:rFonts w:ascii="Times New Roman" w:hAnsi="Times New Roman" w:cs="Times New Roman"/>
                <w:b/>
                <w:bCs/>
                <w:sz w:val="20"/>
                <w:szCs w:val="20"/>
              </w:rPr>
              <w:t>c</w:t>
            </w:r>
            <w:r w:rsidRPr="005E1E6B">
              <w:rPr>
                <w:rFonts w:ascii="Times New Roman" w:hAnsi="Times New Roman" w:cs="Times New Roman"/>
                <w:b/>
                <w:bCs/>
                <w:sz w:val="20"/>
                <w:szCs w:val="20"/>
              </w:rPr>
              <w:t>ommon</w:t>
            </w: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A8CB80F" w14:textId="77777777"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Common</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37DF1F6" w14:textId="15C66FDE"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Uncommon</w:t>
            </w: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1B85463" w14:textId="77777777"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Rare</w:t>
            </w: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78A5AFE" w14:textId="1AD2639C"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 xml:space="preserve">Very </w:t>
            </w:r>
            <w:r w:rsidR="000E181C" w:rsidRPr="005E1E6B">
              <w:rPr>
                <w:rFonts w:ascii="Times New Roman" w:hAnsi="Times New Roman" w:cs="Times New Roman"/>
                <w:b/>
                <w:bCs/>
                <w:sz w:val="20"/>
                <w:szCs w:val="20"/>
              </w:rPr>
              <w:t>r</w:t>
            </w:r>
            <w:r w:rsidRPr="005E1E6B">
              <w:rPr>
                <w:rFonts w:ascii="Times New Roman" w:hAnsi="Times New Roman" w:cs="Times New Roman"/>
                <w:b/>
                <w:bCs/>
                <w:sz w:val="20"/>
                <w:szCs w:val="20"/>
              </w:rPr>
              <w:t>are</w:t>
            </w: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1D19406" w14:textId="3AB27A70" w:rsidR="00047E69" w:rsidRPr="005E1E6B" w:rsidRDefault="00C210A5" w:rsidP="005E1E6B">
            <w:pPr>
              <w:pStyle w:val="TableParagraph"/>
              <w:jc w:val="center"/>
              <w:rPr>
                <w:rFonts w:ascii="Times New Roman" w:eastAsia="Times New Roman" w:hAnsi="Times New Roman" w:cs="Times New Roman"/>
                <w:b/>
                <w:bCs/>
                <w:sz w:val="20"/>
                <w:szCs w:val="20"/>
              </w:rPr>
            </w:pPr>
            <w:r w:rsidRPr="005E1E6B">
              <w:rPr>
                <w:rFonts w:ascii="Times New Roman" w:hAnsi="Times New Roman" w:cs="Times New Roman"/>
                <w:b/>
                <w:bCs/>
                <w:sz w:val="20"/>
                <w:szCs w:val="20"/>
              </w:rPr>
              <w:t xml:space="preserve">Frequency </w:t>
            </w:r>
            <w:r w:rsidR="000E181C" w:rsidRPr="005E1E6B">
              <w:rPr>
                <w:rFonts w:ascii="Times New Roman" w:hAnsi="Times New Roman" w:cs="Times New Roman"/>
                <w:b/>
                <w:bCs/>
                <w:sz w:val="20"/>
                <w:szCs w:val="20"/>
              </w:rPr>
              <w:t>n</w:t>
            </w:r>
            <w:r w:rsidRPr="005E1E6B">
              <w:rPr>
                <w:rFonts w:ascii="Times New Roman" w:hAnsi="Times New Roman" w:cs="Times New Roman"/>
                <w:b/>
                <w:bCs/>
                <w:sz w:val="20"/>
                <w:szCs w:val="20"/>
              </w:rPr>
              <w:t xml:space="preserve">ot </w:t>
            </w:r>
            <w:r w:rsidR="000E181C" w:rsidRPr="005E1E6B">
              <w:rPr>
                <w:rFonts w:ascii="Times New Roman" w:hAnsi="Times New Roman" w:cs="Times New Roman"/>
                <w:b/>
                <w:bCs/>
                <w:sz w:val="20"/>
                <w:szCs w:val="20"/>
              </w:rPr>
              <w:t>k</w:t>
            </w:r>
            <w:r w:rsidRPr="005E1E6B">
              <w:rPr>
                <w:rFonts w:ascii="Times New Roman" w:hAnsi="Times New Roman" w:cs="Times New Roman"/>
                <w:b/>
                <w:bCs/>
                <w:sz w:val="20"/>
                <w:szCs w:val="20"/>
              </w:rPr>
              <w:t>nown</w:t>
            </w:r>
          </w:p>
        </w:tc>
      </w:tr>
      <w:tr w:rsidR="004A79F9" w:rsidRPr="005E1E6B" w14:paraId="121FB188"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897DC74"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Infections and infestations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4F11A44" w14:textId="77777777" w:rsidR="00047E69" w:rsidRPr="005E1E6B" w:rsidRDefault="00047E69" w:rsidP="005E1E6B">
            <w:pPr>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0899FE9" w14:textId="7A7245CF"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Sepsis, </w:t>
            </w:r>
            <w:r w:rsidR="003B4193" w:rsidRPr="005E1E6B">
              <w:rPr>
                <w:rFonts w:ascii="Times New Roman" w:hAnsi="Times New Roman" w:cs="Times New Roman"/>
                <w:sz w:val="20"/>
                <w:szCs w:val="20"/>
              </w:rPr>
              <w:t>c</w:t>
            </w:r>
            <w:r w:rsidRPr="005E1E6B">
              <w:rPr>
                <w:rFonts w:ascii="Times New Roman" w:hAnsi="Times New Roman" w:cs="Times New Roman"/>
                <w:sz w:val="20"/>
                <w:szCs w:val="20"/>
              </w:rPr>
              <w:t xml:space="preserve">ellulitis, </w:t>
            </w:r>
            <w:r w:rsidR="003B4193" w:rsidRPr="005E1E6B">
              <w:rPr>
                <w:rFonts w:ascii="Times New Roman" w:hAnsi="Times New Roman" w:cs="Times New Roman"/>
                <w:sz w:val="20"/>
                <w:szCs w:val="20"/>
              </w:rPr>
              <w:t>a</w:t>
            </w:r>
            <w:r w:rsidRPr="005E1E6B">
              <w:rPr>
                <w:rFonts w:ascii="Times New Roman" w:hAnsi="Times New Roman" w:cs="Times New Roman"/>
                <w:sz w:val="20"/>
                <w:szCs w:val="20"/>
              </w:rPr>
              <w:t>bscess</w:t>
            </w:r>
            <w:r w:rsidRPr="009E4213">
              <w:rPr>
                <w:rFonts w:ascii="Times New Roman" w:hAnsi="Times New Roman" w:cs="Times New Roman"/>
                <w:sz w:val="20"/>
                <w:szCs w:val="20"/>
                <w:vertAlign w:val="superscript"/>
              </w:rPr>
              <w:t>a,b</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i</w:t>
            </w:r>
            <w:r w:rsidRPr="005E1E6B">
              <w:rPr>
                <w:rFonts w:ascii="Times New Roman" w:hAnsi="Times New Roman" w:cs="Times New Roman"/>
                <w:sz w:val="20"/>
                <w:szCs w:val="20"/>
              </w:rPr>
              <w:t xml:space="preserve">nfection, </w:t>
            </w:r>
            <w:r w:rsidR="003B4193" w:rsidRPr="005E1E6B">
              <w:rPr>
                <w:rFonts w:ascii="Times New Roman" w:hAnsi="Times New Roman" w:cs="Times New Roman"/>
                <w:sz w:val="20"/>
                <w:szCs w:val="20"/>
              </w:rPr>
              <w:t>u</w:t>
            </w:r>
            <w:r w:rsidRPr="005E1E6B">
              <w:rPr>
                <w:rFonts w:ascii="Times New Roman" w:hAnsi="Times New Roman" w:cs="Times New Roman"/>
                <w:sz w:val="20"/>
                <w:szCs w:val="20"/>
              </w:rPr>
              <w:t>rinary tract infection</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AC87521"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7423167"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16E2205"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91BFF59"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Necrotising fasciitis</w:t>
            </w:r>
            <w:r w:rsidRPr="009E4213">
              <w:rPr>
                <w:rFonts w:ascii="Times New Roman" w:hAnsi="Times New Roman" w:cs="Times New Roman"/>
                <w:sz w:val="20"/>
                <w:szCs w:val="20"/>
                <w:vertAlign w:val="superscript"/>
              </w:rPr>
              <w:t>c</w:t>
            </w:r>
          </w:p>
        </w:tc>
      </w:tr>
      <w:tr w:rsidR="004A79F9" w:rsidRPr="005E1E6B" w14:paraId="3198A7DF"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4EA6AB9"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Blood and lymphatic system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00D1D84" w14:textId="21E0C8CE"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Febrile neutropenia, </w:t>
            </w:r>
            <w:r w:rsidR="003B4193" w:rsidRPr="005E1E6B">
              <w:rPr>
                <w:rFonts w:ascii="Times New Roman" w:hAnsi="Times New Roman" w:cs="Times New Roman"/>
                <w:sz w:val="20"/>
                <w:szCs w:val="20"/>
              </w:rPr>
              <w:t>l</w:t>
            </w:r>
            <w:r w:rsidRPr="005E1E6B">
              <w:rPr>
                <w:rFonts w:ascii="Times New Roman" w:hAnsi="Times New Roman" w:cs="Times New Roman"/>
                <w:sz w:val="20"/>
                <w:szCs w:val="20"/>
              </w:rPr>
              <w:t xml:space="preserve">eucopenia, </w:t>
            </w:r>
            <w:r w:rsidR="003B4193" w:rsidRPr="005E1E6B">
              <w:rPr>
                <w:rFonts w:ascii="Times New Roman" w:hAnsi="Times New Roman" w:cs="Times New Roman"/>
                <w:sz w:val="20"/>
                <w:szCs w:val="20"/>
              </w:rPr>
              <w:t>n</w:t>
            </w:r>
            <w:r w:rsidRPr="005E1E6B">
              <w:rPr>
                <w:rFonts w:ascii="Times New Roman" w:hAnsi="Times New Roman" w:cs="Times New Roman"/>
                <w:sz w:val="20"/>
                <w:szCs w:val="20"/>
              </w:rPr>
              <w:t>eutropenia</w:t>
            </w:r>
            <w:r w:rsidRPr="009E4213">
              <w:rPr>
                <w:rFonts w:ascii="Times New Roman" w:hAnsi="Times New Roman" w:cs="Times New Roman"/>
                <w:sz w:val="20"/>
                <w:szCs w:val="20"/>
                <w:vertAlign w:val="superscript"/>
              </w:rPr>
              <w:t>a</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t</w:t>
            </w:r>
            <w:r w:rsidRPr="005E1E6B">
              <w:rPr>
                <w:rFonts w:ascii="Times New Roman" w:hAnsi="Times New Roman" w:cs="Times New Roman"/>
                <w:sz w:val="20"/>
                <w:szCs w:val="20"/>
              </w:rPr>
              <w:t>hrombo- cytopenia</w:t>
            </w: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232106A" w14:textId="47844999"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Anaemia, </w:t>
            </w:r>
            <w:r w:rsidR="003B4193" w:rsidRPr="005E1E6B">
              <w:rPr>
                <w:rFonts w:ascii="Times New Roman" w:hAnsi="Times New Roman" w:cs="Times New Roman"/>
                <w:sz w:val="20"/>
                <w:szCs w:val="20"/>
              </w:rPr>
              <w:t>l</w:t>
            </w:r>
            <w:r w:rsidRPr="005E1E6B">
              <w:rPr>
                <w:rFonts w:ascii="Times New Roman" w:hAnsi="Times New Roman" w:cs="Times New Roman"/>
                <w:sz w:val="20"/>
                <w:szCs w:val="20"/>
              </w:rPr>
              <w:t>ymphopenia</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5ACACF1"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736BBF"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2F96231"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438C98B" w14:textId="77777777" w:rsidR="00047E69" w:rsidRPr="005E1E6B" w:rsidRDefault="00047E69" w:rsidP="005E1E6B">
            <w:pPr>
              <w:jc w:val="center"/>
              <w:rPr>
                <w:rFonts w:ascii="Times New Roman" w:hAnsi="Times New Roman" w:cs="Times New Roman"/>
                <w:sz w:val="20"/>
                <w:szCs w:val="20"/>
              </w:rPr>
            </w:pPr>
          </w:p>
        </w:tc>
      </w:tr>
      <w:tr w:rsidR="004A79F9" w:rsidRPr="005E1E6B" w14:paraId="305D66D9"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86CEFB3"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Immune system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6349021" w14:textId="77777777" w:rsidR="00047E69" w:rsidRPr="005E1E6B" w:rsidRDefault="00047E69" w:rsidP="005E1E6B">
            <w:pPr>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989FD41" w14:textId="4357768F" w:rsidR="00047E69" w:rsidRPr="005E1E6B" w:rsidRDefault="00D46C5C" w:rsidP="005E1E6B">
            <w:pPr>
              <w:jc w:val="center"/>
              <w:rPr>
                <w:rFonts w:ascii="Times New Roman" w:hAnsi="Times New Roman" w:cs="Times New Roman"/>
                <w:sz w:val="20"/>
                <w:szCs w:val="20"/>
              </w:rPr>
            </w:pPr>
            <w:r w:rsidRPr="005E1E6B">
              <w:rPr>
                <w:rFonts w:ascii="Times New Roman" w:hAnsi="Times New Roman" w:cs="Times New Roman"/>
                <w:sz w:val="20"/>
                <w:szCs w:val="20"/>
              </w:rPr>
              <w:t>Hypersensitivity, infusion reactions</w:t>
            </w:r>
            <w:r w:rsidRPr="005E1E6B">
              <w:rPr>
                <w:rFonts w:ascii="Times New Roman" w:hAnsi="Times New Roman" w:cs="Times New Roman"/>
                <w:sz w:val="20"/>
                <w:szCs w:val="20"/>
                <w:vertAlign w:val="superscript"/>
              </w:rPr>
              <w:t>a,b,c</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DC59A74"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0C32716" w14:textId="545DF157" w:rsidR="00047E69" w:rsidRPr="005E1E6B" w:rsidRDefault="00A65414" w:rsidP="005E1E6B">
            <w:pPr>
              <w:jc w:val="center"/>
              <w:rPr>
                <w:rFonts w:ascii="Times New Roman" w:hAnsi="Times New Roman" w:cs="Times New Roman"/>
                <w:sz w:val="20"/>
                <w:szCs w:val="20"/>
                <w:lang w:eastAsia="ko-KR"/>
              </w:rPr>
            </w:pPr>
            <w:r w:rsidRPr="005E1E6B">
              <w:rPr>
                <w:rFonts w:ascii="Times New Roman" w:hAnsi="Times New Roman" w:cs="Times New Roman"/>
                <w:sz w:val="20"/>
                <w:szCs w:val="20"/>
                <w:lang w:eastAsia="ko-KR"/>
              </w:rPr>
              <w:t>Anaphylactic shock</w:t>
            </w: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9BF53C1"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BFCE801" w14:textId="61D56843" w:rsidR="00047E69" w:rsidRPr="005E1E6B" w:rsidRDefault="00047E69" w:rsidP="005E1E6B">
            <w:pPr>
              <w:pStyle w:val="TableParagraph"/>
              <w:jc w:val="center"/>
              <w:rPr>
                <w:rFonts w:ascii="Times New Roman" w:eastAsia="Times New Roman" w:hAnsi="Times New Roman" w:cs="Times New Roman"/>
                <w:sz w:val="20"/>
                <w:szCs w:val="20"/>
              </w:rPr>
            </w:pPr>
          </w:p>
        </w:tc>
      </w:tr>
      <w:tr w:rsidR="004A79F9" w:rsidRPr="005E1E6B" w14:paraId="60203070"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A3F6FAC" w14:textId="3C78AA5E"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Metabolism and</w:t>
            </w:r>
            <w:r w:rsidR="00203E25">
              <w:rPr>
                <w:rFonts w:ascii="Times New Roman" w:hAnsi="Times New Roman" w:cs="Times New Roman" w:hint="eastAsia"/>
                <w:sz w:val="20"/>
                <w:szCs w:val="20"/>
                <w:lang w:eastAsia="ko-KR"/>
              </w:rPr>
              <w:t xml:space="preserve"> </w:t>
            </w:r>
            <w:r w:rsidRPr="005E1E6B">
              <w:rPr>
                <w:rFonts w:ascii="Times New Roman" w:hAnsi="Times New Roman" w:cs="Times New Roman"/>
                <w:sz w:val="20"/>
                <w:szCs w:val="20"/>
              </w:rPr>
              <w:t>nutrition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EABCEFC" w14:textId="77777777" w:rsidR="00047E69" w:rsidRPr="005E1E6B" w:rsidRDefault="00047E69" w:rsidP="005E1E6B">
            <w:pPr>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030678C" w14:textId="0BBF7400"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Dehydration</w:t>
            </w:r>
            <w:r w:rsidR="003B4193" w:rsidRPr="005E1E6B">
              <w:rPr>
                <w:rFonts w:ascii="Times New Roman" w:hAnsi="Times New Roman" w:cs="Times New Roman"/>
                <w:sz w:val="20"/>
                <w:szCs w:val="20"/>
              </w:rPr>
              <w:t>,</w:t>
            </w:r>
            <w:r w:rsidR="0095448B">
              <w:rPr>
                <w:rFonts w:ascii="Times New Roman" w:hAnsi="Times New Roman" w:cs="Times New Roman" w:hint="eastAsia"/>
                <w:sz w:val="20"/>
                <w:szCs w:val="20"/>
                <w:lang w:eastAsia="ko-KR"/>
              </w:rPr>
              <w:t xml:space="preserve"> </w:t>
            </w:r>
            <w:r w:rsidR="003B4193" w:rsidRPr="005E1E6B">
              <w:rPr>
                <w:rFonts w:ascii="Times New Roman" w:hAnsi="Times New Roman" w:cs="Times New Roman"/>
                <w:sz w:val="20"/>
                <w:szCs w:val="20"/>
              </w:rPr>
              <w:t>h</w:t>
            </w:r>
            <w:r w:rsidRPr="005E1E6B">
              <w:rPr>
                <w:rFonts w:ascii="Times New Roman" w:hAnsi="Times New Roman" w:cs="Times New Roman"/>
                <w:sz w:val="20"/>
                <w:szCs w:val="20"/>
              </w:rPr>
              <w:t>yponatraemia</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014312"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776E1E2"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6C4547F"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4EA6B38" w14:textId="77777777" w:rsidR="00047E69" w:rsidRPr="005E1E6B" w:rsidRDefault="00047E69" w:rsidP="005E1E6B">
            <w:pPr>
              <w:jc w:val="center"/>
              <w:rPr>
                <w:rFonts w:ascii="Times New Roman" w:hAnsi="Times New Roman" w:cs="Times New Roman"/>
                <w:sz w:val="20"/>
                <w:szCs w:val="20"/>
              </w:rPr>
            </w:pPr>
          </w:p>
        </w:tc>
      </w:tr>
      <w:tr w:rsidR="004A79F9" w:rsidRPr="005E1E6B" w14:paraId="46767906"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DEF2482"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Nervous system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A5877AD"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Peripheral sensory neuropathy</w:t>
            </w:r>
            <w:r w:rsidRPr="009E4213">
              <w:rPr>
                <w:rFonts w:ascii="Times New Roman" w:hAnsi="Times New Roman" w:cs="Times New Roman"/>
                <w:sz w:val="20"/>
                <w:szCs w:val="20"/>
                <w:vertAlign w:val="superscript"/>
              </w:rPr>
              <w:t>a</w:t>
            </w: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EF409A1" w14:textId="3739B984"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Cerebrovascular accident, </w:t>
            </w:r>
            <w:r w:rsidR="003B4193" w:rsidRPr="005E1E6B">
              <w:rPr>
                <w:rFonts w:ascii="Times New Roman" w:hAnsi="Times New Roman" w:cs="Times New Roman"/>
                <w:sz w:val="20"/>
                <w:szCs w:val="20"/>
              </w:rPr>
              <w:t>s</w:t>
            </w:r>
            <w:r w:rsidRPr="005E1E6B">
              <w:rPr>
                <w:rFonts w:ascii="Times New Roman" w:hAnsi="Times New Roman" w:cs="Times New Roman"/>
                <w:sz w:val="20"/>
                <w:szCs w:val="20"/>
              </w:rPr>
              <w:t xml:space="preserve">yncope, </w:t>
            </w:r>
            <w:r w:rsidR="003B4193" w:rsidRPr="005E1E6B">
              <w:rPr>
                <w:rFonts w:ascii="Times New Roman" w:hAnsi="Times New Roman" w:cs="Times New Roman"/>
                <w:sz w:val="20"/>
                <w:szCs w:val="20"/>
              </w:rPr>
              <w:t>s</w:t>
            </w:r>
            <w:r w:rsidRPr="005E1E6B">
              <w:rPr>
                <w:rFonts w:ascii="Times New Roman" w:hAnsi="Times New Roman" w:cs="Times New Roman"/>
                <w:sz w:val="20"/>
                <w:szCs w:val="20"/>
              </w:rPr>
              <w:t xml:space="preserve">omnolence, </w:t>
            </w:r>
            <w:r w:rsidR="003B4193" w:rsidRPr="005E1E6B">
              <w:rPr>
                <w:rFonts w:ascii="Times New Roman" w:hAnsi="Times New Roman" w:cs="Times New Roman"/>
                <w:sz w:val="20"/>
                <w:szCs w:val="20"/>
              </w:rPr>
              <w:t>h</w:t>
            </w:r>
            <w:r w:rsidRPr="005E1E6B">
              <w:rPr>
                <w:rFonts w:ascii="Times New Roman" w:hAnsi="Times New Roman" w:cs="Times New Roman"/>
                <w:sz w:val="20"/>
                <w:szCs w:val="20"/>
              </w:rPr>
              <w:t>eadache</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32240E6"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420A878"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3EBF988"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ED0AC80" w14:textId="33EC0CC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Posterior reversible encephalopathy syndrome </w:t>
            </w:r>
            <w:r w:rsidRPr="009E4213">
              <w:rPr>
                <w:rFonts w:ascii="Times New Roman" w:hAnsi="Times New Roman" w:cs="Times New Roman"/>
                <w:sz w:val="20"/>
                <w:szCs w:val="20"/>
                <w:vertAlign w:val="superscript"/>
              </w:rPr>
              <w:t>a,b,c</w:t>
            </w:r>
            <w:r w:rsidR="003B4193" w:rsidRPr="005E1E6B">
              <w:rPr>
                <w:rFonts w:ascii="Times New Roman" w:hAnsi="Times New Roman" w:cs="Times New Roman"/>
                <w:sz w:val="20"/>
                <w:szCs w:val="20"/>
              </w:rPr>
              <w:t>, h</w:t>
            </w:r>
            <w:r w:rsidRPr="005E1E6B">
              <w:rPr>
                <w:rFonts w:ascii="Times New Roman" w:hAnsi="Times New Roman" w:cs="Times New Roman"/>
                <w:sz w:val="20"/>
                <w:szCs w:val="20"/>
              </w:rPr>
              <w:t>ypertensive encephalopathy</w:t>
            </w:r>
            <w:r w:rsidRPr="009E4213">
              <w:rPr>
                <w:rFonts w:ascii="Times New Roman" w:hAnsi="Times New Roman" w:cs="Times New Roman"/>
                <w:sz w:val="20"/>
                <w:szCs w:val="20"/>
                <w:vertAlign w:val="superscript"/>
              </w:rPr>
              <w:t>c</w:t>
            </w:r>
          </w:p>
        </w:tc>
      </w:tr>
      <w:tr w:rsidR="004A79F9" w:rsidRPr="005E1E6B" w14:paraId="6AB69B68"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A0DC2CE"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Cardiac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CF73AB2" w14:textId="77777777" w:rsidR="00047E69" w:rsidRPr="005E1E6B" w:rsidRDefault="00047E69" w:rsidP="005E1E6B">
            <w:pPr>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3937AB0" w14:textId="11F100B3"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Congestive heart failure</w:t>
            </w:r>
            <w:r w:rsidRPr="009E4213">
              <w:rPr>
                <w:rFonts w:ascii="Times New Roman" w:hAnsi="Times New Roman" w:cs="Times New Roman"/>
                <w:sz w:val="20"/>
                <w:szCs w:val="20"/>
                <w:vertAlign w:val="superscript"/>
              </w:rPr>
              <w:t>a,b</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s</w:t>
            </w:r>
            <w:r w:rsidRPr="005E1E6B">
              <w:rPr>
                <w:rFonts w:ascii="Times New Roman" w:hAnsi="Times New Roman" w:cs="Times New Roman"/>
                <w:sz w:val="20"/>
                <w:szCs w:val="20"/>
              </w:rPr>
              <w:t>upraventricular tachycardia</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BD65202"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814E6AC"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4E24D6B"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8C0E24F" w14:textId="77777777" w:rsidR="00047E69" w:rsidRPr="005E1E6B" w:rsidRDefault="00047E69" w:rsidP="005E1E6B">
            <w:pPr>
              <w:jc w:val="center"/>
              <w:rPr>
                <w:rFonts w:ascii="Times New Roman" w:hAnsi="Times New Roman" w:cs="Times New Roman"/>
                <w:sz w:val="20"/>
                <w:szCs w:val="20"/>
              </w:rPr>
            </w:pPr>
          </w:p>
        </w:tc>
      </w:tr>
      <w:tr w:rsidR="004A79F9" w:rsidRPr="005E1E6B" w14:paraId="35BB4A9A"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A74D326"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Vascular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ED547FF"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Hypertension</w:t>
            </w:r>
            <w:r w:rsidRPr="009E4213">
              <w:rPr>
                <w:rFonts w:ascii="Times New Roman" w:hAnsi="Times New Roman" w:cs="Times New Roman"/>
                <w:sz w:val="20"/>
                <w:szCs w:val="20"/>
                <w:vertAlign w:val="superscript"/>
              </w:rPr>
              <w:t>a,b</w:t>
            </w: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81C0458" w14:textId="35DC42A0"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Thromboembolism arterial</w:t>
            </w:r>
            <w:r w:rsidRPr="009E4213">
              <w:rPr>
                <w:rFonts w:ascii="Times New Roman" w:hAnsi="Times New Roman" w:cs="Times New Roman"/>
                <w:sz w:val="20"/>
                <w:szCs w:val="20"/>
                <w:vertAlign w:val="superscript"/>
              </w:rPr>
              <w:t>a,b</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h</w:t>
            </w:r>
            <w:r w:rsidRPr="005E1E6B">
              <w:rPr>
                <w:rFonts w:ascii="Times New Roman" w:hAnsi="Times New Roman" w:cs="Times New Roman"/>
                <w:sz w:val="20"/>
                <w:szCs w:val="20"/>
              </w:rPr>
              <w:t>aemorrhage</w:t>
            </w:r>
            <w:r w:rsidRPr="009E4213">
              <w:rPr>
                <w:rFonts w:ascii="Times New Roman" w:hAnsi="Times New Roman" w:cs="Times New Roman"/>
                <w:sz w:val="20"/>
                <w:szCs w:val="20"/>
                <w:vertAlign w:val="superscript"/>
              </w:rPr>
              <w:t>a,b</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t</w:t>
            </w:r>
            <w:r w:rsidRPr="005E1E6B">
              <w:rPr>
                <w:rFonts w:ascii="Times New Roman" w:hAnsi="Times New Roman" w:cs="Times New Roman"/>
                <w:sz w:val="20"/>
                <w:szCs w:val="20"/>
              </w:rPr>
              <w:t>hromboembolism (venous)</w:t>
            </w:r>
            <w:r w:rsidRPr="009E4213">
              <w:rPr>
                <w:rFonts w:ascii="Times New Roman" w:hAnsi="Times New Roman" w:cs="Times New Roman"/>
                <w:sz w:val="20"/>
                <w:szCs w:val="20"/>
                <w:vertAlign w:val="superscript"/>
              </w:rPr>
              <w:t>a,b</w:t>
            </w:r>
            <w:r w:rsidRPr="005E1E6B">
              <w:rPr>
                <w:rFonts w:ascii="Times New Roman" w:hAnsi="Times New Roman" w:cs="Times New Roman"/>
                <w:sz w:val="20"/>
                <w:szCs w:val="20"/>
              </w:rPr>
              <w:t>, d</w:t>
            </w:r>
            <w:r w:rsidR="002700BA" w:rsidRPr="005E1E6B">
              <w:rPr>
                <w:rFonts w:ascii="Times New Roman" w:hAnsi="Times New Roman" w:cs="Times New Roman"/>
                <w:sz w:val="20"/>
                <w:szCs w:val="20"/>
              </w:rPr>
              <w:t>eep vein thrombosis</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5DF4A7C"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2393875"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837D04B"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4680602" w14:textId="3D31D69B"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Renal thrombotic</w:t>
            </w:r>
            <w:r w:rsidR="002B27C4" w:rsidRPr="005E1E6B">
              <w:rPr>
                <w:rFonts w:ascii="Times New Roman" w:hAnsi="Times New Roman" w:cs="Times New Roman"/>
                <w:sz w:val="20"/>
                <w:szCs w:val="20"/>
              </w:rPr>
              <w:t>, m</w:t>
            </w:r>
            <w:r w:rsidR="002700BA" w:rsidRPr="005E1E6B">
              <w:rPr>
                <w:rFonts w:ascii="Times New Roman" w:hAnsi="Times New Roman" w:cs="Times New Roman"/>
                <w:sz w:val="20"/>
                <w:szCs w:val="20"/>
              </w:rPr>
              <w:t>icroangiopathy</w:t>
            </w:r>
            <w:r w:rsidR="002700BA" w:rsidRPr="00D51785">
              <w:rPr>
                <w:rFonts w:ascii="Times New Roman" w:hAnsi="Times New Roman" w:cs="Times New Roman"/>
                <w:sz w:val="20"/>
                <w:szCs w:val="20"/>
                <w:vertAlign w:val="superscript"/>
              </w:rPr>
              <w:t>b,c</w:t>
            </w:r>
            <w:r w:rsidR="002700BA"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a</w:t>
            </w:r>
            <w:r w:rsidR="002700BA" w:rsidRPr="005E1E6B">
              <w:rPr>
                <w:rFonts w:ascii="Times New Roman" w:hAnsi="Times New Roman" w:cs="Times New Roman"/>
                <w:sz w:val="20"/>
                <w:szCs w:val="20"/>
              </w:rPr>
              <w:t>neurysms and artery dissections</w:t>
            </w:r>
          </w:p>
        </w:tc>
      </w:tr>
      <w:tr w:rsidR="004A79F9" w:rsidRPr="005E1E6B" w14:paraId="1BFBBFE0"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D29C18C" w14:textId="77777777"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lastRenderedPageBreak/>
              <w:t>Respiratory, thoracic and mediastinal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5F2FC43" w14:textId="77777777" w:rsidR="00047E69" w:rsidRPr="005E1E6B" w:rsidRDefault="00047E69" w:rsidP="005E1E6B">
            <w:pPr>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5C47F78" w14:textId="3ED0BAAF"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Pulmonary haemorrhage/ </w:t>
            </w:r>
            <w:r w:rsidR="003B4193" w:rsidRPr="005E1E6B">
              <w:rPr>
                <w:rFonts w:ascii="Times New Roman" w:hAnsi="Times New Roman" w:cs="Times New Roman"/>
                <w:sz w:val="20"/>
                <w:szCs w:val="20"/>
              </w:rPr>
              <w:t>h</w:t>
            </w:r>
            <w:r w:rsidRPr="005E1E6B">
              <w:rPr>
                <w:rFonts w:ascii="Times New Roman" w:hAnsi="Times New Roman" w:cs="Times New Roman"/>
                <w:sz w:val="20"/>
                <w:szCs w:val="20"/>
              </w:rPr>
              <w:t>aemoptysis</w:t>
            </w:r>
            <w:r w:rsidRPr="00D51785">
              <w:rPr>
                <w:rFonts w:ascii="Times New Roman" w:hAnsi="Times New Roman" w:cs="Times New Roman"/>
                <w:sz w:val="20"/>
                <w:szCs w:val="20"/>
                <w:vertAlign w:val="superscript"/>
              </w:rPr>
              <w:t>a,b</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p</w:t>
            </w:r>
            <w:r w:rsidRPr="005E1E6B">
              <w:rPr>
                <w:rFonts w:ascii="Times New Roman" w:hAnsi="Times New Roman" w:cs="Times New Roman"/>
                <w:sz w:val="20"/>
                <w:szCs w:val="20"/>
              </w:rPr>
              <w:t xml:space="preserve">ulmonary embolism, </w:t>
            </w:r>
            <w:r w:rsidR="003B4193" w:rsidRPr="005E1E6B">
              <w:rPr>
                <w:rFonts w:ascii="Times New Roman" w:hAnsi="Times New Roman" w:cs="Times New Roman"/>
                <w:sz w:val="20"/>
                <w:szCs w:val="20"/>
              </w:rPr>
              <w:t>e</w:t>
            </w:r>
            <w:r w:rsidRPr="005E1E6B">
              <w:rPr>
                <w:rFonts w:ascii="Times New Roman" w:hAnsi="Times New Roman" w:cs="Times New Roman"/>
                <w:sz w:val="20"/>
                <w:szCs w:val="20"/>
              </w:rPr>
              <w:t xml:space="preserve">pistaxis, </w:t>
            </w:r>
            <w:r w:rsidR="003B4193" w:rsidRPr="005E1E6B">
              <w:rPr>
                <w:rFonts w:ascii="Times New Roman" w:hAnsi="Times New Roman" w:cs="Times New Roman"/>
                <w:sz w:val="20"/>
                <w:szCs w:val="20"/>
              </w:rPr>
              <w:t>d</w:t>
            </w:r>
            <w:r w:rsidRPr="005E1E6B">
              <w:rPr>
                <w:rFonts w:ascii="Times New Roman" w:hAnsi="Times New Roman" w:cs="Times New Roman"/>
                <w:sz w:val="20"/>
                <w:szCs w:val="20"/>
              </w:rPr>
              <w:t xml:space="preserve">yspnoea, </w:t>
            </w:r>
            <w:r w:rsidR="003B4193" w:rsidRPr="005E1E6B">
              <w:rPr>
                <w:rFonts w:ascii="Times New Roman" w:hAnsi="Times New Roman" w:cs="Times New Roman"/>
                <w:sz w:val="20"/>
                <w:szCs w:val="20"/>
              </w:rPr>
              <w:t>h</w:t>
            </w:r>
            <w:r w:rsidRPr="005E1E6B">
              <w:rPr>
                <w:rFonts w:ascii="Times New Roman" w:hAnsi="Times New Roman" w:cs="Times New Roman"/>
                <w:sz w:val="20"/>
                <w:szCs w:val="20"/>
              </w:rPr>
              <w:t>ypoxia</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E5ACC13"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C53D88E"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7A7AFC2"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70E55BC" w14:textId="68968F15"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Pulmonary hypertension</w:t>
            </w:r>
            <w:r w:rsidRPr="00D51785">
              <w:rPr>
                <w:rFonts w:ascii="Times New Roman" w:hAnsi="Times New Roman" w:cs="Times New Roman"/>
                <w:sz w:val="20"/>
                <w:szCs w:val="20"/>
                <w:vertAlign w:val="superscript"/>
              </w:rPr>
              <w:t>c</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n</w:t>
            </w:r>
            <w:r w:rsidRPr="005E1E6B">
              <w:rPr>
                <w:rFonts w:ascii="Times New Roman" w:hAnsi="Times New Roman" w:cs="Times New Roman"/>
                <w:sz w:val="20"/>
                <w:szCs w:val="20"/>
              </w:rPr>
              <w:t>asal septum perforation</w:t>
            </w:r>
            <w:r w:rsidRPr="00D51785">
              <w:rPr>
                <w:rFonts w:ascii="Times New Roman" w:hAnsi="Times New Roman" w:cs="Times New Roman"/>
                <w:sz w:val="20"/>
                <w:szCs w:val="20"/>
                <w:vertAlign w:val="superscript"/>
              </w:rPr>
              <w:t>c</w:t>
            </w:r>
          </w:p>
        </w:tc>
      </w:tr>
      <w:tr w:rsidR="004A79F9" w:rsidRPr="005E1E6B" w14:paraId="054AD0B7"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3FCBF28" w14:textId="261049AB"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Gastrointestinal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23E1FA6" w14:textId="09E1EA53"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Diarrhoea, </w:t>
            </w:r>
            <w:r w:rsidR="003B4193" w:rsidRPr="005E1E6B">
              <w:rPr>
                <w:rFonts w:ascii="Times New Roman" w:hAnsi="Times New Roman" w:cs="Times New Roman"/>
                <w:sz w:val="20"/>
                <w:szCs w:val="20"/>
              </w:rPr>
              <w:t>n</w:t>
            </w:r>
            <w:r w:rsidRPr="005E1E6B">
              <w:rPr>
                <w:rFonts w:ascii="Times New Roman" w:hAnsi="Times New Roman" w:cs="Times New Roman"/>
                <w:sz w:val="20"/>
                <w:szCs w:val="20"/>
              </w:rPr>
              <w:t xml:space="preserve">ausea, </w:t>
            </w:r>
            <w:r w:rsidR="003B4193" w:rsidRPr="005E1E6B">
              <w:rPr>
                <w:rFonts w:ascii="Times New Roman" w:hAnsi="Times New Roman" w:cs="Times New Roman"/>
                <w:sz w:val="20"/>
                <w:szCs w:val="20"/>
              </w:rPr>
              <w:t>v</w:t>
            </w:r>
            <w:r w:rsidRPr="005E1E6B">
              <w:rPr>
                <w:rFonts w:ascii="Times New Roman" w:hAnsi="Times New Roman" w:cs="Times New Roman"/>
                <w:sz w:val="20"/>
                <w:szCs w:val="20"/>
              </w:rPr>
              <w:t xml:space="preserve">omiting, </w:t>
            </w:r>
            <w:r w:rsidR="003B4193" w:rsidRPr="005E1E6B">
              <w:rPr>
                <w:rFonts w:ascii="Times New Roman" w:hAnsi="Times New Roman" w:cs="Times New Roman"/>
                <w:sz w:val="20"/>
                <w:szCs w:val="20"/>
              </w:rPr>
              <w:t>a</w:t>
            </w:r>
            <w:r w:rsidRPr="005E1E6B">
              <w:rPr>
                <w:rFonts w:ascii="Times New Roman" w:hAnsi="Times New Roman" w:cs="Times New Roman"/>
                <w:sz w:val="20"/>
                <w:szCs w:val="20"/>
              </w:rPr>
              <w:t>bdominal pain</w:t>
            </w: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450ED0A" w14:textId="6E25F1C5"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 xml:space="preserve">Intestinal perforation, </w:t>
            </w:r>
            <w:r w:rsidR="003B4193" w:rsidRPr="005E1E6B">
              <w:rPr>
                <w:rFonts w:ascii="Times New Roman" w:hAnsi="Times New Roman" w:cs="Times New Roman"/>
                <w:sz w:val="20"/>
                <w:szCs w:val="20"/>
              </w:rPr>
              <w:t>i</w:t>
            </w:r>
            <w:r w:rsidRPr="005E1E6B">
              <w:rPr>
                <w:rFonts w:ascii="Times New Roman" w:hAnsi="Times New Roman" w:cs="Times New Roman"/>
                <w:sz w:val="20"/>
                <w:szCs w:val="20"/>
              </w:rPr>
              <w:t xml:space="preserve">leus, </w:t>
            </w:r>
            <w:r w:rsidR="003B4193" w:rsidRPr="005E1E6B">
              <w:rPr>
                <w:rFonts w:ascii="Times New Roman" w:hAnsi="Times New Roman" w:cs="Times New Roman"/>
                <w:sz w:val="20"/>
                <w:szCs w:val="20"/>
              </w:rPr>
              <w:t>i</w:t>
            </w:r>
            <w:r w:rsidRPr="005E1E6B">
              <w:rPr>
                <w:rFonts w:ascii="Times New Roman" w:hAnsi="Times New Roman" w:cs="Times New Roman"/>
                <w:sz w:val="20"/>
                <w:szCs w:val="20"/>
              </w:rPr>
              <w:t xml:space="preserve">ntestinal obstruction, </w:t>
            </w:r>
            <w:r w:rsidR="003B4193" w:rsidRPr="005E1E6B">
              <w:rPr>
                <w:rFonts w:ascii="Times New Roman" w:hAnsi="Times New Roman" w:cs="Times New Roman"/>
                <w:sz w:val="20"/>
                <w:szCs w:val="20"/>
              </w:rPr>
              <w:t>r</w:t>
            </w:r>
            <w:r w:rsidRPr="005E1E6B">
              <w:rPr>
                <w:rFonts w:ascii="Times New Roman" w:hAnsi="Times New Roman" w:cs="Times New Roman"/>
                <w:sz w:val="20"/>
                <w:szCs w:val="20"/>
              </w:rPr>
              <w:t>ecto-vaginal fistulae</w:t>
            </w:r>
            <w:r w:rsidRPr="00D51785">
              <w:rPr>
                <w:rFonts w:ascii="Times New Roman" w:hAnsi="Times New Roman" w:cs="Times New Roman"/>
                <w:sz w:val="20"/>
                <w:szCs w:val="20"/>
                <w:vertAlign w:val="superscript"/>
              </w:rPr>
              <w:t>c,d</w:t>
            </w:r>
            <w:r w:rsidRPr="005E1E6B">
              <w:rPr>
                <w:rFonts w:ascii="Times New Roman" w:hAnsi="Times New Roman" w:cs="Times New Roman"/>
                <w:sz w:val="20"/>
                <w:szCs w:val="20"/>
              </w:rPr>
              <w:t>,</w:t>
            </w:r>
          </w:p>
          <w:p w14:paraId="7FA241EA" w14:textId="342DA3CA"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g</w:t>
            </w:r>
            <w:r w:rsidR="002700BA" w:rsidRPr="005E1E6B">
              <w:rPr>
                <w:rFonts w:ascii="Times New Roman" w:hAnsi="Times New Roman" w:cs="Times New Roman"/>
                <w:sz w:val="20"/>
                <w:szCs w:val="20"/>
              </w:rPr>
              <w:t xml:space="preserve">astrointestinal disorder, </w:t>
            </w:r>
            <w:r w:rsidRPr="005E1E6B">
              <w:rPr>
                <w:rFonts w:ascii="Times New Roman" w:hAnsi="Times New Roman" w:cs="Times New Roman"/>
                <w:sz w:val="20"/>
                <w:szCs w:val="20"/>
              </w:rPr>
              <w:t>s</w:t>
            </w:r>
            <w:r w:rsidR="002700BA" w:rsidRPr="005E1E6B">
              <w:rPr>
                <w:rFonts w:ascii="Times New Roman" w:hAnsi="Times New Roman" w:cs="Times New Roman"/>
                <w:sz w:val="20"/>
                <w:szCs w:val="20"/>
              </w:rPr>
              <w:t xml:space="preserve">tomatitis, </w:t>
            </w:r>
            <w:r w:rsidRPr="005E1E6B">
              <w:rPr>
                <w:rFonts w:ascii="Times New Roman" w:hAnsi="Times New Roman" w:cs="Times New Roman"/>
                <w:sz w:val="20"/>
                <w:szCs w:val="20"/>
              </w:rPr>
              <w:t>p</w:t>
            </w:r>
            <w:r w:rsidR="002700BA" w:rsidRPr="005E1E6B">
              <w:rPr>
                <w:rFonts w:ascii="Times New Roman" w:hAnsi="Times New Roman" w:cs="Times New Roman"/>
                <w:sz w:val="20"/>
                <w:szCs w:val="20"/>
              </w:rPr>
              <w:t>roctalgia</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EC7B16F" w14:textId="77777777" w:rsidR="00047E69" w:rsidRPr="005E1E6B" w:rsidRDefault="00047E69"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DEEB9E1" w14:textId="77777777" w:rsidR="00047E69" w:rsidRPr="005E1E6B" w:rsidRDefault="00047E69"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A5DBC4F" w14:textId="77777777" w:rsidR="00047E69" w:rsidRPr="005E1E6B" w:rsidRDefault="00047E69"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DCE100F" w14:textId="203F0BF4" w:rsidR="00047E69" w:rsidRPr="005E1E6B" w:rsidRDefault="00C210A5" w:rsidP="005E1E6B">
            <w:pPr>
              <w:pStyle w:val="TableParagraph"/>
              <w:jc w:val="center"/>
              <w:rPr>
                <w:rFonts w:ascii="Times New Roman" w:eastAsia="Times New Roman" w:hAnsi="Times New Roman" w:cs="Times New Roman"/>
                <w:sz w:val="20"/>
                <w:szCs w:val="20"/>
              </w:rPr>
            </w:pPr>
            <w:r w:rsidRPr="005E1E6B">
              <w:rPr>
                <w:rFonts w:ascii="Times New Roman" w:hAnsi="Times New Roman" w:cs="Times New Roman"/>
                <w:sz w:val="20"/>
                <w:szCs w:val="20"/>
              </w:rPr>
              <w:t>Gastrointestinal perforation</w:t>
            </w:r>
            <w:r w:rsidRPr="00D51785">
              <w:rPr>
                <w:rFonts w:ascii="Times New Roman" w:hAnsi="Times New Roman" w:cs="Times New Roman"/>
                <w:sz w:val="20"/>
                <w:szCs w:val="20"/>
                <w:vertAlign w:val="superscript"/>
              </w:rPr>
              <w:t>a,b</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g</w:t>
            </w:r>
            <w:r w:rsidRPr="005E1E6B">
              <w:rPr>
                <w:rFonts w:ascii="Times New Roman" w:hAnsi="Times New Roman" w:cs="Times New Roman"/>
                <w:sz w:val="20"/>
                <w:szCs w:val="20"/>
              </w:rPr>
              <w:t>astrointestinal ulcer</w:t>
            </w:r>
            <w:r w:rsidRPr="00D51785">
              <w:rPr>
                <w:rFonts w:ascii="Times New Roman" w:hAnsi="Times New Roman" w:cs="Times New Roman"/>
                <w:sz w:val="20"/>
                <w:szCs w:val="20"/>
                <w:vertAlign w:val="superscript"/>
              </w:rPr>
              <w:t>c</w:t>
            </w:r>
            <w:r w:rsidRPr="005E1E6B">
              <w:rPr>
                <w:rFonts w:ascii="Times New Roman" w:hAnsi="Times New Roman" w:cs="Times New Roman"/>
                <w:sz w:val="20"/>
                <w:szCs w:val="20"/>
              </w:rPr>
              <w:t xml:space="preserve">, </w:t>
            </w:r>
            <w:r w:rsidR="003B4193" w:rsidRPr="005E1E6B">
              <w:rPr>
                <w:rFonts w:ascii="Times New Roman" w:hAnsi="Times New Roman" w:cs="Times New Roman"/>
                <w:sz w:val="20"/>
                <w:szCs w:val="20"/>
              </w:rPr>
              <w:t>r</w:t>
            </w:r>
            <w:r w:rsidR="002700BA" w:rsidRPr="005E1E6B">
              <w:rPr>
                <w:rFonts w:ascii="Times New Roman" w:hAnsi="Times New Roman" w:cs="Times New Roman"/>
                <w:sz w:val="20"/>
                <w:szCs w:val="20"/>
              </w:rPr>
              <w:t>ectal haemorrhage</w:t>
            </w:r>
          </w:p>
        </w:tc>
      </w:tr>
      <w:tr w:rsidR="004A79F9" w:rsidRPr="005E1E6B" w14:paraId="40108F9E"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3996E41" w14:textId="5E6C9745"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Hepatobiliary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0276511" w14:textId="77777777" w:rsidR="00A135EE" w:rsidRPr="005E1E6B" w:rsidRDefault="00A135EE" w:rsidP="005E1E6B">
            <w:pPr>
              <w:pStyle w:val="TableParagraph"/>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25D1284" w14:textId="77777777" w:rsidR="00A135EE" w:rsidRPr="005E1E6B" w:rsidRDefault="00A135EE" w:rsidP="005E1E6B">
            <w:pPr>
              <w:pStyle w:val="TableParagraph"/>
              <w:jc w:val="center"/>
              <w:rPr>
                <w:rFonts w:ascii="Times New Roman" w:hAnsi="Times New Roman" w:cs="Times New Roman"/>
                <w:sz w:val="20"/>
                <w:szCs w:val="20"/>
              </w:rPr>
            </w:pP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79C4DE2"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264C1BA"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E68C254"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3F3EE7B" w14:textId="71D67397"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Gallbladder perforation</w:t>
            </w:r>
            <w:r w:rsidRPr="00D51785">
              <w:rPr>
                <w:rFonts w:ascii="Times New Roman" w:hAnsi="Times New Roman" w:cs="Times New Roman"/>
                <w:sz w:val="20"/>
                <w:szCs w:val="20"/>
                <w:vertAlign w:val="superscript"/>
              </w:rPr>
              <w:t>b,c</w:t>
            </w:r>
          </w:p>
        </w:tc>
      </w:tr>
      <w:tr w:rsidR="004A79F9" w:rsidRPr="005E1E6B" w14:paraId="339DC258"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E3EBB41" w14:textId="5AFB1AA4"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Skin and subcutaneous tissue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7A2736C" w14:textId="77777777" w:rsidR="00A135EE" w:rsidRPr="005E1E6B" w:rsidRDefault="00A135EE" w:rsidP="005E1E6B">
            <w:pPr>
              <w:pStyle w:val="TableParagraph"/>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E32C2A9" w14:textId="04040E60"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Wound healing complications</w:t>
            </w:r>
            <w:r w:rsidRPr="00D51785">
              <w:rPr>
                <w:rFonts w:ascii="Times New Roman" w:hAnsi="Times New Roman" w:cs="Times New Roman"/>
                <w:sz w:val="20"/>
                <w:szCs w:val="20"/>
                <w:vertAlign w:val="superscript"/>
              </w:rPr>
              <w:t>a,b</w:t>
            </w:r>
            <w:r w:rsidRPr="005E1E6B">
              <w:rPr>
                <w:rFonts w:ascii="Times New Roman" w:hAnsi="Times New Roman" w:cs="Times New Roman"/>
                <w:sz w:val="20"/>
                <w:szCs w:val="20"/>
              </w:rPr>
              <w:t>, palmar-plantar erythrodysaesthesia syndrome</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C62B1BA"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148E85D"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5070FAE"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AF13C29" w14:textId="77777777" w:rsidR="00A135EE" w:rsidRPr="005E1E6B" w:rsidRDefault="00A135EE" w:rsidP="005E1E6B">
            <w:pPr>
              <w:pStyle w:val="TableParagraph"/>
              <w:jc w:val="center"/>
              <w:rPr>
                <w:rFonts w:ascii="Times New Roman" w:hAnsi="Times New Roman" w:cs="Times New Roman"/>
                <w:sz w:val="20"/>
                <w:szCs w:val="20"/>
              </w:rPr>
            </w:pPr>
          </w:p>
        </w:tc>
      </w:tr>
      <w:tr w:rsidR="004A79F9" w:rsidRPr="005E1E6B" w14:paraId="7C09FED3"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86E57E6" w14:textId="7AD00483"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Musculo-skeletal and connective tissue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C2EFCE0" w14:textId="77777777" w:rsidR="00A135EE" w:rsidRPr="005E1E6B" w:rsidRDefault="00A135EE" w:rsidP="005E1E6B">
            <w:pPr>
              <w:pStyle w:val="TableParagraph"/>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1A813E9" w14:textId="658A8CD0"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Fistula</w:t>
            </w:r>
            <w:r w:rsidRPr="00D51785">
              <w:rPr>
                <w:rFonts w:ascii="Times New Roman" w:hAnsi="Times New Roman" w:cs="Times New Roman"/>
                <w:sz w:val="20"/>
                <w:szCs w:val="20"/>
                <w:vertAlign w:val="superscript"/>
              </w:rPr>
              <w:t>a,b</w:t>
            </w:r>
            <w:r w:rsidRPr="005E1E6B">
              <w:rPr>
                <w:rFonts w:ascii="Times New Roman" w:hAnsi="Times New Roman" w:cs="Times New Roman"/>
                <w:sz w:val="20"/>
                <w:szCs w:val="20"/>
              </w:rPr>
              <w:t>, myalgia, arthralgia, muscular weakness, back pain</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810B946"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4A06DED"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9A5D91E"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A871A56" w14:textId="1425DAE8"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Osteonecrosis of the jaw</w:t>
            </w:r>
            <w:r w:rsidRPr="00D51785">
              <w:rPr>
                <w:rFonts w:ascii="Times New Roman" w:hAnsi="Times New Roman" w:cs="Times New Roman"/>
                <w:sz w:val="20"/>
                <w:szCs w:val="20"/>
                <w:vertAlign w:val="superscript"/>
              </w:rPr>
              <w:t>b,c</w:t>
            </w:r>
          </w:p>
        </w:tc>
      </w:tr>
      <w:tr w:rsidR="004A79F9" w:rsidRPr="005E1E6B" w14:paraId="0E02956F"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BEC896A" w14:textId="0B4BAB1C"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Renal and urinary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C608EB0" w14:textId="77777777" w:rsidR="00A135EE" w:rsidRPr="005E1E6B" w:rsidRDefault="00A135EE" w:rsidP="005E1E6B">
            <w:pPr>
              <w:pStyle w:val="TableParagraph"/>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F4EADFC" w14:textId="70F006D1"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Proteinuria</w:t>
            </w:r>
            <w:r w:rsidRPr="00AD0069">
              <w:rPr>
                <w:rFonts w:ascii="Times New Roman" w:hAnsi="Times New Roman" w:cs="Times New Roman"/>
                <w:sz w:val="20"/>
                <w:szCs w:val="20"/>
                <w:vertAlign w:val="superscript"/>
              </w:rPr>
              <w:t>a,b</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875714A"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C880E6E"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A9E7709"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C4995BF" w14:textId="77777777" w:rsidR="00A135EE" w:rsidRPr="005E1E6B" w:rsidRDefault="00A135EE" w:rsidP="005E1E6B">
            <w:pPr>
              <w:pStyle w:val="TableParagraph"/>
              <w:jc w:val="center"/>
              <w:rPr>
                <w:rFonts w:ascii="Times New Roman" w:hAnsi="Times New Roman" w:cs="Times New Roman"/>
                <w:sz w:val="20"/>
                <w:szCs w:val="20"/>
              </w:rPr>
            </w:pPr>
          </w:p>
        </w:tc>
      </w:tr>
      <w:tr w:rsidR="004A79F9" w:rsidRPr="005E1E6B" w14:paraId="411CD293"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36461CD" w14:textId="4342823A"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Reproductive system and breast disorders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D08EC16" w14:textId="77777777" w:rsidR="00A135EE" w:rsidRPr="005E1E6B" w:rsidRDefault="00A135EE" w:rsidP="005E1E6B">
            <w:pPr>
              <w:pStyle w:val="TableParagraph"/>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A55D012" w14:textId="698AC01D"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Pelvic pain</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91C38B3"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AB81619"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334AC93"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6CD6807" w14:textId="0AF8F899"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Ovarian failure</w:t>
            </w:r>
            <w:r w:rsidRPr="00D51785">
              <w:rPr>
                <w:rFonts w:ascii="Times New Roman" w:hAnsi="Times New Roman" w:cs="Times New Roman"/>
                <w:sz w:val="20"/>
                <w:szCs w:val="20"/>
                <w:vertAlign w:val="superscript"/>
              </w:rPr>
              <w:t>a,b</w:t>
            </w:r>
          </w:p>
        </w:tc>
      </w:tr>
      <w:tr w:rsidR="004A79F9" w:rsidRPr="005E1E6B" w14:paraId="3EB5ED71"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4D61D8A" w14:textId="0C65B3D1"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Congenital, familial, and genetic disorder</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537F360" w14:textId="77777777" w:rsidR="00A135EE" w:rsidRPr="005E1E6B" w:rsidRDefault="00A135EE" w:rsidP="005E1E6B">
            <w:pPr>
              <w:pStyle w:val="TableParagraph"/>
              <w:jc w:val="center"/>
              <w:rPr>
                <w:rFonts w:ascii="Times New Roman" w:hAnsi="Times New Roman" w:cs="Times New Roman"/>
                <w:sz w:val="20"/>
                <w:szCs w:val="20"/>
              </w:rPr>
            </w:pP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0E808537" w14:textId="77777777" w:rsidR="00A135EE" w:rsidRPr="005E1E6B" w:rsidRDefault="00A135EE" w:rsidP="005E1E6B">
            <w:pPr>
              <w:pStyle w:val="TableParagraph"/>
              <w:jc w:val="center"/>
              <w:rPr>
                <w:rFonts w:ascii="Times New Roman" w:hAnsi="Times New Roman" w:cs="Times New Roman"/>
                <w:sz w:val="20"/>
                <w:szCs w:val="20"/>
              </w:rPr>
            </w:pP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73835290"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10035860"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6B620A4D"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2B322B5A" w14:textId="34B00F2D"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Foetal abnormalities</w:t>
            </w:r>
            <w:r w:rsidRPr="00D51785">
              <w:rPr>
                <w:rFonts w:ascii="Times New Roman" w:hAnsi="Times New Roman" w:cs="Times New Roman"/>
                <w:sz w:val="20"/>
                <w:szCs w:val="20"/>
                <w:vertAlign w:val="superscript"/>
              </w:rPr>
              <w:t>a,c</w:t>
            </w:r>
          </w:p>
        </w:tc>
      </w:tr>
      <w:tr w:rsidR="004A79F9" w:rsidRPr="005E1E6B" w14:paraId="7F07E70A" w14:textId="77777777" w:rsidTr="00881AF2">
        <w:trPr>
          <w:cantSplit/>
        </w:trPr>
        <w:tc>
          <w:tcPr>
            <w:tcW w:w="141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B7F9219" w14:textId="6142F84E"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General disorders and administration site conditions</w:t>
            </w:r>
          </w:p>
        </w:tc>
        <w:tc>
          <w:tcPr>
            <w:tcW w:w="135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4814BCFF" w14:textId="7C57A2EE"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Asthenia, fatigue</w:t>
            </w:r>
          </w:p>
        </w:tc>
        <w:tc>
          <w:tcPr>
            <w:tcW w:w="176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EA35C66" w14:textId="6330E544" w:rsidR="00A135EE" w:rsidRPr="005E1E6B" w:rsidRDefault="00C210A5" w:rsidP="005E1E6B">
            <w:pPr>
              <w:pStyle w:val="TableParagraph"/>
              <w:jc w:val="center"/>
              <w:rPr>
                <w:rFonts w:ascii="Times New Roman" w:hAnsi="Times New Roman" w:cs="Times New Roman"/>
                <w:sz w:val="20"/>
                <w:szCs w:val="20"/>
              </w:rPr>
            </w:pPr>
            <w:r w:rsidRPr="005E1E6B">
              <w:rPr>
                <w:rFonts w:ascii="Times New Roman" w:hAnsi="Times New Roman" w:cs="Times New Roman"/>
                <w:sz w:val="20"/>
                <w:szCs w:val="20"/>
              </w:rPr>
              <w:t>Pain, lethargy, mucosal inflammation</w:t>
            </w:r>
          </w:p>
        </w:tc>
        <w:tc>
          <w:tcPr>
            <w:tcW w:w="1182"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1CA61F" w14:textId="77777777" w:rsidR="00A135EE" w:rsidRPr="005E1E6B" w:rsidRDefault="00A135EE" w:rsidP="005E1E6B">
            <w:pPr>
              <w:jc w:val="center"/>
              <w:rPr>
                <w:rFonts w:ascii="Times New Roman" w:hAnsi="Times New Roman" w:cs="Times New Roman"/>
                <w:sz w:val="20"/>
                <w:szCs w:val="20"/>
              </w:rPr>
            </w:pPr>
          </w:p>
        </w:tc>
        <w:tc>
          <w:tcPr>
            <w:tcW w:w="1210"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21DD0C6" w14:textId="77777777" w:rsidR="00A135EE" w:rsidRPr="005E1E6B" w:rsidRDefault="00A135EE" w:rsidP="005E1E6B">
            <w:pPr>
              <w:jc w:val="center"/>
              <w:rPr>
                <w:rFonts w:ascii="Times New Roman" w:hAnsi="Times New Roman" w:cs="Times New Roman"/>
                <w:sz w:val="20"/>
                <w:szCs w:val="20"/>
              </w:rPr>
            </w:pPr>
          </w:p>
        </w:tc>
        <w:tc>
          <w:tcPr>
            <w:tcW w:w="756" w:type="dxa"/>
            <w:tcBorders>
              <w:top w:val="single" w:sz="5" w:space="0" w:color="000000"/>
              <w:left w:val="single" w:sz="5" w:space="0" w:color="000000"/>
              <w:bottom w:val="single" w:sz="5" w:space="0" w:color="000000"/>
              <w:right w:val="single" w:sz="5" w:space="0" w:color="000000"/>
            </w:tcBorders>
            <w:tcMar>
              <w:left w:w="28" w:type="dxa"/>
              <w:right w:w="28" w:type="dxa"/>
            </w:tcMar>
          </w:tcPr>
          <w:p w14:paraId="3CDF09C8" w14:textId="77777777" w:rsidR="00A135EE" w:rsidRPr="005E1E6B" w:rsidRDefault="00A135EE" w:rsidP="005E1E6B">
            <w:pPr>
              <w:jc w:val="center"/>
              <w:rPr>
                <w:rFonts w:ascii="Times New Roman" w:hAnsi="Times New Roman" w:cs="Times New Roman"/>
                <w:sz w:val="20"/>
                <w:szCs w:val="20"/>
              </w:rPr>
            </w:pPr>
          </w:p>
        </w:tc>
        <w:tc>
          <w:tcPr>
            <w:tcW w:w="1814" w:type="dxa"/>
            <w:tcBorders>
              <w:top w:val="single" w:sz="5" w:space="0" w:color="000000"/>
              <w:left w:val="single" w:sz="5" w:space="0" w:color="000000"/>
              <w:bottom w:val="single" w:sz="5" w:space="0" w:color="000000"/>
              <w:right w:val="single" w:sz="5" w:space="0" w:color="000000"/>
            </w:tcBorders>
            <w:tcMar>
              <w:left w:w="28" w:type="dxa"/>
              <w:right w:w="28" w:type="dxa"/>
            </w:tcMar>
          </w:tcPr>
          <w:p w14:paraId="53870CEE" w14:textId="77777777" w:rsidR="00A135EE" w:rsidRPr="005E1E6B" w:rsidRDefault="00A135EE" w:rsidP="005E1E6B">
            <w:pPr>
              <w:pStyle w:val="TableParagraph"/>
              <w:jc w:val="center"/>
              <w:rPr>
                <w:rFonts w:ascii="Times New Roman" w:hAnsi="Times New Roman" w:cs="Times New Roman"/>
                <w:sz w:val="20"/>
                <w:szCs w:val="20"/>
              </w:rPr>
            </w:pPr>
          </w:p>
        </w:tc>
      </w:tr>
    </w:tbl>
    <w:p w14:paraId="36FC0A0E" w14:textId="77777777" w:rsidR="00A82711" w:rsidRDefault="00A82711" w:rsidP="005E1E6B">
      <w:pPr>
        <w:adjustRightInd w:val="0"/>
        <w:snapToGrid w:val="0"/>
        <w:rPr>
          <w:rFonts w:ascii="Times New Roman" w:hAnsi="Times New Roman" w:cs="Times New Roman"/>
          <w:sz w:val="20"/>
          <w:szCs w:val="20"/>
          <w:lang w:eastAsia="ko-KR"/>
        </w:rPr>
      </w:pPr>
    </w:p>
    <w:p w14:paraId="3AC22C94" w14:textId="765F097D" w:rsidR="00047E69" w:rsidRPr="0004487F" w:rsidRDefault="00C210A5" w:rsidP="005E1E6B">
      <w:pPr>
        <w:adjustRightInd w:val="0"/>
        <w:snapToGrid w:val="0"/>
        <w:rPr>
          <w:rFonts w:ascii="Times New Roman" w:eastAsia="Times New Roman" w:hAnsi="Times New Roman" w:cs="Times New Roman"/>
          <w:sz w:val="20"/>
          <w:szCs w:val="20"/>
        </w:rPr>
      </w:pPr>
      <w:r w:rsidRPr="0004487F">
        <w:rPr>
          <w:rFonts w:ascii="Times New Roman" w:eastAsia="Times New Roman" w:hAnsi="Times New Roman" w:cs="Times New Roman"/>
          <w:sz w:val="20"/>
          <w:szCs w:val="20"/>
        </w:rPr>
        <w:t>Table 2 provides the frequency of severe adverse reactions. Severe reactions are defined as adverse events with at least a 2% difference compared to the control arm in clinical studies for NCI</w:t>
      </w:r>
      <w:r w:rsidR="00FD0731" w:rsidRPr="0004487F">
        <w:rPr>
          <w:rFonts w:ascii="Times New Roman" w:eastAsia="Times New Roman" w:hAnsi="Times New Roman" w:cs="Times New Roman"/>
          <w:sz w:val="20"/>
          <w:szCs w:val="20"/>
        </w:rPr>
        <w:noBreakHyphen/>
      </w:r>
      <w:r w:rsidRPr="0004487F">
        <w:rPr>
          <w:rFonts w:ascii="Times New Roman" w:eastAsia="Times New Roman" w:hAnsi="Times New Roman" w:cs="Times New Roman"/>
          <w:sz w:val="20"/>
          <w:szCs w:val="20"/>
        </w:rPr>
        <w:t>CTCAE Grade 3-5 reactions. Table 2 also includes adverse reactions which are considered by the MAH to be clinically significant or severe. These clinically significant adverse reactions were reported in clinical trials but the grade 3-5 reactions did not meet the threshold of at least a 2% difference compared to the control arm. Table 2 also includes clinically significant adverse reactions that were observed only in the postmarketing setting, therefore, the frequency and NCI</w:t>
      </w:r>
      <w:r w:rsidR="00FD0731" w:rsidRPr="0004487F">
        <w:rPr>
          <w:rFonts w:ascii="Times New Roman" w:eastAsia="Times New Roman" w:hAnsi="Times New Roman" w:cs="Times New Roman"/>
          <w:sz w:val="20"/>
          <w:szCs w:val="20"/>
        </w:rPr>
        <w:noBreakHyphen/>
      </w:r>
      <w:r w:rsidRPr="0004487F">
        <w:rPr>
          <w:rFonts w:ascii="Times New Roman" w:eastAsia="Times New Roman" w:hAnsi="Times New Roman" w:cs="Times New Roman"/>
          <w:sz w:val="20"/>
          <w:szCs w:val="20"/>
        </w:rPr>
        <w:t>CTCAE grade is not known. These clinically significant reactions have therefore been included in Table 2 within the column entitled “Frequency Not Known.”</w:t>
      </w:r>
    </w:p>
    <w:p w14:paraId="4634EA5B" w14:textId="77777777" w:rsidR="00047E69" w:rsidRPr="0004487F" w:rsidRDefault="00C210A5" w:rsidP="005E1E6B">
      <w:pPr>
        <w:adjustRightInd w:val="0"/>
        <w:snapToGrid w:val="0"/>
        <w:rPr>
          <w:rFonts w:ascii="Times New Roman" w:eastAsia="Times New Roman" w:hAnsi="Times New Roman" w:cs="Times New Roman"/>
          <w:sz w:val="20"/>
          <w:szCs w:val="20"/>
        </w:rPr>
      </w:pPr>
      <w:r w:rsidRPr="0004487F">
        <w:rPr>
          <w:rFonts w:ascii="Times New Roman" w:hAnsi="Times New Roman" w:cs="Times New Roman"/>
          <w:sz w:val="20"/>
          <w:szCs w:val="20"/>
          <w:vertAlign w:val="superscript"/>
        </w:rPr>
        <w:t>a</w:t>
      </w:r>
      <w:r w:rsidRPr="0004487F">
        <w:rPr>
          <w:rFonts w:ascii="Times New Roman" w:hAnsi="Times New Roman" w:cs="Times New Roman"/>
          <w:sz w:val="20"/>
          <w:szCs w:val="20"/>
        </w:rPr>
        <w:t xml:space="preserve"> Terms represent a group of events that describe a medical concept rather than a single condition or MedDRA (Medical Dictionary for Regulatory Activities) preferred term. This group of medical terms may involve the same underlying pathophysiology (e.g. arterial thromboembolic reactions include cerebrovascular accident, myocardial infarction, transient ischaemic attack and other arterial thromboembolic reactions).</w:t>
      </w:r>
    </w:p>
    <w:p w14:paraId="770F6E8F" w14:textId="77777777" w:rsidR="00047E69" w:rsidRPr="0004487F" w:rsidRDefault="00C210A5" w:rsidP="005E1E6B">
      <w:pPr>
        <w:adjustRightInd w:val="0"/>
        <w:snapToGrid w:val="0"/>
        <w:rPr>
          <w:rFonts w:ascii="Times New Roman" w:eastAsia="Times New Roman" w:hAnsi="Times New Roman" w:cs="Times New Roman"/>
          <w:sz w:val="20"/>
          <w:szCs w:val="20"/>
        </w:rPr>
      </w:pPr>
      <w:r w:rsidRPr="0004487F">
        <w:rPr>
          <w:rFonts w:ascii="Times New Roman" w:hAnsi="Times New Roman" w:cs="Times New Roman"/>
          <w:sz w:val="20"/>
          <w:szCs w:val="20"/>
          <w:vertAlign w:val="superscript"/>
        </w:rPr>
        <w:t>b</w:t>
      </w:r>
      <w:r w:rsidRPr="0004487F">
        <w:rPr>
          <w:rFonts w:ascii="Times New Roman" w:hAnsi="Times New Roman" w:cs="Times New Roman"/>
          <w:sz w:val="20"/>
          <w:szCs w:val="20"/>
        </w:rPr>
        <w:t xml:space="preserve"> For additional information refer below within section "Further information on selected serious adverse reactions"</w:t>
      </w:r>
    </w:p>
    <w:p w14:paraId="26116B6C" w14:textId="38D3334C" w:rsidR="00047E69" w:rsidRPr="0004487F" w:rsidRDefault="00C210A5" w:rsidP="005E1E6B">
      <w:pPr>
        <w:adjustRightInd w:val="0"/>
        <w:snapToGrid w:val="0"/>
        <w:rPr>
          <w:rFonts w:ascii="Times New Roman" w:eastAsia="Times New Roman" w:hAnsi="Times New Roman" w:cs="Times New Roman"/>
          <w:sz w:val="20"/>
          <w:szCs w:val="20"/>
        </w:rPr>
      </w:pPr>
      <w:r w:rsidRPr="0004487F">
        <w:rPr>
          <w:rFonts w:ascii="Times New Roman" w:hAnsi="Times New Roman" w:cs="Times New Roman"/>
          <w:sz w:val="20"/>
          <w:szCs w:val="20"/>
          <w:vertAlign w:val="superscript"/>
        </w:rPr>
        <w:t>c</w:t>
      </w:r>
      <w:r w:rsidRPr="0004487F">
        <w:rPr>
          <w:rFonts w:ascii="Times New Roman" w:hAnsi="Times New Roman" w:cs="Times New Roman"/>
          <w:sz w:val="20"/>
          <w:szCs w:val="20"/>
        </w:rPr>
        <w:t xml:space="preserve"> For further information please refer to Table 3 'Adverse reactions reported in post</w:t>
      </w:r>
      <w:r w:rsidR="00FD0731" w:rsidRPr="0004487F">
        <w:rPr>
          <w:rFonts w:ascii="Times New Roman" w:hAnsi="Times New Roman" w:cs="Times New Roman"/>
          <w:sz w:val="20"/>
          <w:szCs w:val="20"/>
        </w:rPr>
        <w:noBreakHyphen/>
      </w:r>
      <w:r w:rsidRPr="0004487F">
        <w:rPr>
          <w:rFonts w:ascii="Times New Roman" w:hAnsi="Times New Roman" w:cs="Times New Roman"/>
          <w:sz w:val="20"/>
          <w:szCs w:val="20"/>
        </w:rPr>
        <w:t>marketing setting.'</w:t>
      </w:r>
    </w:p>
    <w:p w14:paraId="0552D14D" w14:textId="2163593F" w:rsidR="00047E69" w:rsidRPr="0004487F" w:rsidRDefault="00C210A5" w:rsidP="005E1E6B">
      <w:pPr>
        <w:adjustRightInd w:val="0"/>
        <w:snapToGrid w:val="0"/>
        <w:rPr>
          <w:rFonts w:ascii="Times New Roman" w:eastAsia="Times New Roman" w:hAnsi="Times New Roman" w:cs="Times New Roman"/>
          <w:sz w:val="20"/>
          <w:szCs w:val="20"/>
        </w:rPr>
      </w:pPr>
      <w:r w:rsidRPr="0004487F">
        <w:rPr>
          <w:rFonts w:ascii="Times New Roman" w:hAnsi="Times New Roman" w:cs="Times New Roman"/>
          <w:sz w:val="20"/>
          <w:szCs w:val="20"/>
          <w:vertAlign w:val="superscript"/>
        </w:rPr>
        <w:t>d</w:t>
      </w:r>
      <w:r w:rsidRPr="0004487F">
        <w:rPr>
          <w:rFonts w:ascii="Times New Roman" w:hAnsi="Times New Roman" w:cs="Times New Roman"/>
          <w:sz w:val="20"/>
          <w:szCs w:val="20"/>
        </w:rPr>
        <w:t xml:space="preserve"> Recto</w:t>
      </w:r>
      <w:r w:rsidR="00FD0731" w:rsidRPr="0004487F">
        <w:rPr>
          <w:rFonts w:ascii="Times New Roman" w:hAnsi="Times New Roman" w:cs="Times New Roman"/>
          <w:sz w:val="20"/>
          <w:szCs w:val="20"/>
        </w:rPr>
        <w:noBreakHyphen/>
      </w:r>
      <w:r w:rsidRPr="0004487F">
        <w:rPr>
          <w:rFonts w:ascii="Times New Roman" w:hAnsi="Times New Roman" w:cs="Times New Roman"/>
          <w:sz w:val="20"/>
          <w:szCs w:val="20"/>
        </w:rPr>
        <w:t>vaginal fistulae are the most common fistulae in the GI</w:t>
      </w:r>
      <w:r w:rsidR="00FD0731" w:rsidRPr="0004487F">
        <w:rPr>
          <w:rFonts w:ascii="Times New Roman" w:hAnsi="Times New Roman" w:cs="Times New Roman"/>
          <w:sz w:val="20"/>
          <w:szCs w:val="20"/>
        </w:rPr>
        <w:noBreakHyphen/>
      </w:r>
      <w:r w:rsidRPr="0004487F">
        <w:rPr>
          <w:rFonts w:ascii="Times New Roman" w:hAnsi="Times New Roman" w:cs="Times New Roman"/>
          <w:sz w:val="20"/>
          <w:szCs w:val="20"/>
        </w:rPr>
        <w:t>vaginal fistula category.</w:t>
      </w:r>
    </w:p>
    <w:p w14:paraId="553419E3" w14:textId="77777777" w:rsidR="00047E69" w:rsidRPr="0004487F" w:rsidRDefault="00047E69" w:rsidP="004228B0">
      <w:pPr>
        <w:adjustRightInd w:val="0"/>
        <w:snapToGrid w:val="0"/>
        <w:spacing w:before="9"/>
        <w:rPr>
          <w:rFonts w:ascii="Times New Roman" w:eastAsia="Times New Roman" w:hAnsi="Times New Roman" w:cs="Times New Roman"/>
          <w:sz w:val="21"/>
          <w:szCs w:val="21"/>
        </w:rPr>
      </w:pPr>
    </w:p>
    <w:p w14:paraId="4AD20C08" w14:textId="42F8D6C0" w:rsidR="00047E69" w:rsidRPr="0004487F" w:rsidRDefault="00C210A5" w:rsidP="004A79F9">
      <w:pPr>
        <w:pStyle w:val="a5"/>
        <w:widowControl/>
        <w:adjustRightInd w:val="0"/>
        <w:snapToGrid w:val="0"/>
      </w:pPr>
      <w:r w:rsidRPr="0004487F">
        <w:rPr>
          <w:u w:val="single" w:color="000000"/>
        </w:rPr>
        <w:t>Description of selected serious adverse reactions</w:t>
      </w:r>
    </w:p>
    <w:p w14:paraId="77245E54" w14:textId="77777777" w:rsidR="00047E69" w:rsidRPr="0004487F" w:rsidRDefault="00047E69" w:rsidP="004A79F9">
      <w:pPr>
        <w:widowControl/>
        <w:adjustRightInd w:val="0"/>
        <w:snapToGrid w:val="0"/>
        <w:rPr>
          <w:rFonts w:ascii="Times New Roman" w:eastAsia="Times New Roman" w:hAnsi="Times New Roman" w:cs="Times New Roman"/>
          <w:sz w:val="15"/>
          <w:szCs w:val="15"/>
        </w:rPr>
      </w:pPr>
    </w:p>
    <w:p w14:paraId="4943AB09" w14:textId="7B639648" w:rsidR="00047E69" w:rsidRPr="0004487F" w:rsidRDefault="00C210A5" w:rsidP="004A79F9">
      <w:pPr>
        <w:widowControl/>
        <w:adjustRightInd w:val="0"/>
        <w:snapToGrid w:val="0"/>
        <w:rPr>
          <w:rFonts w:ascii="Times New Roman" w:eastAsia="Times New Roman" w:hAnsi="Times New Roman" w:cs="Times New Roman"/>
        </w:rPr>
      </w:pPr>
      <w:r w:rsidRPr="0004487F">
        <w:rPr>
          <w:rFonts w:ascii="Times New Roman"/>
          <w:i/>
          <w:u w:val="single"/>
        </w:rPr>
        <w:t xml:space="preserve">Gastrointestinal (GI) perforations and </w:t>
      </w:r>
      <w:r w:rsidR="002B27C4" w:rsidRPr="0004487F">
        <w:rPr>
          <w:rFonts w:ascii="Times New Roman"/>
          <w:i/>
          <w:u w:val="single"/>
        </w:rPr>
        <w:t>f</w:t>
      </w:r>
      <w:r w:rsidRPr="0004487F">
        <w:rPr>
          <w:rFonts w:ascii="Times New Roman"/>
          <w:i/>
          <w:u w:val="single"/>
        </w:rPr>
        <w:t>istulae</w:t>
      </w:r>
      <w:r w:rsidRPr="0004487F">
        <w:rPr>
          <w:rFonts w:ascii="Times New Roman"/>
          <w:i/>
        </w:rPr>
        <w:t xml:space="preserve"> </w:t>
      </w:r>
      <w:r w:rsidRPr="0004487F">
        <w:rPr>
          <w:rFonts w:ascii="Times New Roman"/>
        </w:rPr>
        <w:t>(see section 4.4)</w:t>
      </w:r>
    </w:p>
    <w:p w14:paraId="44054F1D" w14:textId="77777777" w:rsidR="00047E69" w:rsidRPr="0004487F" w:rsidRDefault="00C210A5" w:rsidP="004A79F9">
      <w:pPr>
        <w:pStyle w:val="a5"/>
        <w:widowControl/>
        <w:adjustRightInd w:val="0"/>
        <w:snapToGrid w:val="0"/>
      </w:pPr>
      <w:r w:rsidRPr="0004487F">
        <w:t>Bevacizumab has been associated with serious cases of gastrointestinal perforation.</w:t>
      </w:r>
    </w:p>
    <w:p w14:paraId="3F84253B" w14:textId="4F001DA6" w:rsidR="00047E69" w:rsidRPr="0004487F" w:rsidRDefault="00C210A5" w:rsidP="004A79F9">
      <w:pPr>
        <w:pStyle w:val="a5"/>
        <w:widowControl/>
        <w:adjustRightInd w:val="0"/>
        <w:snapToGrid w:val="0"/>
        <w:rPr>
          <w:rFonts w:cs="Times New Roman"/>
        </w:rPr>
      </w:pPr>
      <w:r w:rsidRPr="0004487F">
        <w:lastRenderedPageBreak/>
        <w:t xml:space="preserve">Gastrointestinal perforations have been reported in clinical trials with an incidence of less than 1% in patients with non-squamous </w:t>
      </w:r>
      <w:r w:rsidR="00355E84" w:rsidRPr="0004487F">
        <w:t>NSCLC</w:t>
      </w:r>
      <w:r w:rsidRPr="0004487F">
        <w:t xml:space="preserve">, up to 1.3% in patients with metastatic breast cancer, up to 2.0% in patients with </w:t>
      </w:r>
      <w:r w:rsidR="00355E84" w:rsidRPr="0004487F">
        <w:t>mRCC</w:t>
      </w:r>
      <w:r w:rsidRPr="0004487F">
        <w:t xml:space="preserve"> or in patients with ovarian cancer, and up to 2.7% (including gastrointestinal fistula and abscess) in patients with metastatic colorectal cancer. From a clinical trial in patients with persistent, recurrent, or metastatic cervical cancer (study GOG</w:t>
      </w:r>
      <w:r w:rsidR="00FD0731" w:rsidRPr="0004487F">
        <w:noBreakHyphen/>
      </w:r>
      <w:r w:rsidRPr="0004487F">
        <w:t xml:space="preserve"> 0240), GI perforations (all grade) were reported in 3.2% of patients, all of whom had a history of prior pelvic radiation</w:t>
      </w:r>
      <w:r w:rsidRPr="0004487F">
        <w:rPr>
          <w:i/>
        </w:rPr>
        <w:t>.</w:t>
      </w:r>
    </w:p>
    <w:p w14:paraId="3C21434E" w14:textId="77777777" w:rsidR="00A135EE" w:rsidRPr="0004487F" w:rsidRDefault="00A135EE" w:rsidP="004A79F9">
      <w:pPr>
        <w:pStyle w:val="a5"/>
        <w:widowControl/>
        <w:adjustRightInd w:val="0"/>
        <w:snapToGrid w:val="0"/>
      </w:pPr>
    </w:p>
    <w:p w14:paraId="3513F4CC" w14:textId="01B4B525" w:rsidR="00047E69" w:rsidRPr="0004487F" w:rsidRDefault="00C210A5" w:rsidP="004A79F9">
      <w:pPr>
        <w:pStyle w:val="a5"/>
        <w:widowControl/>
        <w:adjustRightInd w:val="0"/>
        <w:snapToGrid w:val="0"/>
      </w:pPr>
      <w:r w:rsidRPr="0004487F">
        <w:t>The occurrence of those events varied in type and severity, ranging from free air seen on the plain abdominal X</w:t>
      </w:r>
      <w:r w:rsidR="00FD0731" w:rsidRPr="0004487F">
        <w:noBreakHyphen/>
      </w:r>
      <w:r w:rsidRPr="0004487F">
        <w:t>ray, which resolved without treatment, to intestinal perforation with abdominal abscess and fatal outcome. In some cases underlying intra</w:t>
      </w:r>
      <w:r w:rsidR="00FD0731" w:rsidRPr="0004487F">
        <w:noBreakHyphen/>
      </w:r>
      <w:r w:rsidRPr="0004487F">
        <w:t>abdominal inflammation was present, either from gastric ulcer disease, tumour necrosis, diverticulitis, or chemotherapy</w:t>
      </w:r>
      <w:r w:rsidR="00FD0731" w:rsidRPr="0004487F">
        <w:noBreakHyphen/>
      </w:r>
      <w:r w:rsidRPr="0004487F">
        <w:t>associated colitis.</w:t>
      </w:r>
    </w:p>
    <w:p w14:paraId="59A314AB"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605CC6CD" w14:textId="77777777" w:rsidR="00047E69" w:rsidRPr="0004487F" w:rsidRDefault="00C210A5" w:rsidP="004A79F9">
      <w:pPr>
        <w:pStyle w:val="a5"/>
        <w:widowControl/>
        <w:adjustRightInd w:val="0"/>
        <w:snapToGrid w:val="0"/>
      </w:pPr>
      <w:r w:rsidRPr="0004487F">
        <w:t>Fatal outcome was reported in approximately a third of serious cases of gastrointestinal perforations, which represents between 0.2%-1% of all bevacizumab treated patients.</w:t>
      </w:r>
    </w:p>
    <w:p w14:paraId="624388C7" w14:textId="77777777" w:rsidR="00047E69" w:rsidRPr="0004487F" w:rsidRDefault="00047E69" w:rsidP="004A79F9">
      <w:pPr>
        <w:widowControl/>
        <w:adjustRightInd w:val="0"/>
        <w:snapToGrid w:val="0"/>
        <w:rPr>
          <w:rFonts w:ascii="Times New Roman" w:eastAsia="Times New Roman" w:hAnsi="Times New Roman" w:cs="Times New Roman"/>
        </w:rPr>
      </w:pPr>
    </w:p>
    <w:p w14:paraId="53E3201F" w14:textId="77777777" w:rsidR="00047E69" w:rsidRPr="0004487F" w:rsidRDefault="00C210A5" w:rsidP="004A79F9">
      <w:pPr>
        <w:pStyle w:val="a5"/>
        <w:widowControl/>
        <w:adjustRightInd w:val="0"/>
        <w:snapToGrid w:val="0"/>
      </w:pPr>
      <w:r w:rsidRPr="0004487F">
        <w:t>In bevacizumab clinical trials, gastrointestinal fistulae (all grade) have been reported with an incidence of up to 2% in patients with metastatic colorectal cancer and ovarian cancer, but were also reported less commonly in patients with other types of cancer.</w:t>
      </w:r>
    </w:p>
    <w:p w14:paraId="4B541955"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745CA413" w14:textId="26C2996F" w:rsidR="00047E69" w:rsidRPr="0004487F" w:rsidRDefault="00C210A5" w:rsidP="004A79F9">
      <w:pPr>
        <w:widowControl/>
        <w:adjustRightInd w:val="0"/>
        <w:snapToGrid w:val="0"/>
        <w:rPr>
          <w:rFonts w:ascii="Times New Roman" w:eastAsia="Times New Roman" w:hAnsi="Times New Roman" w:cs="Times New Roman"/>
          <w:u w:val="single"/>
        </w:rPr>
      </w:pPr>
      <w:r w:rsidRPr="0004487F">
        <w:rPr>
          <w:rFonts w:ascii="Times New Roman"/>
          <w:i/>
          <w:u w:val="single"/>
        </w:rPr>
        <w:t>GI</w:t>
      </w:r>
      <w:r w:rsidR="00FD0731" w:rsidRPr="0004487F">
        <w:rPr>
          <w:rFonts w:ascii="Times New Roman"/>
          <w:i/>
          <w:u w:val="single"/>
        </w:rPr>
        <w:noBreakHyphen/>
      </w:r>
      <w:r w:rsidRPr="0004487F">
        <w:rPr>
          <w:rFonts w:ascii="Times New Roman"/>
          <w:i/>
          <w:u w:val="single"/>
        </w:rPr>
        <w:t xml:space="preserve">vaginal </w:t>
      </w:r>
      <w:r w:rsidR="002B27C4" w:rsidRPr="0004487F">
        <w:rPr>
          <w:rFonts w:ascii="Times New Roman"/>
          <w:i/>
          <w:u w:val="single"/>
        </w:rPr>
        <w:t>f</w:t>
      </w:r>
      <w:r w:rsidRPr="0004487F">
        <w:rPr>
          <w:rFonts w:ascii="Times New Roman"/>
          <w:i/>
          <w:u w:val="single"/>
        </w:rPr>
        <w:t>istulae in study GOG</w:t>
      </w:r>
      <w:r w:rsidR="00FD0731" w:rsidRPr="0004487F">
        <w:rPr>
          <w:rFonts w:ascii="Times New Roman"/>
          <w:i/>
          <w:u w:val="single"/>
        </w:rPr>
        <w:noBreakHyphen/>
      </w:r>
      <w:r w:rsidRPr="0004487F">
        <w:rPr>
          <w:rFonts w:ascii="Times New Roman"/>
          <w:i/>
          <w:u w:val="single"/>
        </w:rPr>
        <w:t>0240</w:t>
      </w:r>
    </w:p>
    <w:p w14:paraId="210F50B6" w14:textId="1BE3F806" w:rsidR="00047E69" w:rsidRPr="0004487F" w:rsidRDefault="00C210A5" w:rsidP="004A79F9">
      <w:pPr>
        <w:pStyle w:val="a5"/>
        <w:widowControl/>
        <w:adjustRightInd w:val="0"/>
        <w:snapToGrid w:val="0"/>
        <w:ind w:hanging="1"/>
      </w:pPr>
      <w:r w:rsidRPr="0004487F">
        <w:t>In a trial of patients with persistent, recurrent or metastatic cervical cancer, the incidence of GI</w:t>
      </w:r>
      <w:r w:rsidR="00FD0731" w:rsidRPr="0004487F">
        <w:noBreakHyphen/>
      </w:r>
      <w:r w:rsidRPr="0004487F">
        <w:t>vaginal fistulae was 8.3% in bevacizumab</w:t>
      </w:r>
      <w:r w:rsidR="00FD0731" w:rsidRPr="0004487F">
        <w:noBreakHyphen/>
      </w:r>
      <w:r w:rsidRPr="0004487F">
        <w:t>treated patients and 0.9% in control patients, all of whom had a history of prior pelvic radiation. The frequency of GI</w:t>
      </w:r>
      <w:r w:rsidR="00FD0731" w:rsidRPr="0004487F">
        <w:noBreakHyphen/>
      </w:r>
      <w:r w:rsidRPr="0004487F">
        <w:t>vaginal fistulae in the group treated with bevacizumab + chemotherapy was higher in patients with recurrence within the field of prior radiation (16.7%) compared with patients with no prior radiation and/ or no recurrence inside the field of prior radiati</w:t>
      </w:r>
      <w:r w:rsidRPr="0004487F">
        <w:rPr>
          <w:rFonts w:eastAsiaTheme="minorEastAsia" w:cs="Times New Roman"/>
        </w:rPr>
        <w:t>on (3.6</w:t>
      </w:r>
      <w:r w:rsidRPr="0004487F">
        <w:t>%).</w:t>
      </w:r>
      <w:r w:rsidRPr="0004487F">
        <w:rPr>
          <w:rFonts w:eastAsiaTheme="minorEastAsia" w:cs="Times New Roman"/>
        </w:rPr>
        <w:t xml:space="preserve"> The corresponding frequ</w:t>
      </w:r>
      <w:r w:rsidRPr="0004487F">
        <w:t>encies in the control group receiving chemotherapy alone were 1.1% vs. 0.8%, resp</w:t>
      </w:r>
      <w:r w:rsidRPr="0004487F">
        <w:rPr>
          <w:rFonts w:eastAsiaTheme="minorEastAsia" w:cs="Times New Roman"/>
        </w:rPr>
        <w:t>ectiv</w:t>
      </w:r>
      <w:r w:rsidRPr="0004487F">
        <w:t>ely. Patients who develop GI</w:t>
      </w:r>
      <w:r w:rsidR="00FD0731" w:rsidRPr="0004487F">
        <w:noBreakHyphen/>
      </w:r>
      <w:r w:rsidRPr="0004487F">
        <w:t>vaginal fistulae may also have bowel obstructions and require surgical intervention as well as diverting ostomies.</w:t>
      </w:r>
    </w:p>
    <w:p w14:paraId="6398077E"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5A646183" w14:textId="2F1914C2" w:rsidR="00047E69" w:rsidRPr="0004487F" w:rsidRDefault="00C210A5" w:rsidP="004A79F9">
      <w:pPr>
        <w:widowControl/>
        <w:adjustRightInd w:val="0"/>
        <w:snapToGrid w:val="0"/>
        <w:rPr>
          <w:rFonts w:ascii="Times New Roman" w:eastAsia="Times New Roman" w:hAnsi="Times New Roman" w:cs="Times New Roman"/>
        </w:rPr>
      </w:pPr>
      <w:r w:rsidRPr="0004487F">
        <w:rPr>
          <w:rFonts w:ascii="Times New Roman"/>
          <w:i/>
          <w:u w:val="single"/>
        </w:rPr>
        <w:t>Non</w:t>
      </w:r>
      <w:r w:rsidR="00FD0731" w:rsidRPr="0004487F">
        <w:rPr>
          <w:rFonts w:ascii="Times New Roman"/>
          <w:i/>
          <w:u w:val="single"/>
        </w:rPr>
        <w:noBreakHyphen/>
      </w:r>
      <w:r w:rsidRPr="0004487F">
        <w:rPr>
          <w:rFonts w:ascii="Times New Roman"/>
          <w:i/>
          <w:u w:val="single"/>
        </w:rPr>
        <w:t xml:space="preserve">GI </w:t>
      </w:r>
      <w:r w:rsidR="002B27C4" w:rsidRPr="0004487F">
        <w:rPr>
          <w:rFonts w:ascii="Times New Roman"/>
          <w:i/>
          <w:u w:val="single"/>
        </w:rPr>
        <w:t>f</w:t>
      </w:r>
      <w:r w:rsidRPr="0004487F">
        <w:rPr>
          <w:rFonts w:ascii="Times New Roman"/>
          <w:i/>
          <w:u w:val="single"/>
        </w:rPr>
        <w:t>istulae</w:t>
      </w:r>
      <w:r w:rsidRPr="0004487F">
        <w:rPr>
          <w:rFonts w:ascii="Times New Roman"/>
          <w:i/>
        </w:rPr>
        <w:t xml:space="preserve"> </w:t>
      </w:r>
      <w:r w:rsidRPr="0004487F">
        <w:rPr>
          <w:rFonts w:ascii="Times New Roman"/>
        </w:rPr>
        <w:t>(see section 4.4)</w:t>
      </w:r>
    </w:p>
    <w:p w14:paraId="57FDB847" w14:textId="77777777" w:rsidR="00047E69" w:rsidRPr="0004487F" w:rsidRDefault="00C210A5" w:rsidP="004A79F9">
      <w:pPr>
        <w:pStyle w:val="a5"/>
        <w:widowControl/>
        <w:adjustRightInd w:val="0"/>
        <w:snapToGrid w:val="0"/>
      </w:pPr>
      <w:r w:rsidRPr="0004487F">
        <w:t>Bevacizumab use has been associated with serious cases of fistulae including reactions resulting in death.</w:t>
      </w:r>
    </w:p>
    <w:p w14:paraId="3B9365E4" w14:textId="77777777" w:rsidR="00047E69" w:rsidRPr="0004487F" w:rsidRDefault="00047E69" w:rsidP="004A79F9">
      <w:pPr>
        <w:widowControl/>
        <w:adjustRightInd w:val="0"/>
        <w:snapToGrid w:val="0"/>
        <w:rPr>
          <w:rFonts w:ascii="Times New Roman" w:eastAsia="Times New Roman" w:hAnsi="Times New Roman" w:cs="Times New Roman"/>
        </w:rPr>
      </w:pPr>
    </w:p>
    <w:p w14:paraId="20B8BD76" w14:textId="7CCD41D3" w:rsidR="00047E69" w:rsidRPr="0004487F" w:rsidRDefault="00C210A5" w:rsidP="004A79F9">
      <w:pPr>
        <w:pStyle w:val="a5"/>
        <w:widowControl/>
        <w:adjustRightInd w:val="0"/>
        <w:snapToGrid w:val="0"/>
      </w:pPr>
      <w:r w:rsidRPr="0004487F">
        <w:t>From a clinical trial in patients with persistent, recurrent, or metastatic cervical cancer (GOG</w:t>
      </w:r>
      <w:r w:rsidR="00FD0731" w:rsidRPr="0004487F">
        <w:noBreakHyphen/>
      </w:r>
      <w:r w:rsidR="00D05A06" w:rsidRPr="0004487F">
        <w:t>0</w:t>
      </w:r>
      <w:r w:rsidRPr="0004487F">
        <w:t>240), 1.8% of bevacizumab</w:t>
      </w:r>
      <w:r w:rsidR="00FD0731" w:rsidRPr="0004487F">
        <w:noBreakHyphen/>
      </w:r>
      <w:r w:rsidRPr="0004487F">
        <w:t>treated patients and 1.4% of control patients were reported to have had non</w:t>
      </w:r>
      <w:r w:rsidR="00FD0731" w:rsidRPr="0004487F">
        <w:noBreakHyphen/>
      </w:r>
      <w:r w:rsidRPr="0004487F">
        <w:t>gastrointestinal</w:t>
      </w:r>
      <w:r w:rsidRPr="0004487F">
        <w:rPr>
          <w:rFonts w:eastAsiaTheme="minorEastAsia" w:cs="Times New Roman"/>
        </w:rPr>
        <w:t xml:space="preserve"> vaginal, vesical, or female genita</w:t>
      </w:r>
      <w:r w:rsidRPr="0004487F">
        <w:t>l tract fistulae.</w:t>
      </w:r>
    </w:p>
    <w:p w14:paraId="6A492557" w14:textId="77777777" w:rsidR="00047E69" w:rsidRPr="0004487F" w:rsidRDefault="00047E69" w:rsidP="004A79F9">
      <w:pPr>
        <w:widowControl/>
        <w:adjustRightInd w:val="0"/>
        <w:snapToGrid w:val="0"/>
        <w:rPr>
          <w:rFonts w:ascii="Times New Roman" w:eastAsia="Times New Roman" w:hAnsi="Times New Roman" w:cs="Times New Roman"/>
        </w:rPr>
      </w:pPr>
    </w:p>
    <w:p w14:paraId="132A73C4" w14:textId="69632AC5" w:rsidR="00047E69" w:rsidRPr="0004487F" w:rsidRDefault="00C210A5" w:rsidP="004A79F9">
      <w:pPr>
        <w:pStyle w:val="a5"/>
        <w:widowControl/>
        <w:adjustRightInd w:val="0"/>
        <w:snapToGrid w:val="0"/>
      </w:pPr>
      <w:r w:rsidRPr="0004487F">
        <w:t>Uncommon (</w:t>
      </w:r>
      <w:r w:rsidRPr="0004487F">
        <w:rPr>
          <w:rFonts w:ascii="Symbol" w:eastAsia="Symbol" w:hAnsi="Symbol" w:cs="Symbol"/>
        </w:rPr>
        <w:sym w:font="Symbol" w:char="F0B3"/>
      </w:r>
      <w:r w:rsidRPr="0004487F">
        <w:rPr>
          <w:rFonts w:ascii="Symbol" w:eastAsia="Symbol" w:hAnsi="Symbol" w:cs="Symbol"/>
        </w:rPr>
        <w:sym w:font="Symbol" w:char="F020"/>
      </w:r>
      <w:r w:rsidRPr="0004487F">
        <w:t>0.1% to &lt; 1%) reports of fistulae that involve areas of the body other than the gastrointestinal tract (e.g. bronchopleural and biliary fistulae) were observed across various indications. Fistulae have also been reported in post</w:t>
      </w:r>
      <w:r w:rsidR="00FD0731" w:rsidRPr="0004487F">
        <w:noBreakHyphen/>
      </w:r>
      <w:r w:rsidRPr="0004487F">
        <w:t>marketing experience.</w:t>
      </w:r>
    </w:p>
    <w:p w14:paraId="5EA7F507" w14:textId="77777777" w:rsidR="00047E69" w:rsidRPr="0004487F" w:rsidRDefault="00047E69" w:rsidP="004A79F9">
      <w:pPr>
        <w:widowControl/>
        <w:adjustRightInd w:val="0"/>
        <w:snapToGrid w:val="0"/>
        <w:rPr>
          <w:rFonts w:ascii="Times New Roman" w:eastAsia="Times New Roman" w:hAnsi="Times New Roman" w:cs="Times New Roman"/>
        </w:rPr>
      </w:pPr>
    </w:p>
    <w:p w14:paraId="6C6FEAAD" w14:textId="77777777" w:rsidR="00047E69" w:rsidRPr="0004487F" w:rsidRDefault="00C210A5" w:rsidP="004A79F9">
      <w:pPr>
        <w:pStyle w:val="a5"/>
        <w:widowControl/>
        <w:adjustRightInd w:val="0"/>
        <w:snapToGrid w:val="0"/>
      </w:pPr>
      <w:r w:rsidRPr="0004487F">
        <w:t>Reactions were reported at various time points during treatment ranging from one week to greater than 1 year from initiation of bevacizumab, with most reactions occurring within the first 6 months of therapy.</w:t>
      </w:r>
    </w:p>
    <w:p w14:paraId="1C8AE696" w14:textId="77777777" w:rsidR="00047E69" w:rsidRPr="0004487F" w:rsidRDefault="00047E69" w:rsidP="004A79F9">
      <w:pPr>
        <w:widowControl/>
        <w:adjustRightInd w:val="0"/>
        <w:snapToGrid w:val="0"/>
        <w:rPr>
          <w:rFonts w:ascii="Times New Roman" w:eastAsia="Times New Roman" w:hAnsi="Times New Roman" w:cs="Times New Roman"/>
        </w:rPr>
      </w:pPr>
    </w:p>
    <w:p w14:paraId="17BCC629" w14:textId="77777777" w:rsidR="00047E69" w:rsidRPr="0004487F" w:rsidRDefault="00C210A5" w:rsidP="004A79F9">
      <w:pPr>
        <w:widowControl/>
        <w:adjustRightInd w:val="0"/>
        <w:snapToGrid w:val="0"/>
        <w:rPr>
          <w:rFonts w:ascii="Times New Roman" w:eastAsia="Times New Roman" w:hAnsi="Times New Roman" w:cs="Times New Roman"/>
        </w:rPr>
      </w:pPr>
      <w:r w:rsidRPr="0004487F">
        <w:rPr>
          <w:rFonts w:ascii="Times New Roman"/>
          <w:i/>
          <w:u w:val="single"/>
        </w:rPr>
        <w:t>Wound healing</w:t>
      </w:r>
      <w:r w:rsidRPr="0004487F">
        <w:rPr>
          <w:rFonts w:ascii="Times New Roman"/>
          <w:i/>
        </w:rPr>
        <w:t xml:space="preserve"> </w:t>
      </w:r>
      <w:r w:rsidRPr="0004487F">
        <w:rPr>
          <w:rFonts w:ascii="Times New Roman"/>
        </w:rPr>
        <w:t>(see section 4.4)</w:t>
      </w:r>
    </w:p>
    <w:p w14:paraId="400AD92D" w14:textId="77777777" w:rsidR="00047E69" w:rsidRPr="0004487F" w:rsidRDefault="00C210A5" w:rsidP="004A79F9">
      <w:pPr>
        <w:pStyle w:val="a5"/>
        <w:widowControl/>
        <w:adjustRightInd w:val="0"/>
        <w:snapToGrid w:val="0"/>
      </w:pPr>
      <w:r w:rsidRPr="0004487F">
        <w:t>As bevacizumab may adversely impact wound healing, patients who had major surgery within the last 28 days were excluded from participation in phase III clinical trials.</w:t>
      </w:r>
    </w:p>
    <w:p w14:paraId="7B3A7BB8" w14:textId="77777777" w:rsidR="00047E69" w:rsidRPr="0004487F" w:rsidRDefault="00047E69" w:rsidP="004A79F9">
      <w:pPr>
        <w:widowControl/>
        <w:adjustRightInd w:val="0"/>
        <w:snapToGrid w:val="0"/>
        <w:rPr>
          <w:rFonts w:ascii="Times New Roman" w:eastAsia="Times New Roman" w:hAnsi="Times New Roman" w:cs="Times New Roman"/>
        </w:rPr>
      </w:pPr>
    </w:p>
    <w:p w14:paraId="0DA94306" w14:textId="03B07A8B" w:rsidR="00047E69" w:rsidRPr="0004487F" w:rsidRDefault="00C210A5" w:rsidP="004A79F9">
      <w:pPr>
        <w:pStyle w:val="a5"/>
        <w:widowControl/>
        <w:adjustRightInd w:val="0"/>
        <w:snapToGrid w:val="0"/>
      </w:pPr>
      <w:r w:rsidRPr="0004487F">
        <w:t>In clinical trials of metastatic carcinoma of the colon or rectum, there was no increased risk of post</w:t>
      </w:r>
      <w:r w:rsidR="00FD0731" w:rsidRPr="0004487F">
        <w:noBreakHyphen/>
      </w:r>
      <w:r w:rsidRPr="0004487F">
        <w:t>operative bleeding or wound healing complications observed in patients who underwent major surgery 28-60 days prior to starting bevacizumab. An increased incidence of post</w:t>
      </w:r>
      <w:r w:rsidR="00FD0731" w:rsidRPr="0004487F">
        <w:noBreakHyphen/>
      </w:r>
      <w:r w:rsidRPr="0004487F">
        <w:t>operative bleeding or wound healing complication occurring within 60 days of major surgery was observed if the patient was being treated with bevacizumab at the time of surger</w:t>
      </w:r>
      <w:r w:rsidRPr="0004487F">
        <w:rPr>
          <w:rFonts w:eastAsiaTheme="minorEastAsia" w:cs="Times New Roman"/>
        </w:rPr>
        <w:t>y. The in</w:t>
      </w:r>
      <w:r w:rsidRPr="0004487F">
        <w:t>cidence varied between 10% (4/40) and 20% (3/15).</w:t>
      </w:r>
    </w:p>
    <w:p w14:paraId="317CF65A" w14:textId="77777777" w:rsidR="00047E69" w:rsidRPr="0004487F" w:rsidRDefault="00047E69" w:rsidP="004A79F9">
      <w:pPr>
        <w:widowControl/>
        <w:adjustRightInd w:val="0"/>
        <w:snapToGrid w:val="0"/>
        <w:rPr>
          <w:rFonts w:ascii="Times New Roman" w:eastAsia="Times New Roman" w:hAnsi="Times New Roman" w:cs="Times New Roman"/>
        </w:rPr>
      </w:pPr>
    </w:p>
    <w:p w14:paraId="2203A4E0" w14:textId="77777777" w:rsidR="00047E69" w:rsidRPr="0004487F" w:rsidRDefault="00C210A5" w:rsidP="004A79F9">
      <w:pPr>
        <w:pStyle w:val="a5"/>
        <w:widowControl/>
        <w:adjustRightInd w:val="0"/>
        <w:snapToGrid w:val="0"/>
      </w:pPr>
      <w:r w:rsidRPr="0004487F">
        <w:lastRenderedPageBreak/>
        <w:t>Serious wound healing complications, including anastomotic complications, have been reported, some of which had a fatal outcome.</w:t>
      </w:r>
    </w:p>
    <w:p w14:paraId="00D8F87A" w14:textId="77777777" w:rsidR="00047E69" w:rsidRPr="0004487F" w:rsidRDefault="00047E69" w:rsidP="004A79F9">
      <w:pPr>
        <w:widowControl/>
        <w:adjustRightInd w:val="0"/>
        <w:snapToGrid w:val="0"/>
        <w:rPr>
          <w:rFonts w:ascii="Times New Roman" w:eastAsia="Times New Roman" w:hAnsi="Times New Roman" w:cs="Times New Roman"/>
        </w:rPr>
      </w:pPr>
    </w:p>
    <w:p w14:paraId="1EC0FE4B" w14:textId="2459C991" w:rsidR="00047E69" w:rsidRPr="0004487F" w:rsidRDefault="00C210A5" w:rsidP="004A79F9">
      <w:pPr>
        <w:pStyle w:val="a5"/>
        <w:widowControl/>
        <w:adjustRightInd w:val="0"/>
        <w:snapToGrid w:val="0"/>
      </w:pPr>
      <w:r w:rsidRPr="0004487F">
        <w:t>In locally recurrent and metastatic breast cancer trials, Grade 3-5 wound healing complications were observed in up to 1.1% of patients receiving bevacizumab compared with up to 0.9% of patients in the control arms (NCI</w:t>
      </w:r>
      <w:r w:rsidR="00FD0731" w:rsidRPr="0004487F">
        <w:noBreakHyphen/>
      </w:r>
      <w:r w:rsidRPr="0004487F">
        <w:t>CTCAE v.3).</w:t>
      </w:r>
    </w:p>
    <w:p w14:paraId="6CE84FE6" w14:textId="77777777" w:rsidR="00047E69" w:rsidRPr="0004487F" w:rsidRDefault="00047E69" w:rsidP="004A79F9">
      <w:pPr>
        <w:widowControl/>
        <w:adjustRightInd w:val="0"/>
        <w:snapToGrid w:val="0"/>
        <w:rPr>
          <w:rFonts w:ascii="Times New Roman" w:eastAsia="Times New Roman" w:hAnsi="Times New Roman" w:cs="Times New Roman"/>
        </w:rPr>
      </w:pPr>
    </w:p>
    <w:p w14:paraId="274E08EE" w14:textId="23967374" w:rsidR="00047E69" w:rsidRPr="0004487F" w:rsidRDefault="00C210A5" w:rsidP="004A79F9">
      <w:pPr>
        <w:pStyle w:val="a5"/>
        <w:widowControl/>
        <w:adjustRightInd w:val="0"/>
        <w:snapToGrid w:val="0"/>
      </w:pPr>
      <w:r w:rsidRPr="0004487F">
        <w:t>In clinical trials of ovarian cancer, Grade 3-5 wound healing complications were observed in up to 1.8% of patients in the bevacizumab arm versus 0.1% in the control arm (NCI</w:t>
      </w:r>
      <w:r w:rsidR="00FD0731" w:rsidRPr="0004487F">
        <w:noBreakHyphen/>
      </w:r>
      <w:r w:rsidRPr="0004487F">
        <w:t>CTCAE v.3).</w:t>
      </w:r>
    </w:p>
    <w:p w14:paraId="51B27FBD" w14:textId="77777777" w:rsidR="00047E69" w:rsidRPr="0004487F" w:rsidRDefault="00047E69" w:rsidP="004A79F9">
      <w:pPr>
        <w:widowControl/>
        <w:adjustRightInd w:val="0"/>
        <w:snapToGrid w:val="0"/>
      </w:pPr>
    </w:p>
    <w:p w14:paraId="1B55077F" w14:textId="77777777" w:rsidR="00047E69" w:rsidRPr="0004487F" w:rsidRDefault="00C210A5" w:rsidP="004A79F9">
      <w:pPr>
        <w:widowControl/>
        <w:adjustRightInd w:val="0"/>
        <w:snapToGrid w:val="0"/>
        <w:rPr>
          <w:rFonts w:ascii="Times New Roman" w:eastAsia="Times New Roman" w:hAnsi="Times New Roman" w:cs="Times New Roman"/>
        </w:rPr>
      </w:pPr>
      <w:r w:rsidRPr="0004487F">
        <w:rPr>
          <w:rFonts w:ascii="Times New Roman"/>
          <w:i/>
          <w:u w:val="single"/>
        </w:rPr>
        <w:t>Hypertension</w:t>
      </w:r>
      <w:r w:rsidRPr="0004487F">
        <w:rPr>
          <w:rFonts w:ascii="Times New Roman"/>
          <w:i/>
        </w:rPr>
        <w:t xml:space="preserve"> </w:t>
      </w:r>
      <w:r w:rsidRPr="0004487F">
        <w:rPr>
          <w:rFonts w:ascii="Times New Roman"/>
        </w:rPr>
        <w:t>(see section 4.4)</w:t>
      </w:r>
    </w:p>
    <w:p w14:paraId="280D62CA" w14:textId="5C6A342C" w:rsidR="00047E69" w:rsidRPr="0004487F" w:rsidRDefault="00C210A5" w:rsidP="004A79F9">
      <w:pPr>
        <w:pStyle w:val="a5"/>
        <w:widowControl/>
        <w:adjustRightInd w:val="0"/>
        <w:snapToGrid w:val="0"/>
      </w:pPr>
      <w:r w:rsidRPr="0004487F">
        <w:t>In clinical trials, with the exception of study JO25567, the overall incidence of hypertension (all grades) ranged up to 42.1% in the bevacizumab containing arms compared with up to 14% in the control arms. The overall incidence of NCI</w:t>
      </w:r>
      <w:r w:rsidR="00FD0731" w:rsidRPr="0004487F">
        <w:noBreakHyphen/>
      </w:r>
      <w:r w:rsidRPr="0004487F">
        <w:t xml:space="preserve">CTC Grade </w:t>
      </w:r>
      <w:r w:rsidRPr="0004487F">
        <w:rPr>
          <w:rFonts w:eastAsiaTheme="minorEastAsia" w:cs="Times New Roman"/>
        </w:rPr>
        <w:t>3 and 4 hype</w:t>
      </w:r>
      <w:r w:rsidRPr="0004487F">
        <w:t xml:space="preserve">rtension in patients receiving bevacizumab ranged from 0.4% to 17.9%. Grade 4 hypertension (hypertensive crisis) occurred in up to 1.0% </w:t>
      </w:r>
      <w:r w:rsidRPr="0004487F">
        <w:rPr>
          <w:rFonts w:eastAsiaTheme="minorEastAsia" w:cs="Times New Roman"/>
        </w:rPr>
        <w:t>of patients treated with</w:t>
      </w:r>
      <w:r w:rsidRPr="0004487F">
        <w:t xml:space="preserve"> bevacizumab and chemotherapy compared to up to 0.2% of patients treated</w:t>
      </w:r>
      <w:r w:rsidRPr="0004487F">
        <w:rPr>
          <w:rFonts w:eastAsiaTheme="minorEastAsia" w:cs="Times New Roman"/>
        </w:rPr>
        <w:t xml:space="preserve"> with the same c</w:t>
      </w:r>
      <w:r w:rsidRPr="0004487F">
        <w:t>hemotherapy alone.</w:t>
      </w:r>
    </w:p>
    <w:p w14:paraId="24939615" w14:textId="77777777" w:rsidR="00047E69" w:rsidRPr="0004487F" w:rsidRDefault="00047E69" w:rsidP="004A79F9">
      <w:pPr>
        <w:widowControl/>
        <w:adjustRightInd w:val="0"/>
        <w:snapToGrid w:val="0"/>
        <w:rPr>
          <w:rFonts w:ascii="Times New Roman" w:eastAsia="Times New Roman" w:hAnsi="Times New Roman" w:cs="Times New Roman"/>
        </w:rPr>
      </w:pPr>
    </w:p>
    <w:p w14:paraId="4CF16E08" w14:textId="19503FBD" w:rsidR="00047E69" w:rsidRPr="0004487F" w:rsidRDefault="00C210A5" w:rsidP="004A79F9">
      <w:pPr>
        <w:pStyle w:val="a5"/>
        <w:widowControl/>
        <w:adjustRightInd w:val="0"/>
        <w:snapToGrid w:val="0"/>
      </w:pPr>
      <w:r w:rsidRPr="0004487F">
        <w:t>In study JO25567, all grade hypertension was observed in 77.3% of the patients who received bevacizuma</w:t>
      </w:r>
      <w:r w:rsidRPr="0004487F">
        <w:rPr>
          <w:rFonts w:eastAsiaTheme="minorEastAsia" w:cs="Times New Roman"/>
        </w:rPr>
        <w:t>b in comb</w:t>
      </w:r>
      <w:r w:rsidRPr="0004487F">
        <w:t>ination with erlotinib as first</w:t>
      </w:r>
      <w:r w:rsidR="00FD0731" w:rsidRPr="0004487F">
        <w:noBreakHyphen/>
      </w:r>
      <w:r w:rsidRPr="0004487F">
        <w:t>line treatment for non</w:t>
      </w:r>
      <w:r w:rsidR="00FD0731" w:rsidRPr="0004487F">
        <w:noBreakHyphen/>
      </w:r>
      <w:r w:rsidRPr="0004487F">
        <w:t>squamous NSCLC with EGFR activ</w:t>
      </w:r>
      <w:r w:rsidRPr="0004487F">
        <w:rPr>
          <w:rFonts w:eastAsiaTheme="minorEastAsia" w:cs="Times New Roman"/>
        </w:rPr>
        <w:t>ating mu</w:t>
      </w:r>
      <w:r w:rsidRPr="0004487F">
        <w:t>tations, compared to 14.3% of patients treated with erlotinib alone. Grade 3 hypertensio</w:t>
      </w:r>
      <w:r w:rsidRPr="0004487F">
        <w:rPr>
          <w:rFonts w:eastAsiaTheme="minorEastAsia" w:cs="Times New Roman"/>
        </w:rPr>
        <w:t>n was 60.0</w:t>
      </w:r>
      <w:r w:rsidRPr="0004487F">
        <w:t>% in patients treated with bevacizumab in combination with erlotinib compared to 11.7% in pa</w:t>
      </w:r>
      <w:r w:rsidRPr="0004487F">
        <w:rPr>
          <w:rFonts w:eastAsiaTheme="minorEastAsia" w:cs="Times New Roman"/>
        </w:rPr>
        <w:t>tients tre</w:t>
      </w:r>
      <w:r w:rsidRPr="0004487F">
        <w:t>ated with erlotinib alone. There were no gr</w:t>
      </w:r>
      <w:r w:rsidRPr="0004487F">
        <w:rPr>
          <w:rFonts w:eastAsiaTheme="minorEastAsia" w:cs="Times New Roman"/>
        </w:rPr>
        <w:t>ade 4 or 5 hype</w:t>
      </w:r>
      <w:r w:rsidRPr="0004487F">
        <w:t>rtension events.</w:t>
      </w:r>
    </w:p>
    <w:p w14:paraId="651710E8" w14:textId="77777777" w:rsidR="00047E69" w:rsidRPr="0004487F" w:rsidRDefault="00047E69" w:rsidP="004A79F9">
      <w:pPr>
        <w:widowControl/>
        <w:adjustRightInd w:val="0"/>
        <w:snapToGrid w:val="0"/>
        <w:rPr>
          <w:rFonts w:ascii="Times New Roman" w:eastAsia="Times New Roman" w:hAnsi="Times New Roman" w:cs="Times New Roman"/>
        </w:rPr>
      </w:pPr>
    </w:p>
    <w:p w14:paraId="40F0729E" w14:textId="36A9F7D3" w:rsidR="00047E69" w:rsidRPr="0004487F" w:rsidRDefault="00C210A5" w:rsidP="004A79F9">
      <w:pPr>
        <w:pStyle w:val="a5"/>
        <w:widowControl/>
        <w:adjustRightInd w:val="0"/>
        <w:snapToGrid w:val="0"/>
      </w:pPr>
      <w:r w:rsidRPr="0004487F">
        <w:t>Hypertension was generally adequat</w:t>
      </w:r>
      <w:r w:rsidRPr="0004487F">
        <w:rPr>
          <w:rFonts w:eastAsiaTheme="minorEastAsia" w:cs="Times New Roman"/>
        </w:rPr>
        <w:t>ely controll</w:t>
      </w:r>
      <w:r w:rsidRPr="0004487F">
        <w:t>ed with oral anti</w:t>
      </w:r>
      <w:r w:rsidR="00FD0731" w:rsidRPr="0004487F">
        <w:noBreakHyphen/>
      </w:r>
      <w:r w:rsidRPr="0004487F">
        <w:t>hypertensives such as</w:t>
      </w:r>
    </w:p>
    <w:p w14:paraId="6369E52C" w14:textId="406182ED" w:rsidR="00047E69" w:rsidRPr="0004487F" w:rsidRDefault="00C210A5" w:rsidP="004A79F9">
      <w:pPr>
        <w:pStyle w:val="a5"/>
        <w:widowControl/>
        <w:adjustRightInd w:val="0"/>
        <w:snapToGrid w:val="0"/>
      </w:pPr>
      <w:r w:rsidRPr="0004487F">
        <w:t>angiotensin</w:t>
      </w:r>
      <w:r w:rsidR="00FD0731" w:rsidRPr="0004487F">
        <w:noBreakHyphen/>
      </w:r>
      <w:r w:rsidRPr="0004487F">
        <w:t>converting enzyme inhibitors, diuretics and calcium</w:t>
      </w:r>
      <w:r w:rsidR="00FD0731" w:rsidRPr="0004487F">
        <w:noBreakHyphen/>
      </w:r>
      <w:r w:rsidRPr="0004487F">
        <w:t>channel blockers. It rarely resulted in discontinuation of bevacizumab treatment or hospitalisation.</w:t>
      </w:r>
    </w:p>
    <w:p w14:paraId="7089B7A7" w14:textId="77777777" w:rsidR="00047E69" w:rsidRPr="0004487F" w:rsidRDefault="00047E69" w:rsidP="004A79F9">
      <w:pPr>
        <w:widowControl/>
        <w:adjustRightInd w:val="0"/>
        <w:snapToGrid w:val="0"/>
        <w:rPr>
          <w:rFonts w:ascii="Times New Roman" w:eastAsia="Times New Roman" w:hAnsi="Times New Roman" w:cs="Times New Roman"/>
        </w:rPr>
      </w:pPr>
    </w:p>
    <w:p w14:paraId="6E57665E" w14:textId="77777777" w:rsidR="00047E69" w:rsidRPr="0004487F" w:rsidRDefault="00C210A5" w:rsidP="004A79F9">
      <w:pPr>
        <w:pStyle w:val="a5"/>
        <w:widowControl/>
        <w:adjustRightInd w:val="0"/>
        <w:snapToGrid w:val="0"/>
      </w:pPr>
      <w:r w:rsidRPr="0004487F">
        <w:t>Very rare cases of hypertensive encephalopathy have been reported, some of which were fatal.</w:t>
      </w:r>
    </w:p>
    <w:p w14:paraId="29FF2926"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3CDA5A2A" w14:textId="77E88906" w:rsidR="00047E69" w:rsidRPr="0004487F" w:rsidRDefault="00C210A5" w:rsidP="004A79F9">
      <w:pPr>
        <w:pStyle w:val="a5"/>
        <w:widowControl/>
        <w:adjustRightInd w:val="0"/>
        <w:snapToGrid w:val="0"/>
      </w:pPr>
      <w:r w:rsidRPr="0004487F">
        <w:t>The risk of bevacizumab</w:t>
      </w:r>
      <w:r w:rsidR="00FD0731" w:rsidRPr="0004487F">
        <w:noBreakHyphen/>
      </w:r>
      <w:r w:rsidRPr="0004487F">
        <w:t>associated hypertension did not correlate with the patients’ baseline characteristics, underlying disease or concomitant therapy.</w:t>
      </w:r>
    </w:p>
    <w:p w14:paraId="1FC1E26A" w14:textId="77777777" w:rsidR="00047E69" w:rsidRPr="0004487F" w:rsidRDefault="00047E69" w:rsidP="004A79F9">
      <w:pPr>
        <w:widowControl/>
        <w:adjustRightInd w:val="0"/>
        <w:snapToGrid w:val="0"/>
        <w:rPr>
          <w:rFonts w:ascii="Times New Roman" w:eastAsia="Times New Roman" w:hAnsi="Times New Roman" w:cs="Arial"/>
        </w:rPr>
      </w:pPr>
    </w:p>
    <w:p w14:paraId="6C17B839" w14:textId="5798E918" w:rsidR="00047E69" w:rsidRPr="0004487F" w:rsidRDefault="00C210A5" w:rsidP="004A79F9">
      <w:pPr>
        <w:widowControl/>
        <w:adjustRightInd w:val="0"/>
        <w:snapToGrid w:val="0"/>
        <w:rPr>
          <w:rFonts w:ascii="Times New Roman" w:eastAsia="Times New Roman" w:hAnsi="Times New Roman" w:cs="Times New Roman"/>
        </w:rPr>
      </w:pPr>
      <w:r w:rsidRPr="0004487F">
        <w:rPr>
          <w:rFonts w:ascii="Times New Roman"/>
          <w:i/>
          <w:u w:val="single"/>
        </w:rPr>
        <w:t xml:space="preserve">Posterior </w:t>
      </w:r>
      <w:r w:rsidR="007725FD" w:rsidRPr="0004487F">
        <w:rPr>
          <w:rFonts w:ascii="Times New Roman"/>
          <w:i/>
          <w:u w:val="single"/>
        </w:rPr>
        <w:t>r</w:t>
      </w:r>
      <w:r w:rsidRPr="0004487F">
        <w:rPr>
          <w:rFonts w:ascii="Times New Roman"/>
          <w:i/>
          <w:u w:val="single"/>
        </w:rPr>
        <w:t xml:space="preserve">eversible </w:t>
      </w:r>
      <w:r w:rsidR="007725FD" w:rsidRPr="0004487F">
        <w:rPr>
          <w:rFonts w:ascii="Times New Roman"/>
          <w:i/>
          <w:u w:val="single"/>
        </w:rPr>
        <w:t>e</w:t>
      </w:r>
      <w:r w:rsidRPr="0004487F">
        <w:rPr>
          <w:rFonts w:ascii="Times New Roman"/>
          <w:i/>
          <w:u w:val="single"/>
        </w:rPr>
        <w:t xml:space="preserve">ncephalopathy </w:t>
      </w:r>
      <w:r w:rsidR="007725FD" w:rsidRPr="0004487F">
        <w:rPr>
          <w:rFonts w:ascii="Times New Roman"/>
          <w:i/>
          <w:u w:val="single"/>
        </w:rPr>
        <w:t>s</w:t>
      </w:r>
      <w:r w:rsidRPr="0004487F">
        <w:rPr>
          <w:rFonts w:ascii="Times New Roman"/>
          <w:i/>
          <w:u w:val="single"/>
        </w:rPr>
        <w:t>yndrome</w:t>
      </w:r>
      <w:r w:rsidR="007725FD" w:rsidRPr="0004487F">
        <w:rPr>
          <w:rFonts w:ascii="Times New Roman"/>
          <w:i/>
          <w:u w:val="single"/>
        </w:rPr>
        <w:t xml:space="preserve"> </w:t>
      </w:r>
      <w:r w:rsidRPr="0004487F">
        <w:rPr>
          <w:rFonts w:ascii="Times New Roman"/>
        </w:rPr>
        <w:t>(see section 4.4)</w:t>
      </w:r>
    </w:p>
    <w:p w14:paraId="650359FE" w14:textId="20332C04" w:rsidR="00047E69" w:rsidRPr="0004487F" w:rsidRDefault="00C210A5" w:rsidP="004A79F9">
      <w:pPr>
        <w:pStyle w:val="a5"/>
        <w:widowControl/>
        <w:adjustRightInd w:val="0"/>
        <w:snapToGrid w:val="0"/>
      </w:pPr>
      <w:r w:rsidRPr="0004487F">
        <w:t>There have been rare reports of bevacizumab</w:t>
      </w:r>
      <w:r w:rsidR="00FD0731" w:rsidRPr="0004487F">
        <w:noBreakHyphen/>
      </w:r>
      <w:r w:rsidRPr="0004487F">
        <w:t xml:space="preserve">treated patients developing signs and symptoms that are consistent with PRES, a rare neurological disorder. Presentation may include seizures, headache, altered mental status, visual disturbance, or cortical blindness, with or without associated hypertension. </w:t>
      </w:r>
      <w:r w:rsidRPr="0004487F">
        <w:rPr>
          <w:color w:val="292526"/>
        </w:rPr>
        <w:t xml:space="preserve">The clinical presentation of PRES is often nonspecific, and therefore the </w:t>
      </w:r>
      <w:r w:rsidRPr="0004487F">
        <w:t>diagnosis of PRES requires confirmation by brain imaging, preferably MRI.</w:t>
      </w:r>
    </w:p>
    <w:p w14:paraId="4CA045B5"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3B9F01D4" w14:textId="77777777" w:rsidR="00047E69" w:rsidRPr="0004487F" w:rsidRDefault="00C210A5" w:rsidP="004A79F9">
      <w:pPr>
        <w:pStyle w:val="a5"/>
        <w:widowControl/>
        <w:adjustRightInd w:val="0"/>
        <w:snapToGrid w:val="0"/>
      </w:pPr>
      <w:r w:rsidRPr="0004487F">
        <w:t>In patients developing PRES, early recognition of symptoms with prompt treatment of specific symptoms including control of hypertension (if associated with severe uncontrolled hypertension) is recommended in addition to discontinuation of bevacizumab therapy. Symptoms usually resolve or improve within days after treatment discontinuation, although some patients have experienced some neurologic sequelae. The safety of reinitiating bevacizumab therapy in patients previously experiencing PRES is not known.</w:t>
      </w:r>
    </w:p>
    <w:p w14:paraId="5E15EA05"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09BFB103" w14:textId="77777777" w:rsidR="00047E69" w:rsidRPr="0004487F" w:rsidRDefault="00C210A5" w:rsidP="004A79F9">
      <w:pPr>
        <w:pStyle w:val="a5"/>
        <w:widowControl/>
        <w:adjustRightInd w:val="0"/>
        <w:snapToGrid w:val="0"/>
      </w:pPr>
      <w:r w:rsidRPr="0004487F">
        <w:t>Across clinical tria</w:t>
      </w:r>
      <w:r w:rsidRPr="0004487F">
        <w:rPr>
          <w:rFonts w:eastAsiaTheme="minorEastAsia" w:cs="Times New Roman"/>
        </w:rPr>
        <w:t xml:space="preserve">ls, 8 cases </w:t>
      </w:r>
      <w:r w:rsidRPr="0004487F">
        <w:t>of PRES have been reported. Two of the eight cases did not have radiological confirmation via MRI.</w:t>
      </w:r>
    </w:p>
    <w:p w14:paraId="19F688D9"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21ECAE9F" w14:textId="77777777" w:rsidR="00047E69" w:rsidRPr="0004487F" w:rsidRDefault="00C210A5" w:rsidP="004A79F9">
      <w:pPr>
        <w:widowControl/>
        <w:adjustRightInd w:val="0"/>
        <w:snapToGrid w:val="0"/>
        <w:rPr>
          <w:rFonts w:ascii="Times New Roman" w:eastAsia="Times New Roman" w:hAnsi="Times New Roman" w:cs="Times New Roman"/>
        </w:rPr>
      </w:pPr>
      <w:r w:rsidRPr="0004487F">
        <w:rPr>
          <w:rFonts w:ascii="Times New Roman"/>
          <w:i/>
          <w:u w:val="single"/>
        </w:rPr>
        <w:t>Proteinuria</w:t>
      </w:r>
      <w:r w:rsidRPr="0004487F">
        <w:rPr>
          <w:rFonts w:ascii="Times New Roman"/>
          <w:i/>
        </w:rPr>
        <w:t xml:space="preserve"> </w:t>
      </w:r>
      <w:r w:rsidRPr="0004487F">
        <w:rPr>
          <w:rFonts w:ascii="Times New Roman"/>
        </w:rPr>
        <w:t>(see section 4.4)</w:t>
      </w:r>
    </w:p>
    <w:p w14:paraId="0FF3CFAC" w14:textId="77777777" w:rsidR="00047E69" w:rsidRPr="0004487F" w:rsidRDefault="00C210A5" w:rsidP="004A79F9">
      <w:pPr>
        <w:pStyle w:val="a5"/>
        <w:widowControl/>
        <w:adjustRightInd w:val="0"/>
        <w:snapToGrid w:val="0"/>
      </w:pPr>
      <w:r w:rsidRPr="0004487F">
        <w:t>In clinical trials, proteinuria has been reported within the range of 0.7% to 54.7% of patients receiving bevacizumab.</w:t>
      </w:r>
    </w:p>
    <w:p w14:paraId="1772BF05" w14:textId="77777777" w:rsidR="00047E69" w:rsidRPr="0004487F" w:rsidRDefault="00047E69" w:rsidP="004A79F9">
      <w:pPr>
        <w:widowControl/>
        <w:adjustRightInd w:val="0"/>
        <w:snapToGrid w:val="0"/>
        <w:rPr>
          <w:rFonts w:ascii="Times New Roman" w:eastAsia="Times New Roman" w:hAnsi="Times New Roman" w:cs="Times New Roman"/>
          <w:sz w:val="21"/>
          <w:szCs w:val="21"/>
        </w:rPr>
      </w:pPr>
    </w:p>
    <w:p w14:paraId="2816EBE0" w14:textId="11DD4B52" w:rsidR="00047E69" w:rsidRPr="0004487F" w:rsidRDefault="00C210A5" w:rsidP="00A82711">
      <w:pPr>
        <w:pStyle w:val="a5"/>
        <w:widowControl/>
        <w:adjustRightInd w:val="0"/>
        <w:snapToGrid w:val="0"/>
      </w:pPr>
      <w:r w:rsidRPr="0004487F">
        <w:t>Proteinuria ranged in severity from clinically asymptomatic, transient, trace proteinuria to nephrotic syndrome, with the great majority as Grade 1 proteinuria (NCI</w:t>
      </w:r>
      <w:r w:rsidR="00FD0731" w:rsidRPr="0004487F">
        <w:noBreakHyphen/>
      </w:r>
      <w:r w:rsidRPr="0004487F">
        <w:t xml:space="preserve">CTCAE v.3). Grade 3 proteinuria was reported in up to 10.9% of treated patients. Grade 4 proteinuria (nephrotic syndrome) was seen in up to </w:t>
      </w:r>
      <w:r w:rsidRPr="0004487F">
        <w:lastRenderedPageBreak/>
        <w:t xml:space="preserve">1.4% of treated patients. Testing for proteinuria is recommended prior to start of </w:t>
      </w:r>
      <w:r w:rsidR="00A32819">
        <w:t>Vegzelma</w:t>
      </w:r>
      <w:r w:rsidRPr="0004487F">
        <w:t xml:space="preserve"> therapy. In most clinical trials urine protein levels of </w:t>
      </w:r>
      <w:r w:rsidRPr="0004487F">
        <w:rPr>
          <w:rFonts w:ascii="Symbol" w:eastAsia="Symbol" w:hAnsi="Symbol" w:cs="Symbol"/>
        </w:rPr>
        <w:sym w:font="Symbol" w:char="F0B3"/>
      </w:r>
      <w:r w:rsidRPr="0004487F">
        <w:rPr>
          <w:rFonts w:ascii="Symbol" w:eastAsia="Symbol" w:hAnsi="Symbol" w:cs="Symbol"/>
        </w:rPr>
        <w:sym w:font="Symbol" w:char="F020"/>
      </w:r>
      <w:r w:rsidRPr="0004487F">
        <w:t>2g/24 hrs led to the holding of bevacizumab until recovery to &lt; 2g/24 hrs.</w:t>
      </w:r>
    </w:p>
    <w:p w14:paraId="1263A7AD"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14244D46" w14:textId="77777777" w:rsidR="00047E69" w:rsidRPr="0004487F" w:rsidRDefault="00C210A5" w:rsidP="00A82711">
      <w:pPr>
        <w:widowControl/>
        <w:adjustRightInd w:val="0"/>
        <w:snapToGrid w:val="0"/>
        <w:rPr>
          <w:rFonts w:ascii="Times New Roman" w:eastAsia="Times New Roman" w:hAnsi="Times New Roman" w:cs="Times New Roman"/>
        </w:rPr>
      </w:pPr>
      <w:r w:rsidRPr="0004487F">
        <w:rPr>
          <w:rFonts w:ascii="Times New Roman"/>
          <w:i/>
          <w:u w:val="single"/>
        </w:rPr>
        <w:t>Haemorrhage</w:t>
      </w:r>
      <w:r w:rsidRPr="0004487F">
        <w:rPr>
          <w:rFonts w:ascii="Times New Roman"/>
          <w:i/>
        </w:rPr>
        <w:t xml:space="preserve"> </w:t>
      </w:r>
      <w:r w:rsidRPr="0004487F">
        <w:rPr>
          <w:rFonts w:ascii="Times New Roman"/>
        </w:rPr>
        <w:t>(see section 4.4)</w:t>
      </w:r>
    </w:p>
    <w:p w14:paraId="4FB53D76" w14:textId="4E1E8B4D" w:rsidR="00047E69" w:rsidRPr="0004487F" w:rsidRDefault="00C210A5" w:rsidP="00A82711">
      <w:pPr>
        <w:pStyle w:val="a5"/>
        <w:widowControl/>
        <w:adjustRightInd w:val="0"/>
        <w:snapToGrid w:val="0"/>
      </w:pPr>
      <w:r w:rsidRPr="0004487F">
        <w:t>In clinical trials across all indications the overall incidence of NCI</w:t>
      </w:r>
      <w:r w:rsidR="00FD0731" w:rsidRPr="0004487F">
        <w:noBreakHyphen/>
      </w:r>
      <w:r w:rsidRPr="0004487F">
        <w:t>CTCAE v.3 Grade 3-5 bleeding reactions ranged from 0.4% to 6.9% in bevacizumab treated patients, compared with up to 4.5% of pati</w:t>
      </w:r>
      <w:r w:rsidRPr="0004487F">
        <w:rPr>
          <w:rFonts w:eastAsiaTheme="minorEastAsia" w:cs="Times New Roman"/>
        </w:rPr>
        <w:t>ents in the chemoth</w:t>
      </w:r>
      <w:r w:rsidRPr="0004487F">
        <w:t>erapy control group.</w:t>
      </w:r>
    </w:p>
    <w:p w14:paraId="08586082" w14:textId="77777777" w:rsidR="00A135EE" w:rsidRPr="0004487F" w:rsidRDefault="00A135EE" w:rsidP="00A82711">
      <w:pPr>
        <w:pStyle w:val="a5"/>
        <w:widowControl/>
        <w:adjustRightInd w:val="0"/>
        <w:snapToGrid w:val="0"/>
      </w:pPr>
    </w:p>
    <w:p w14:paraId="64E4B17E" w14:textId="46606F61" w:rsidR="00047E69" w:rsidRPr="0004487F" w:rsidRDefault="00C210A5" w:rsidP="00A82711">
      <w:pPr>
        <w:pStyle w:val="a5"/>
        <w:widowControl/>
        <w:adjustRightInd w:val="0"/>
        <w:snapToGrid w:val="0"/>
      </w:pPr>
      <w:r w:rsidRPr="0004487F">
        <w:t>From a clinical trial in patients with persistent, recurrent, or metastatic cervical cancer (study GOG</w:t>
      </w:r>
      <w:r w:rsidR="00FD0731" w:rsidRPr="0004487F">
        <w:noBreakHyphen/>
      </w:r>
      <w:r w:rsidRPr="0004487F">
        <w:t>0240), grade 3-5 bleeding reactions have been reported in up to 8.3% of patients treated with bevaciz</w:t>
      </w:r>
      <w:r w:rsidRPr="0004487F">
        <w:rPr>
          <w:rFonts w:eastAsiaTheme="minorEastAsia" w:cs="Times New Roman"/>
        </w:rPr>
        <w:t>umab in combina</w:t>
      </w:r>
      <w:r w:rsidRPr="0004487F">
        <w:t xml:space="preserve">tion with paclitaxel and topotecan compared with up to 4.6% of patients treated </w:t>
      </w:r>
      <w:r w:rsidRPr="0004487F">
        <w:rPr>
          <w:rFonts w:eastAsiaTheme="minorEastAsia" w:cs="Times New Roman"/>
        </w:rPr>
        <w:t>with paclitaxel and t</w:t>
      </w:r>
      <w:r w:rsidRPr="0004487F">
        <w:t>opotecan.</w:t>
      </w:r>
    </w:p>
    <w:p w14:paraId="347A1234"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4A193027" w14:textId="46D54C2A" w:rsidR="00047E69" w:rsidRPr="0004487F" w:rsidRDefault="00C210A5" w:rsidP="00A82711">
      <w:pPr>
        <w:pStyle w:val="a5"/>
        <w:widowControl/>
        <w:adjustRightInd w:val="0"/>
        <w:snapToGrid w:val="0"/>
      </w:pPr>
      <w:r w:rsidRPr="0004487F">
        <w:t>The haemorrhagic reactions that have been observed in clinical trials were predominantly tumour</w:t>
      </w:r>
      <w:r w:rsidR="00FD0731" w:rsidRPr="0004487F">
        <w:noBreakHyphen/>
      </w:r>
      <w:r w:rsidRPr="0004487F">
        <w:t>associated haemorrhage (see below) and minor mucocutaneous haemorrhage (e.g. epistaxis).</w:t>
      </w:r>
    </w:p>
    <w:p w14:paraId="43592B26" w14:textId="77777777" w:rsidR="00047E69" w:rsidRPr="0004487F" w:rsidRDefault="00047E69" w:rsidP="00A82711">
      <w:pPr>
        <w:widowControl/>
        <w:adjustRightInd w:val="0"/>
        <w:snapToGrid w:val="0"/>
        <w:rPr>
          <w:rFonts w:ascii="Times New Roman" w:eastAsia="Times New Roman" w:hAnsi="Times New Roman" w:cs="Times New Roman"/>
        </w:rPr>
      </w:pPr>
    </w:p>
    <w:p w14:paraId="4ED9289F" w14:textId="7FD7CB49" w:rsidR="00047E69" w:rsidRPr="0004487F" w:rsidRDefault="00C210A5" w:rsidP="00A82711">
      <w:pPr>
        <w:widowControl/>
        <w:adjustRightInd w:val="0"/>
        <w:snapToGrid w:val="0"/>
        <w:rPr>
          <w:rFonts w:ascii="Times New Roman" w:eastAsia="Times New Roman" w:hAnsi="Times New Roman" w:cs="Times New Roman"/>
        </w:rPr>
      </w:pPr>
      <w:r w:rsidRPr="0004487F">
        <w:rPr>
          <w:rFonts w:ascii="Times New Roman"/>
          <w:i/>
          <w:u w:val="single"/>
        </w:rPr>
        <w:t>Tumour</w:t>
      </w:r>
      <w:r w:rsidR="00FD0731" w:rsidRPr="0004487F">
        <w:rPr>
          <w:rFonts w:ascii="Times New Roman"/>
          <w:i/>
          <w:u w:val="single"/>
        </w:rPr>
        <w:noBreakHyphen/>
      </w:r>
      <w:r w:rsidRPr="0004487F">
        <w:rPr>
          <w:rFonts w:ascii="Times New Roman"/>
          <w:i/>
          <w:u w:val="single"/>
        </w:rPr>
        <w:t>associated haemorrhage</w:t>
      </w:r>
      <w:r w:rsidRPr="0004487F">
        <w:rPr>
          <w:rFonts w:ascii="Times New Roman"/>
          <w:i/>
        </w:rPr>
        <w:t xml:space="preserve"> </w:t>
      </w:r>
      <w:r w:rsidRPr="0004487F">
        <w:rPr>
          <w:rFonts w:ascii="Times New Roman"/>
        </w:rPr>
        <w:t>(see section 4.4)</w:t>
      </w:r>
    </w:p>
    <w:p w14:paraId="7BF8311A" w14:textId="4A17CF26" w:rsidR="00047E69" w:rsidRPr="0004487F" w:rsidRDefault="00C210A5" w:rsidP="00A82711">
      <w:pPr>
        <w:pStyle w:val="a5"/>
        <w:widowControl/>
        <w:adjustRightInd w:val="0"/>
        <w:snapToGrid w:val="0"/>
      </w:pPr>
      <w:r w:rsidRPr="0004487F">
        <w:t>Major or massive pulmonary haemorrhage/haemoptysis has been observed primarily in trials in patients with NSCLC. Possible risk factors include squamous cell histology, treatment with antirheumatic/anti</w:t>
      </w:r>
      <w:r w:rsidR="00FD0731" w:rsidRPr="0004487F">
        <w:noBreakHyphen/>
      </w:r>
      <w:r w:rsidRPr="0004487F">
        <w:t>inflammatory substances, treatment with anticoagulants, prior radiotherapy, bevacizumab therapy, previous medical history of atherosclerosis, central tu</w:t>
      </w:r>
      <w:r w:rsidRPr="0004487F">
        <w:rPr>
          <w:rFonts w:eastAsiaTheme="minorEastAsia" w:cs="Times New Roman"/>
        </w:rPr>
        <w:t>mour locatio</w:t>
      </w:r>
      <w:r w:rsidRPr="0004487F">
        <w:t>n and cavitation of tumours</w:t>
      </w:r>
      <w:r w:rsidRPr="0004487F">
        <w:rPr>
          <w:rFonts w:eastAsiaTheme="minorEastAsia" w:cs="Times New Roman"/>
        </w:rPr>
        <w:t xml:space="preserve"> prior to or during th</w:t>
      </w:r>
      <w:r w:rsidRPr="0004487F">
        <w:t>erapy. The only variables that sho</w:t>
      </w:r>
      <w:r w:rsidRPr="0004487F">
        <w:rPr>
          <w:rFonts w:eastAsiaTheme="minorEastAsia" w:cs="Times New Roman"/>
        </w:rPr>
        <w:t>wed statistically sig</w:t>
      </w:r>
      <w:r w:rsidRPr="0004487F">
        <w:t>nificant correlations with bleeding were bevacizumab therapy and squamous cell histo</w:t>
      </w:r>
      <w:r w:rsidRPr="0004487F">
        <w:rPr>
          <w:rFonts w:eastAsiaTheme="minorEastAsia" w:cs="Times New Roman"/>
        </w:rPr>
        <w:t>logy. Patie</w:t>
      </w:r>
      <w:r w:rsidRPr="0004487F">
        <w:t>nts with NSCLC of known squamous cell histology or mixed cell type with predomina</w:t>
      </w:r>
      <w:r w:rsidRPr="0004487F">
        <w:rPr>
          <w:rFonts w:eastAsiaTheme="minorEastAsia" w:cs="Times New Roman"/>
        </w:rPr>
        <w:t>nt squamous cell histology were excluded from subsequent phase III trials, while patients with unknown tu</w:t>
      </w:r>
      <w:r w:rsidRPr="0004487F">
        <w:t>mour histology were included.</w:t>
      </w:r>
    </w:p>
    <w:p w14:paraId="7B80AE60"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12AE8380" w14:textId="0E72C5B1" w:rsidR="00047E69" w:rsidRPr="0004487F" w:rsidRDefault="00C210A5" w:rsidP="00A82711">
      <w:pPr>
        <w:pStyle w:val="a5"/>
        <w:widowControl/>
        <w:adjustRightInd w:val="0"/>
        <w:snapToGrid w:val="0"/>
      </w:pPr>
      <w:r w:rsidRPr="0004487F">
        <w:t>In patients with NSCLC excluding predominant squamous histology, all Grade reactions were seen with a frequency of up to 9.3% when treated with bevacizumab plus chemotherapy compared with up to 5% in the patients treated with chemotherapy alone. Grade 3-5 reactions have been observed in up to 2.3%</w:t>
      </w:r>
      <w:r w:rsidRPr="0004487F">
        <w:rPr>
          <w:rFonts w:eastAsiaTheme="minorEastAsia" w:cs="Times New Roman"/>
        </w:rPr>
        <w:t xml:space="preserve"> of patien</w:t>
      </w:r>
      <w:r w:rsidRPr="0004487F">
        <w:t>ts treated with bevacizumab plus chemotherapy as compared with &lt; 1% with chemotherapy alone (NCI</w:t>
      </w:r>
      <w:r w:rsidR="00FD0731" w:rsidRPr="0004487F">
        <w:noBreakHyphen/>
      </w:r>
      <w:r w:rsidRPr="0004487F">
        <w:t>CTCAE v.3). Major or massive pu</w:t>
      </w:r>
      <w:r w:rsidRPr="0004487F">
        <w:rPr>
          <w:rFonts w:eastAsiaTheme="minorEastAsia" w:cs="Times New Roman"/>
        </w:rPr>
        <w:t xml:space="preserve">lmonary </w:t>
      </w:r>
      <w:r w:rsidRPr="0004487F">
        <w:t>haemorrhage/haemoptysis can occur suddenly</w:t>
      </w:r>
      <w:r w:rsidRPr="0004487F">
        <w:rPr>
          <w:rFonts w:eastAsiaTheme="minorEastAsia" w:cs="Times New Roman"/>
        </w:rPr>
        <w:t xml:space="preserve"> and up to two thirds of the se</w:t>
      </w:r>
      <w:r w:rsidRPr="0004487F">
        <w:t>rious pulmonary haemorrhages resulted in a fatal outcome.</w:t>
      </w:r>
    </w:p>
    <w:p w14:paraId="4BF78B42"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72A640EF" w14:textId="6416C574" w:rsidR="00047E69" w:rsidRPr="0004487F" w:rsidRDefault="00C210A5" w:rsidP="00A82711">
      <w:pPr>
        <w:pStyle w:val="a5"/>
        <w:widowControl/>
        <w:adjustRightInd w:val="0"/>
        <w:snapToGrid w:val="0"/>
      </w:pPr>
      <w:r w:rsidRPr="0004487F">
        <w:t>Gastrointestinal haemorrhages, including rectal bleeding and melaena have been reported in colorectal cancer patients, and have been assess</w:t>
      </w:r>
      <w:r w:rsidRPr="0004487F">
        <w:rPr>
          <w:rFonts w:eastAsiaTheme="minorEastAsia" w:cs="Times New Roman"/>
        </w:rPr>
        <w:t>ed as tumour</w:t>
      </w:r>
      <w:r w:rsidR="00FD0731" w:rsidRPr="0004487F">
        <w:rPr>
          <w:rFonts w:eastAsiaTheme="minorEastAsia" w:cs="Times New Roman"/>
        </w:rPr>
        <w:noBreakHyphen/>
      </w:r>
      <w:r w:rsidRPr="0004487F">
        <w:rPr>
          <w:rFonts w:eastAsiaTheme="minorEastAsia" w:cs="Times New Roman"/>
        </w:rPr>
        <w:t>associ</w:t>
      </w:r>
      <w:r w:rsidRPr="0004487F">
        <w:t>ated haemorrhages.</w:t>
      </w:r>
    </w:p>
    <w:p w14:paraId="6F16087B"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3B505A09" w14:textId="58A1EF25" w:rsidR="00047E69" w:rsidRPr="0004487F" w:rsidRDefault="00C210A5" w:rsidP="00A82711">
      <w:pPr>
        <w:pStyle w:val="a5"/>
        <w:widowControl/>
        <w:adjustRightInd w:val="0"/>
        <w:snapToGrid w:val="0"/>
      </w:pPr>
      <w:r w:rsidRPr="0004487F">
        <w:t>Tumour</w:t>
      </w:r>
      <w:r w:rsidR="00FD0731" w:rsidRPr="0004487F">
        <w:noBreakHyphen/>
      </w:r>
      <w:r w:rsidRPr="0004487F">
        <w:t>associated haemorrhage was also seen rarely in other tumour types and locations, including cases of central nervous system (CNS) bleeding in patients with CNS metastases (see section 4.4).</w:t>
      </w:r>
    </w:p>
    <w:p w14:paraId="149ACEC8"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11FB9B63" w14:textId="57604FE2" w:rsidR="00047E69" w:rsidRPr="0004487F" w:rsidRDefault="00C210A5" w:rsidP="00A82711">
      <w:pPr>
        <w:pStyle w:val="a5"/>
        <w:widowControl/>
        <w:adjustRightInd w:val="0"/>
        <w:snapToGrid w:val="0"/>
      </w:pPr>
      <w:r w:rsidRPr="0004487F">
        <w:t>The incidence of CNS bleeding in patients with untreated CNS metastases receiving bevacizumab has not been prospectively evaluated in randomised clinical trials. In an exploratory retrospective analysis of data from 13 completed randomised trials in patients with various tumour types, 3 patients out of 91 (3.3%) with brain metastases experienced CNS bleeding (all Grade 4) when treated with bevacizumab, compared to 1 case (Grade 5) out of 96 patients (1%) that were not exposed to bevacizumab. In two subsequent studies in patients with treated brain metastases (which included around 800 patients), one case of Grade 2 CNS haemorrhage was reported in 83 subjects treated with bevacizumab (1.2%) at the time of interim safety analysis (NCI</w:t>
      </w:r>
      <w:r w:rsidR="00FD0731" w:rsidRPr="0004487F">
        <w:noBreakHyphen/>
      </w:r>
      <w:r w:rsidRPr="0004487F">
        <w:t>CTCAE v.3).</w:t>
      </w:r>
    </w:p>
    <w:p w14:paraId="7C84D870" w14:textId="77777777" w:rsidR="00047E69" w:rsidRPr="0004487F" w:rsidRDefault="00047E69" w:rsidP="00A82711">
      <w:pPr>
        <w:widowControl/>
        <w:adjustRightInd w:val="0"/>
        <w:snapToGrid w:val="0"/>
        <w:rPr>
          <w:rFonts w:ascii="Times New Roman" w:eastAsia="Times New Roman" w:hAnsi="Times New Roman" w:cs="Times New Roman"/>
        </w:rPr>
      </w:pPr>
    </w:p>
    <w:p w14:paraId="5F3CEABF" w14:textId="0381DA53" w:rsidR="00047E69" w:rsidRPr="0004487F" w:rsidRDefault="00C210A5" w:rsidP="00A82711">
      <w:pPr>
        <w:pStyle w:val="a5"/>
        <w:widowControl/>
        <w:adjustRightInd w:val="0"/>
        <w:snapToGrid w:val="0"/>
      </w:pPr>
      <w:r w:rsidRPr="0004487F">
        <w:t xml:space="preserve">Across all clinical trials, mucocutaneous haemorrhage has been seen in up to 50% </w:t>
      </w:r>
      <w:r w:rsidRPr="0004487F">
        <w:rPr>
          <w:rFonts w:eastAsiaTheme="minorEastAsia" w:cs="Times New Roman"/>
        </w:rPr>
        <w:t>of bevacizumab</w:t>
      </w:r>
      <w:r w:rsidR="00FD0731" w:rsidRPr="0004487F">
        <w:rPr>
          <w:rFonts w:eastAsiaTheme="minorEastAsia" w:cs="Times New Roman"/>
        </w:rPr>
        <w:noBreakHyphen/>
      </w:r>
      <w:r w:rsidRPr="0004487F">
        <w:rPr>
          <w:rFonts w:eastAsiaTheme="minorEastAsia" w:cs="Times New Roman"/>
        </w:rPr>
        <w:t>treated patients. These were</w:t>
      </w:r>
      <w:r w:rsidRPr="0004487F">
        <w:t xml:space="preserve"> most commonly NCI</w:t>
      </w:r>
      <w:r w:rsidR="00FD0731" w:rsidRPr="0004487F">
        <w:noBreakHyphen/>
      </w:r>
      <w:r w:rsidRPr="0004487F">
        <w:t>CTCAE v.3 Grad</w:t>
      </w:r>
      <w:r w:rsidRPr="0004487F">
        <w:rPr>
          <w:rFonts w:eastAsiaTheme="minorEastAsia" w:cs="Times New Roman"/>
        </w:rPr>
        <w:t>e 1 epistaxis that</w:t>
      </w:r>
      <w:r w:rsidRPr="0004487F">
        <w:t xml:space="preserve"> lasted less than</w:t>
      </w:r>
      <w:r w:rsidR="004A79F9">
        <w:rPr>
          <w:rFonts w:eastAsiaTheme="minorEastAsia" w:hint="eastAsia"/>
          <w:lang w:eastAsia="ko-KR"/>
        </w:rPr>
        <w:t xml:space="preserve"> </w:t>
      </w:r>
      <w:r w:rsidRPr="0004487F">
        <w:t>5 minutes, resolved without medical intervention and did not require any changes in the bevacizumab treatment regimen. Clinical safety data suggest that the incidence of minor mucocutaneous haemorrhage (e.g. epistaxis) may be dose</w:t>
      </w:r>
      <w:r w:rsidR="00FD0731" w:rsidRPr="0004487F">
        <w:noBreakHyphen/>
      </w:r>
      <w:r w:rsidRPr="0004487F">
        <w:t>dependent.</w:t>
      </w:r>
    </w:p>
    <w:p w14:paraId="3F067D8D"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770B4DBB" w14:textId="77777777" w:rsidR="00047E69" w:rsidRPr="0004487F" w:rsidRDefault="00C210A5" w:rsidP="00A82711">
      <w:pPr>
        <w:pStyle w:val="a5"/>
        <w:widowControl/>
        <w:adjustRightInd w:val="0"/>
        <w:snapToGrid w:val="0"/>
      </w:pPr>
      <w:r w:rsidRPr="0004487F">
        <w:lastRenderedPageBreak/>
        <w:t>There have also b</w:t>
      </w:r>
      <w:r w:rsidRPr="0004487F">
        <w:rPr>
          <w:rFonts w:eastAsiaTheme="minorEastAsia" w:cs="Times New Roman"/>
        </w:rPr>
        <w:t>een less commo</w:t>
      </w:r>
      <w:r w:rsidRPr="0004487F">
        <w:t>n reactions of minor mucocutaneous haemorrhage in other locations, such as gingival bleeding or vaginal bleeding.</w:t>
      </w:r>
    </w:p>
    <w:p w14:paraId="07B1F207"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509EAA05" w14:textId="77777777" w:rsidR="00047E69" w:rsidRPr="0004487F" w:rsidRDefault="00C210A5" w:rsidP="00A82711">
      <w:pPr>
        <w:widowControl/>
        <w:adjustRightInd w:val="0"/>
        <w:snapToGrid w:val="0"/>
        <w:rPr>
          <w:rFonts w:ascii="Times New Roman" w:eastAsia="Times New Roman" w:hAnsi="Times New Roman" w:cs="Times New Roman"/>
        </w:rPr>
      </w:pPr>
      <w:r w:rsidRPr="0004487F">
        <w:rPr>
          <w:rFonts w:ascii="Times New Roman"/>
          <w:i/>
          <w:u w:val="single"/>
        </w:rPr>
        <w:t>Thromboembolism</w:t>
      </w:r>
      <w:r w:rsidRPr="0004487F">
        <w:rPr>
          <w:rFonts w:ascii="Times New Roman"/>
          <w:i/>
        </w:rPr>
        <w:t xml:space="preserve"> </w:t>
      </w:r>
      <w:r w:rsidRPr="0004487F">
        <w:rPr>
          <w:rFonts w:ascii="Times New Roman"/>
        </w:rPr>
        <w:t>(see section 4.4)</w:t>
      </w:r>
    </w:p>
    <w:p w14:paraId="71ED537C" w14:textId="77777777" w:rsidR="00047E69" w:rsidRPr="0004487F" w:rsidRDefault="00047E69" w:rsidP="00A82711">
      <w:pPr>
        <w:widowControl/>
        <w:adjustRightInd w:val="0"/>
        <w:snapToGrid w:val="0"/>
        <w:rPr>
          <w:rFonts w:ascii="Times New Roman" w:eastAsia="Times New Roman" w:hAnsi="Times New Roman" w:cs="Times New Roman"/>
        </w:rPr>
      </w:pPr>
    </w:p>
    <w:p w14:paraId="38A8BBCD" w14:textId="77777777" w:rsidR="00047E69" w:rsidRPr="0004487F" w:rsidRDefault="00C210A5" w:rsidP="00A82711">
      <w:pPr>
        <w:pStyle w:val="a5"/>
        <w:widowControl/>
        <w:adjustRightInd w:val="0"/>
        <w:snapToGrid w:val="0"/>
      </w:pPr>
      <w:r w:rsidRPr="0004487F">
        <w:rPr>
          <w:i/>
        </w:rPr>
        <w:t xml:space="preserve">Arterial thromboembolism: </w:t>
      </w:r>
      <w:r w:rsidRPr="0004487F">
        <w:t>An increased incidence of arterial thromboembolic reactions was observed in patients treated with bevacizumab across indications, including cerebrovascular accidents, myocardial infarction, transient ischaemic attacks, and other arterial thromboembolic reactions.</w:t>
      </w:r>
    </w:p>
    <w:p w14:paraId="75C08432" w14:textId="77777777" w:rsidR="00A135EE" w:rsidRPr="0004487F" w:rsidRDefault="00A135EE" w:rsidP="00A82711">
      <w:pPr>
        <w:pStyle w:val="a5"/>
        <w:widowControl/>
        <w:adjustRightInd w:val="0"/>
        <w:snapToGrid w:val="0"/>
      </w:pPr>
    </w:p>
    <w:p w14:paraId="0367FFA8" w14:textId="7F4784D9" w:rsidR="00047E69" w:rsidRPr="0004487F" w:rsidRDefault="00C210A5" w:rsidP="00A82711">
      <w:pPr>
        <w:pStyle w:val="a5"/>
        <w:widowControl/>
        <w:adjustRightInd w:val="0"/>
        <w:snapToGrid w:val="0"/>
      </w:pPr>
      <w:r w:rsidRPr="0004487F">
        <w:t>In clinical trials, the overall incidence of arterial thromboembolic reactions ranged up to 3.8% in the bevacizumab containing arms compared with up to 2.1% in the chemotherapy control arms. Fatal o</w:t>
      </w:r>
      <w:r w:rsidRPr="0004487F">
        <w:rPr>
          <w:rFonts w:eastAsiaTheme="minorEastAsia" w:cs="Times New Roman"/>
        </w:rPr>
        <w:t>utcome was report</w:t>
      </w:r>
      <w:r w:rsidRPr="0004487F">
        <w:t>ed in 0.8% of patients receiving bevacizumab compared to 0.5% in patients receivi</w:t>
      </w:r>
      <w:r w:rsidRPr="0004487F">
        <w:rPr>
          <w:rFonts w:eastAsiaTheme="minorEastAsia" w:cs="Times New Roman"/>
        </w:rPr>
        <w:t xml:space="preserve">ng chemotherapy alone. Cerebrovascular accidents (including transient ischaemic attacks) were reported in </w:t>
      </w:r>
      <w:r w:rsidRPr="0004487F">
        <w:t>up to 2.7% of patients treated with bevacizumab in combination with chemotherapy compared to</w:t>
      </w:r>
      <w:r w:rsidRPr="0004487F">
        <w:rPr>
          <w:rFonts w:eastAsiaTheme="minorEastAsia" w:cs="Times New Roman"/>
        </w:rPr>
        <w:t xml:space="preserve"> up to 0.5</w:t>
      </w:r>
      <w:r w:rsidRPr="0004487F">
        <w:t>% of patients treated with chemotherapy alone. Myocardial infarction was reported in up to 1.4% of patients treated with bevacizumab in combination with chemotherapy compared to up to 0.7% of patients treated with chemotherapy alone.</w:t>
      </w:r>
    </w:p>
    <w:p w14:paraId="47C77186"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495B02F0" w14:textId="71E377EE" w:rsidR="00047E69" w:rsidRPr="0004487F" w:rsidRDefault="00C210A5" w:rsidP="00A82711">
      <w:pPr>
        <w:pStyle w:val="a5"/>
        <w:widowControl/>
        <w:adjustRightInd w:val="0"/>
        <w:snapToGrid w:val="0"/>
        <w:ind w:hanging="1"/>
      </w:pPr>
      <w:r w:rsidRPr="0004487F">
        <w:t>In one clinical trial evaluating bevacizumab in combination with 5</w:t>
      </w:r>
      <w:r w:rsidR="00FD0731" w:rsidRPr="0004487F">
        <w:noBreakHyphen/>
      </w:r>
      <w:r w:rsidRPr="0004487F">
        <w:t>fluorouracil/folinic acid, AVF2192g, patients with metastatic colorectal cancer who were not candidates for treatment with irinotecan were included. In this trial arterial thromboembolic reactions were observed in 11% (11/100) of patients compared to 5.8% (6/104) in the chemotherapy control group.</w:t>
      </w:r>
    </w:p>
    <w:p w14:paraId="438C822F" w14:textId="77777777" w:rsidR="00047E69" w:rsidRPr="0004487F" w:rsidRDefault="00047E69" w:rsidP="00A82711">
      <w:pPr>
        <w:widowControl/>
        <w:adjustRightInd w:val="0"/>
        <w:snapToGrid w:val="0"/>
        <w:rPr>
          <w:rFonts w:ascii="Times New Roman" w:eastAsia="Times New Roman" w:hAnsi="Times New Roman" w:cs="Times New Roman"/>
        </w:rPr>
      </w:pPr>
    </w:p>
    <w:p w14:paraId="006B2C7B" w14:textId="77777777" w:rsidR="00047E69" w:rsidRPr="0004487F" w:rsidRDefault="00C210A5" w:rsidP="00A82711">
      <w:pPr>
        <w:pStyle w:val="a5"/>
        <w:widowControl/>
        <w:adjustRightInd w:val="0"/>
        <w:snapToGrid w:val="0"/>
      </w:pPr>
      <w:r w:rsidRPr="0004487F">
        <w:rPr>
          <w:i/>
        </w:rPr>
        <w:t xml:space="preserve">Venous thromboembolism: </w:t>
      </w:r>
      <w:r w:rsidRPr="0004487F">
        <w:t>The incidence of venous thromboembolic reactions in clinical trials was similar in patients receiving bevacizumab in combination with chemotherapy compared to those receiving the control chemotherapy alone. Venous thromboembolic reactions include deep venous thromb</w:t>
      </w:r>
      <w:r w:rsidRPr="0004487F">
        <w:rPr>
          <w:rFonts w:eastAsiaTheme="minorEastAsia" w:cs="Times New Roman"/>
        </w:rPr>
        <w:t xml:space="preserve">osis, pulmonary embolism </w:t>
      </w:r>
      <w:r w:rsidRPr="0004487F">
        <w:t>and thrombophlebitis.</w:t>
      </w:r>
    </w:p>
    <w:p w14:paraId="2A961146"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5A2172CF" w14:textId="3E7CCA17" w:rsidR="00047E69" w:rsidRPr="0004487F" w:rsidRDefault="00C210A5" w:rsidP="00A82711">
      <w:pPr>
        <w:pStyle w:val="a5"/>
        <w:widowControl/>
        <w:adjustRightInd w:val="0"/>
        <w:snapToGrid w:val="0"/>
      </w:pPr>
      <w:r w:rsidRPr="0004487F">
        <w:t>In clinical trials across indications, the overall incidence of venous thromboembolic reactions ranged from 2.8% to 17.3% of bevacizumab</w:t>
      </w:r>
      <w:r w:rsidR="00FD0731" w:rsidRPr="0004487F">
        <w:noBreakHyphen/>
      </w:r>
      <w:r w:rsidRPr="0004487F">
        <w:t>treated patients compared with 3.2% to 15.6% in the control arms.</w:t>
      </w:r>
    </w:p>
    <w:p w14:paraId="503E665F"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04EA33B7" w14:textId="5461AC18" w:rsidR="00047E69" w:rsidRPr="0004487F" w:rsidRDefault="00C210A5" w:rsidP="00A82711">
      <w:pPr>
        <w:pStyle w:val="a5"/>
        <w:widowControl/>
        <w:adjustRightInd w:val="0"/>
        <w:snapToGrid w:val="0"/>
      </w:pPr>
      <w:r w:rsidRPr="0004487F">
        <w:t>Grade 3-5 (NCI</w:t>
      </w:r>
      <w:r w:rsidR="00FD0731" w:rsidRPr="0004487F">
        <w:noBreakHyphen/>
      </w:r>
      <w:r w:rsidRPr="0004487F">
        <w:t>CTCAE v.3) venous thromboembolic reactions have been reported in up to 7.8% of patients treated with chemotherapy plus bevacizumab compared with up to 4.9% in patients treated with chemotherapy alone (across indications, excluding persistent, recurrent, or metastatic cervical cancer).</w:t>
      </w:r>
    </w:p>
    <w:p w14:paraId="27CEA7DB"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3E0A5520" w14:textId="15BBA732" w:rsidR="00047E69" w:rsidRPr="0004487F" w:rsidRDefault="00C210A5" w:rsidP="00A82711">
      <w:pPr>
        <w:pStyle w:val="a5"/>
        <w:widowControl/>
        <w:adjustRightInd w:val="0"/>
        <w:snapToGrid w:val="0"/>
      </w:pPr>
      <w:r w:rsidRPr="0004487F">
        <w:t>From a clinical trial in patients with persistent, recurrent, or metastatic cervical cancer (study GOG</w:t>
      </w:r>
      <w:r w:rsidR="00FD0731" w:rsidRPr="0004487F">
        <w:noBreakHyphen/>
      </w:r>
      <w:r w:rsidRPr="0004487F">
        <w:t>0240), grade 3-5 venous thromboembolic events have been reported in up to 15.6% of patients treated with bevacizumab in combination with paclitaxel and cisplatin compared with up to 7.0% of patients tre</w:t>
      </w:r>
      <w:r w:rsidRPr="0004487F">
        <w:rPr>
          <w:rFonts w:eastAsiaTheme="minorEastAsia" w:cs="Times New Roman"/>
        </w:rPr>
        <w:t>ated with paclitaxel and cis</w:t>
      </w:r>
      <w:r w:rsidRPr="0004487F">
        <w:t>platin.</w:t>
      </w:r>
    </w:p>
    <w:p w14:paraId="2D707AED"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4F28A8D1" w14:textId="77777777" w:rsidR="00047E69" w:rsidRPr="0004487F" w:rsidRDefault="00C210A5" w:rsidP="00A82711">
      <w:pPr>
        <w:pStyle w:val="a5"/>
        <w:widowControl/>
        <w:adjustRightInd w:val="0"/>
        <w:snapToGrid w:val="0"/>
      </w:pPr>
      <w:r w:rsidRPr="0004487F">
        <w:t>Patients who have experienced a venous thromboembolic reaction may be at higher risk for a recurrence if they receive bevacizumab in combination with chemotherapy versus chemotherapy alone.</w:t>
      </w:r>
    </w:p>
    <w:p w14:paraId="65E14825" w14:textId="77777777" w:rsidR="00047E69" w:rsidRPr="0004487F" w:rsidRDefault="00047E69" w:rsidP="00A82711">
      <w:pPr>
        <w:widowControl/>
        <w:adjustRightInd w:val="0"/>
        <w:snapToGrid w:val="0"/>
        <w:rPr>
          <w:rFonts w:ascii="Times New Roman" w:eastAsia="Times New Roman" w:hAnsi="Times New Roman" w:cs="Times New Roman"/>
        </w:rPr>
      </w:pPr>
    </w:p>
    <w:p w14:paraId="0E9994B4" w14:textId="77777777" w:rsidR="00047E69" w:rsidRPr="0004487F" w:rsidRDefault="00C210A5" w:rsidP="00A82711">
      <w:pPr>
        <w:widowControl/>
        <w:adjustRightInd w:val="0"/>
        <w:snapToGrid w:val="0"/>
        <w:rPr>
          <w:rFonts w:ascii="Times New Roman" w:eastAsia="Times New Roman" w:hAnsi="Times New Roman" w:cs="Times New Roman"/>
          <w:u w:val="single"/>
        </w:rPr>
      </w:pPr>
      <w:r w:rsidRPr="0004487F">
        <w:rPr>
          <w:rFonts w:ascii="Times New Roman"/>
          <w:i/>
          <w:u w:val="single"/>
        </w:rPr>
        <w:t>Congestive heart failure (CHF)</w:t>
      </w:r>
    </w:p>
    <w:p w14:paraId="34EA6807" w14:textId="392BB1B2" w:rsidR="00047E69" w:rsidRPr="0004487F" w:rsidRDefault="00C210A5" w:rsidP="00A82711">
      <w:pPr>
        <w:pStyle w:val="a5"/>
        <w:widowControl/>
        <w:adjustRightInd w:val="0"/>
        <w:snapToGrid w:val="0"/>
      </w:pPr>
      <w:r w:rsidRPr="0004487F">
        <w:t>In clinical trials with bevacizumab, CHF was observed in all cancer indications studied to date, but occurred predominantly in patients with metastatic breast cancer. In four phase III trials (AVF2119g, E2100, BO17708 and AVF3694g) in patients with metastatic breast cancer C</w:t>
      </w:r>
      <w:r w:rsidRPr="0004487F">
        <w:rPr>
          <w:rFonts w:eastAsiaTheme="minorEastAsia" w:cs="Times New Roman"/>
        </w:rPr>
        <w:t xml:space="preserve">HF Grade 3 </w:t>
      </w:r>
      <w:r w:rsidRPr="0004487F">
        <w:t>(NCI</w:t>
      </w:r>
      <w:r w:rsidR="00FD0731" w:rsidRPr="0004487F">
        <w:noBreakHyphen/>
      </w:r>
      <w:r w:rsidRPr="0004487F">
        <w:t>CTCAE v.3) or higher was reported in up to 3.5% of patients treated with bevacizuma</w:t>
      </w:r>
      <w:r w:rsidRPr="0004487F">
        <w:rPr>
          <w:rFonts w:eastAsiaTheme="minorEastAsia" w:cs="Times New Roman"/>
        </w:rPr>
        <w:t>b in combinatio</w:t>
      </w:r>
      <w:r w:rsidRPr="0004487F">
        <w:t>n with chemotherapy compared with up to 0.9% in the control arms. For patients i</w:t>
      </w:r>
      <w:r w:rsidRPr="0004487F">
        <w:rPr>
          <w:rFonts w:eastAsiaTheme="minorEastAsia" w:cs="Times New Roman"/>
        </w:rPr>
        <w:t xml:space="preserve">n study AVF3694g </w:t>
      </w:r>
      <w:r w:rsidRPr="0004487F">
        <w:t>who received anthracyclines concomitantly with bevacizumab, the incidence</w:t>
      </w:r>
      <w:r w:rsidRPr="0004487F">
        <w:rPr>
          <w:rFonts w:eastAsiaTheme="minorEastAsia" w:cs="Times New Roman"/>
        </w:rPr>
        <w:t>s of Grade 3 or high</w:t>
      </w:r>
      <w:r w:rsidRPr="0004487F">
        <w:t>er CHF for the respective bevacizumab and control arms were similar to those in the other studies in metastatic breast cancer: 2.9% in the anthracycline + bevacizumab arm and 0% in the anthracycline + placebo arm. In addition, in study AVF3694g the incidences of all Grade CHF were similar between the anthracycline + bevacizumab (6.2%) and the anthracycline + placebo arms (6.0%).</w:t>
      </w:r>
    </w:p>
    <w:p w14:paraId="2E684215" w14:textId="77777777" w:rsidR="00047E69" w:rsidRPr="0004487F" w:rsidRDefault="00C210A5" w:rsidP="00A82711">
      <w:pPr>
        <w:pStyle w:val="a5"/>
        <w:widowControl/>
        <w:adjustRightInd w:val="0"/>
        <w:snapToGrid w:val="0"/>
      </w:pPr>
      <w:r w:rsidRPr="0004487F">
        <w:lastRenderedPageBreak/>
        <w:t>Most patient</w:t>
      </w:r>
      <w:r w:rsidRPr="0004487F">
        <w:rPr>
          <w:rFonts w:eastAsiaTheme="minorEastAsia" w:cs="Times New Roman"/>
        </w:rPr>
        <w:t>s who developed C</w:t>
      </w:r>
      <w:r w:rsidRPr="0004487F">
        <w:t>HF during mBC trials showed improved symptoms and/or left ventricular function following appropriate medical therapy.</w:t>
      </w:r>
    </w:p>
    <w:p w14:paraId="70BBE802"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73C08065" w14:textId="5C4CC3EB" w:rsidR="00047E69" w:rsidRPr="0004487F" w:rsidRDefault="00C210A5" w:rsidP="00A82711">
      <w:pPr>
        <w:pStyle w:val="a5"/>
        <w:widowControl/>
        <w:adjustRightInd w:val="0"/>
        <w:snapToGrid w:val="0"/>
      </w:pPr>
      <w:r w:rsidRPr="0004487F">
        <w:t>In most clinical trials of bevacizumab, patients with pre</w:t>
      </w:r>
      <w:r w:rsidR="00FD0731" w:rsidRPr="0004487F">
        <w:noBreakHyphen/>
      </w:r>
      <w:r w:rsidRPr="0004487F">
        <w:t>existing CHF of NYHA (New York Heart Association) II-IV</w:t>
      </w:r>
      <w:r w:rsidRPr="0004487F">
        <w:rPr>
          <w:rFonts w:eastAsiaTheme="minorEastAsia" w:cs="Times New Roman"/>
        </w:rPr>
        <w:t xml:space="preserve"> were excluded, </w:t>
      </w:r>
      <w:r w:rsidRPr="0004487F">
        <w:t>therefore, no information is available on the risk of CHF in this population.</w:t>
      </w:r>
    </w:p>
    <w:p w14:paraId="3B0AA3A5" w14:textId="77777777" w:rsidR="00047E69" w:rsidRPr="0004487F" w:rsidRDefault="00047E69" w:rsidP="00A82711">
      <w:pPr>
        <w:widowControl/>
        <w:adjustRightInd w:val="0"/>
        <w:snapToGrid w:val="0"/>
        <w:rPr>
          <w:rFonts w:ascii="Times New Roman" w:eastAsia="Times New Roman" w:hAnsi="Times New Roman" w:cs="Times New Roman"/>
          <w:sz w:val="21"/>
          <w:szCs w:val="21"/>
        </w:rPr>
      </w:pPr>
    </w:p>
    <w:p w14:paraId="2234BBA6" w14:textId="77777777" w:rsidR="00047E69" w:rsidRPr="009E2922" w:rsidRDefault="00C210A5" w:rsidP="00A82711">
      <w:pPr>
        <w:pStyle w:val="a5"/>
        <w:widowControl/>
        <w:adjustRightInd w:val="0"/>
        <w:snapToGrid w:val="0"/>
      </w:pPr>
      <w:r w:rsidRPr="0004487F">
        <w:t xml:space="preserve">Prior anthracyclines exposure and/or prior radiation to the chest wall may be possible risk factors for </w:t>
      </w:r>
      <w:r w:rsidRPr="009E2922">
        <w:t>the development of CHF.</w:t>
      </w:r>
    </w:p>
    <w:p w14:paraId="78D1D0CD" w14:textId="77777777" w:rsidR="00A135EE" w:rsidRPr="009E2922" w:rsidRDefault="00A135EE" w:rsidP="00A82711">
      <w:pPr>
        <w:pStyle w:val="a5"/>
        <w:widowControl/>
        <w:adjustRightInd w:val="0"/>
        <w:snapToGrid w:val="0"/>
      </w:pPr>
    </w:p>
    <w:p w14:paraId="0345B695" w14:textId="299C4009" w:rsidR="00D05A06" w:rsidRPr="009E2922" w:rsidRDefault="00C210A5" w:rsidP="00A82711">
      <w:pPr>
        <w:pStyle w:val="a5"/>
        <w:widowControl/>
        <w:adjustRightInd w:val="0"/>
        <w:snapToGrid w:val="0"/>
      </w:pPr>
      <w:r w:rsidRPr="009E2922">
        <w:t>An increased incidence of CHF has been observed in a clinical trial of patients with diffuse large</w:t>
      </w:r>
      <w:r w:rsidR="0004487F" w:rsidRPr="009E2922">
        <w:rPr>
          <w:rFonts w:eastAsiaTheme="minorEastAsia" w:hint="eastAsia"/>
          <w:lang w:eastAsia="ko-KR"/>
        </w:rPr>
        <w:t xml:space="preserve"> </w:t>
      </w:r>
      <w:r w:rsidRPr="009E2922">
        <w:t>B</w:t>
      </w:r>
      <w:r w:rsidR="00FD0731" w:rsidRPr="009E2922">
        <w:noBreakHyphen/>
      </w:r>
      <w:r w:rsidRPr="009E2922">
        <w:t>cell lymphoma when receiving bevacizumab with a cumulative doxorubicin dose greater than</w:t>
      </w:r>
      <w:r w:rsidR="0004487F" w:rsidRPr="009E2922">
        <w:rPr>
          <w:rFonts w:eastAsiaTheme="minorEastAsia" w:hint="eastAsia"/>
          <w:lang w:eastAsia="ko-KR"/>
        </w:rPr>
        <w:t xml:space="preserve"> </w:t>
      </w:r>
      <w:r w:rsidRPr="009E2922">
        <w:t>300 mg/m2. This phase III clinical trial compared rituximab/cyclophosphamide/doxorubicin/</w:t>
      </w:r>
      <w:r w:rsidR="0004487F" w:rsidRPr="009E2922">
        <w:rPr>
          <w:rFonts w:eastAsiaTheme="minorEastAsia" w:hint="eastAsia"/>
          <w:lang w:eastAsia="ko-KR"/>
        </w:rPr>
        <w:t xml:space="preserve"> </w:t>
      </w:r>
      <w:r w:rsidRPr="009E2922">
        <w:t>vincristine/prednisone (R</w:t>
      </w:r>
      <w:r w:rsidR="00FD0731" w:rsidRPr="009E2922">
        <w:noBreakHyphen/>
      </w:r>
      <w:r w:rsidRPr="009E2922">
        <w:t>CHOP) plus bevacizumab to R</w:t>
      </w:r>
      <w:r w:rsidR="00FD0731" w:rsidRPr="009E2922">
        <w:noBreakHyphen/>
      </w:r>
      <w:r w:rsidRPr="009E2922">
        <w:t>CHOP without bevacizumab. While the</w:t>
      </w:r>
      <w:r w:rsidR="0004487F" w:rsidRPr="009E2922">
        <w:rPr>
          <w:rFonts w:eastAsiaTheme="minorEastAsia" w:hint="eastAsia"/>
          <w:lang w:eastAsia="ko-KR"/>
        </w:rPr>
        <w:t xml:space="preserve"> </w:t>
      </w:r>
      <w:r w:rsidRPr="009E2922">
        <w:t>incidence of CHF was, in both arms, above that previously observed for doxorubicin therapy, the rate was higher in the R</w:t>
      </w:r>
      <w:r w:rsidR="00FD0731" w:rsidRPr="009E2922">
        <w:noBreakHyphen/>
      </w:r>
      <w:r w:rsidRPr="009E2922">
        <w:t>CHOP plus bevacizumab arm. These results suggest that close clinical observation with appropriate cardiac assessments should be considered for patients exposed to cumulative doxorubicin doses greater than 300 mg/m</w:t>
      </w:r>
      <w:r w:rsidRPr="009E2922">
        <w:rPr>
          <w:vertAlign w:val="superscript"/>
        </w:rPr>
        <w:t>2</w:t>
      </w:r>
      <w:r w:rsidRPr="009E2922">
        <w:t xml:space="preserve"> when combined with bevacizumab.</w:t>
      </w:r>
    </w:p>
    <w:p w14:paraId="247A1559" w14:textId="77777777" w:rsidR="00047E69" w:rsidRPr="009E2922" w:rsidRDefault="00047E69" w:rsidP="00A82711">
      <w:pPr>
        <w:widowControl/>
        <w:adjustRightInd w:val="0"/>
        <w:snapToGrid w:val="0"/>
        <w:rPr>
          <w:rFonts w:ascii="Times New Roman" w:eastAsia="Times New Roman" w:hAnsi="Times New Roman" w:cs="Times New Roman"/>
          <w:sz w:val="21"/>
          <w:szCs w:val="21"/>
        </w:rPr>
      </w:pPr>
    </w:p>
    <w:p w14:paraId="1DC41898" w14:textId="77777777" w:rsidR="00C70E96" w:rsidRPr="009E2922" w:rsidRDefault="00C210A5" w:rsidP="00A82711">
      <w:pPr>
        <w:pStyle w:val="a5"/>
        <w:widowControl/>
        <w:adjustRightInd w:val="0"/>
        <w:snapToGrid w:val="0"/>
      </w:pPr>
      <w:r w:rsidRPr="009E2922">
        <w:rPr>
          <w:i/>
          <w:u w:val="single"/>
        </w:rPr>
        <w:t xml:space="preserve">Hypersensitivity </w:t>
      </w:r>
      <w:r w:rsidRPr="00B60875">
        <w:rPr>
          <w:i/>
          <w:u w:val="single"/>
        </w:rPr>
        <w:t>reactions</w:t>
      </w:r>
      <w:r w:rsidR="00C70E96" w:rsidRPr="00B60875">
        <w:rPr>
          <w:u w:val="single"/>
        </w:rPr>
        <w:t xml:space="preserve"> </w:t>
      </w:r>
      <w:r w:rsidR="00C70E96" w:rsidRPr="00B60875">
        <w:rPr>
          <w:i/>
          <w:u w:val="single"/>
        </w:rPr>
        <w:t>(including</w:t>
      </w:r>
      <w:r w:rsidR="00C70E96" w:rsidRPr="009E2922">
        <w:rPr>
          <w:i/>
          <w:u w:val="single"/>
        </w:rPr>
        <w:t xml:space="preserve"> anaphylactic shock)</w:t>
      </w:r>
      <w:r w:rsidRPr="009E2922">
        <w:rPr>
          <w:i/>
          <w:u w:val="single"/>
        </w:rPr>
        <w:t>/infusion reactions</w:t>
      </w:r>
      <w:r w:rsidRPr="009E2922">
        <w:rPr>
          <w:i/>
        </w:rPr>
        <w:t xml:space="preserve"> </w:t>
      </w:r>
      <w:r w:rsidRPr="009E2922">
        <w:t xml:space="preserve">(see section 4.4 and </w:t>
      </w:r>
      <w:r w:rsidRPr="009E2922">
        <w:rPr>
          <w:i/>
        </w:rPr>
        <w:t>Post</w:t>
      </w:r>
      <w:r w:rsidR="00FD0731" w:rsidRPr="009E2922">
        <w:rPr>
          <w:i/>
        </w:rPr>
        <w:noBreakHyphen/>
      </w:r>
      <w:r w:rsidRPr="009E2922">
        <w:rPr>
          <w:i/>
        </w:rPr>
        <w:t xml:space="preserve">marketing experience </w:t>
      </w:r>
      <w:r w:rsidRPr="009E2922">
        <w:t xml:space="preserve">below) </w:t>
      </w:r>
    </w:p>
    <w:p w14:paraId="7A91B90B" w14:textId="54460895" w:rsidR="00047E69" w:rsidRPr="009E2922" w:rsidRDefault="00C210A5" w:rsidP="00A82711">
      <w:pPr>
        <w:pStyle w:val="a5"/>
        <w:widowControl/>
        <w:adjustRightInd w:val="0"/>
        <w:snapToGrid w:val="0"/>
      </w:pPr>
      <w:r w:rsidRPr="009E2922">
        <w:t>In some clinical trials anaphylactic and anaphylactoid</w:t>
      </w:r>
      <w:r w:rsidR="00FD0731" w:rsidRPr="009E2922">
        <w:noBreakHyphen/>
      </w:r>
      <w:r w:rsidRPr="009E2922">
        <w:t>type reactions were reported more frequently in patients receiving bevacizumab in combination with chemotherapy than with chemotherapy alone. The incidence of these reactions in some clinical trials of bevacizumab is common (up to 5% in bevacizumab</w:t>
      </w:r>
      <w:r w:rsidR="00FD0731" w:rsidRPr="009E2922">
        <w:noBreakHyphen/>
      </w:r>
      <w:r w:rsidRPr="009E2922">
        <w:t>treated patients).</w:t>
      </w:r>
    </w:p>
    <w:p w14:paraId="4374D74D" w14:textId="77777777" w:rsidR="00047E69" w:rsidRPr="009E2922" w:rsidRDefault="00047E69" w:rsidP="00A82711">
      <w:pPr>
        <w:widowControl/>
        <w:adjustRightInd w:val="0"/>
        <w:snapToGrid w:val="0"/>
        <w:rPr>
          <w:rFonts w:ascii="Times New Roman" w:eastAsia="Times New Roman" w:hAnsi="Times New Roman" w:cs="Times New Roman"/>
          <w:sz w:val="21"/>
          <w:szCs w:val="21"/>
        </w:rPr>
      </w:pPr>
    </w:p>
    <w:p w14:paraId="74748BFF" w14:textId="77777777" w:rsidR="00047E69" w:rsidRPr="009E2922" w:rsidRDefault="00C210A5" w:rsidP="00A82711">
      <w:pPr>
        <w:widowControl/>
        <w:adjustRightInd w:val="0"/>
        <w:snapToGrid w:val="0"/>
        <w:rPr>
          <w:rFonts w:ascii="Times New Roman" w:eastAsia="Times New Roman" w:hAnsi="Times New Roman" w:cs="Times New Roman"/>
          <w:u w:val="single"/>
        </w:rPr>
      </w:pPr>
      <w:r w:rsidRPr="009E2922">
        <w:rPr>
          <w:rFonts w:ascii="Times New Roman"/>
          <w:i/>
          <w:u w:val="single"/>
        </w:rPr>
        <w:t>Infections</w:t>
      </w:r>
    </w:p>
    <w:p w14:paraId="362BAC79" w14:textId="455CAD5F" w:rsidR="00047E69" w:rsidRPr="009E2922" w:rsidRDefault="00C210A5" w:rsidP="00A82711">
      <w:pPr>
        <w:pStyle w:val="a5"/>
        <w:widowControl/>
        <w:adjustRightInd w:val="0"/>
        <w:snapToGrid w:val="0"/>
      </w:pPr>
      <w:r w:rsidRPr="009E2922">
        <w:t>From a clinical trial in patients with persistent, recurrent, or metastatic cervical cancer (study GOG</w:t>
      </w:r>
      <w:r w:rsidR="00FD0731" w:rsidRPr="009E2922">
        <w:noBreakHyphen/>
      </w:r>
      <w:r w:rsidRPr="009E2922">
        <w:t>0240), grade 3-5 infections have been reported in up to 24% of patients treated with bevacizumab in combination with paclitaxel and topotecan compared with up to 13% of patients treated with paclitaxel and topotecan.</w:t>
      </w:r>
    </w:p>
    <w:p w14:paraId="44847B18" w14:textId="77777777" w:rsidR="00047E69" w:rsidRPr="009E2922" w:rsidRDefault="00047E69" w:rsidP="00A82711">
      <w:pPr>
        <w:widowControl/>
        <w:adjustRightInd w:val="0"/>
        <w:snapToGrid w:val="0"/>
        <w:rPr>
          <w:rFonts w:ascii="Times New Roman" w:eastAsia="Times New Roman" w:hAnsi="Times New Roman" w:cs="Times New Roman"/>
          <w:sz w:val="21"/>
          <w:szCs w:val="21"/>
        </w:rPr>
      </w:pPr>
    </w:p>
    <w:p w14:paraId="29731918" w14:textId="77777777" w:rsidR="00047E69" w:rsidRPr="009E2922" w:rsidRDefault="00C210A5" w:rsidP="00A82711">
      <w:pPr>
        <w:widowControl/>
        <w:adjustRightInd w:val="0"/>
        <w:snapToGrid w:val="0"/>
        <w:rPr>
          <w:rFonts w:ascii="Times New Roman" w:eastAsia="Times New Roman" w:hAnsi="Times New Roman" w:cs="Times New Roman"/>
        </w:rPr>
      </w:pPr>
      <w:r w:rsidRPr="009E2922">
        <w:rPr>
          <w:rFonts w:ascii="Times New Roman"/>
          <w:i/>
          <w:u w:val="single"/>
        </w:rPr>
        <w:t>Ovarian failure/fertility</w:t>
      </w:r>
      <w:r w:rsidRPr="009E2922">
        <w:rPr>
          <w:rFonts w:ascii="Times New Roman"/>
          <w:i/>
        </w:rPr>
        <w:t xml:space="preserve"> </w:t>
      </w:r>
      <w:r w:rsidRPr="009E2922">
        <w:rPr>
          <w:rFonts w:ascii="Times New Roman"/>
        </w:rPr>
        <w:t>(see sections 4.4 and 4.6)</w:t>
      </w:r>
    </w:p>
    <w:p w14:paraId="3F966B3C" w14:textId="62FE2AC6" w:rsidR="00047E69" w:rsidRPr="009E2922" w:rsidRDefault="00C210A5" w:rsidP="00A82711">
      <w:pPr>
        <w:pStyle w:val="a5"/>
        <w:widowControl/>
        <w:adjustRightInd w:val="0"/>
        <w:snapToGrid w:val="0"/>
      </w:pPr>
      <w:r w:rsidRPr="009E2922">
        <w:t>In NSABP C</w:t>
      </w:r>
      <w:r w:rsidR="00FD0731" w:rsidRPr="009E2922">
        <w:noBreakHyphen/>
      </w:r>
      <w:r w:rsidRPr="009E2922">
        <w:t xml:space="preserve">08, a phase III trial of bevacizumab in adjuvant treatment of patients with colon cancer, the incidence of new cases of ovarian failure, defined as amenorrhoea lasting 3 or more months, FSH level </w:t>
      </w:r>
      <w:r w:rsidRPr="009E2922">
        <w:rPr>
          <w:rFonts w:cs="Times New Roman"/>
        </w:rPr>
        <w:t>≥ 30 mIU/mL and a negative serum β</w:t>
      </w:r>
      <w:r w:rsidR="00FD0731" w:rsidRPr="009E2922">
        <w:noBreakHyphen/>
      </w:r>
      <w:r w:rsidRPr="009E2922">
        <w:t>HCG pregnancy test, has been evaluated in 295 premenopausal women. New cases of ovarian failure were reported in 2.6% patients in the mFOLFOX</w:t>
      </w:r>
      <w:r w:rsidR="00FD0731" w:rsidRPr="009E2922">
        <w:noBreakHyphen/>
      </w:r>
      <w:r w:rsidRPr="009E2922">
        <w:t>6 group compared to 39% in the mFOLFOX</w:t>
      </w:r>
      <w:r w:rsidR="00FD0731" w:rsidRPr="009E2922">
        <w:noBreakHyphen/>
      </w:r>
      <w:r w:rsidRPr="009E2922">
        <w:t>6 + bevacizumab group. After discontinuation of bevacizumab treatment, ovarian function recovered in 86.2% of these evaluable women. Long term effects of the treatment with bevacizumab on fertility are unknown.</w:t>
      </w:r>
    </w:p>
    <w:p w14:paraId="089CBB83" w14:textId="77777777" w:rsidR="00047E69" w:rsidRPr="009E2922" w:rsidRDefault="00047E69" w:rsidP="00A82711">
      <w:pPr>
        <w:widowControl/>
        <w:adjustRightInd w:val="0"/>
        <w:snapToGrid w:val="0"/>
        <w:rPr>
          <w:rFonts w:ascii="Times New Roman" w:eastAsia="Times New Roman" w:hAnsi="Times New Roman" w:cs="Times New Roman"/>
        </w:rPr>
      </w:pPr>
    </w:p>
    <w:p w14:paraId="7FD2347A" w14:textId="77777777" w:rsidR="00047E69" w:rsidRPr="009E2922" w:rsidRDefault="00C210A5" w:rsidP="00A82711">
      <w:pPr>
        <w:widowControl/>
        <w:adjustRightInd w:val="0"/>
        <w:snapToGrid w:val="0"/>
        <w:rPr>
          <w:rFonts w:ascii="Times New Roman" w:eastAsia="Times New Roman" w:hAnsi="Times New Roman" w:cs="Times New Roman"/>
          <w:u w:val="single"/>
        </w:rPr>
      </w:pPr>
      <w:r w:rsidRPr="009E2922">
        <w:rPr>
          <w:rFonts w:ascii="Times New Roman"/>
          <w:i/>
          <w:u w:val="single"/>
        </w:rPr>
        <w:t>Laboratory abnormalities</w:t>
      </w:r>
    </w:p>
    <w:p w14:paraId="3E342CBF" w14:textId="719F4601" w:rsidR="00047E69" w:rsidRPr="009E2922" w:rsidRDefault="00C210A5" w:rsidP="00A82711">
      <w:pPr>
        <w:pStyle w:val="a5"/>
        <w:widowControl/>
        <w:adjustRightInd w:val="0"/>
        <w:snapToGrid w:val="0"/>
      </w:pPr>
      <w:r w:rsidRPr="009E2922">
        <w:t xml:space="preserve">Decreased neutrophil count, decreased white blood cell count and presence of urine protein may be associated with </w:t>
      </w:r>
      <w:r w:rsidR="00A32819">
        <w:t>Vegzelma</w:t>
      </w:r>
      <w:r w:rsidRPr="009E2922">
        <w:t xml:space="preserve"> treatment.</w:t>
      </w:r>
    </w:p>
    <w:p w14:paraId="72A5821C" w14:textId="77777777" w:rsidR="00047E69" w:rsidRPr="009E2922" w:rsidRDefault="00047E69" w:rsidP="00A82711">
      <w:pPr>
        <w:widowControl/>
        <w:adjustRightInd w:val="0"/>
        <w:snapToGrid w:val="0"/>
        <w:rPr>
          <w:rFonts w:ascii="Times New Roman" w:eastAsia="Times New Roman" w:hAnsi="Times New Roman" w:cs="Times New Roman"/>
        </w:rPr>
      </w:pPr>
    </w:p>
    <w:p w14:paraId="527D6D7F" w14:textId="4BBBDA47" w:rsidR="00047E69" w:rsidRPr="009E2922" w:rsidRDefault="00C210A5" w:rsidP="00A82711">
      <w:pPr>
        <w:pStyle w:val="a5"/>
        <w:widowControl/>
        <w:adjustRightInd w:val="0"/>
        <w:snapToGrid w:val="0"/>
      </w:pPr>
      <w:r w:rsidRPr="009E2922">
        <w:t>Across clinical trials, the following Grade 3 and 4 (NCI</w:t>
      </w:r>
      <w:r w:rsidR="00FD0731" w:rsidRPr="009E2922">
        <w:noBreakHyphen/>
      </w:r>
      <w:r w:rsidRPr="009E2922">
        <w:t>CTCAE v.3) laboratory abnormalities occurred in patients treated with bevacizumab with at least a 2% difference compared to the corresponding control groups: hyperglycaemia, decreased haemoglobin, hypokalaemia, hyponatraemia, decreased white blood cell count, increased international normalised ratio (INR).</w:t>
      </w:r>
    </w:p>
    <w:p w14:paraId="30DE8EC2" w14:textId="77777777" w:rsidR="00047E69" w:rsidRPr="009E2922" w:rsidRDefault="00047E69" w:rsidP="00A82711">
      <w:pPr>
        <w:widowControl/>
        <w:adjustRightInd w:val="0"/>
        <w:snapToGrid w:val="0"/>
        <w:rPr>
          <w:rFonts w:ascii="Times New Roman" w:eastAsia="Times New Roman" w:hAnsi="Times New Roman" w:cs="Times New Roman"/>
          <w:sz w:val="21"/>
          <w:szCs w:val="21"/>
        </w:rPr>
      </w:pPr>
    </w:p>
    <w:p w14:paraId="65177859" w14:textId="77777777" w:rsidR="00047E69" w:rsidRPr="009E2922" w:rsidRDefault="00C210A5" w:rsidP="00A82711">
      <w:pPr>
        <w:pStyle w:val="a5"/>
        <w:widowControl/>
        <w:adjustRightInd w:val="0"/>
        <w:snapToGrid w:val="0"/>
      </w:pPr>
      <w:r w:rsidRPr="009E2922">
        <w:t>Clinical trials have shown that transient increases in serum creatinine (ranging between 1.5-1.9 times baseline level), both with and without proteinuria, are associated with the use of bevacizumab. The observed increase in serum creatinine was not associated with a higher incidence of clinical manifestations of renal impairment in patients treated with bevacizumab.</w:t>
      </w:r>
    </w:p>
    <w:p w14:paraId="5070E04C" w14:textId="77777777" w:rsidR="00047E69" w:rsidRPr="009E2922" w:rsidRDefault="00047E69" w:rsidP="00A82711">
      <w:pPr>
        <w:widowControl/>
        <w:adjustRightInd w:val="0"/>
        <w:snapToGrid w:val="0"/>
        <w:rPr>
          <w:rFonts w:ascii="Times New Roman" w:eastAsia="Times New Roman" w:hAnsi="Times New Roman" w:cs="Times New Roman"/>
        </w:rPr>
      </w:pPr>
    </w:p>
    <w:p w14:paraId="1559A804" w14:textId="77777777" w:rsidR="00047E69" w:rsidRPr="009E2922" w:rsidRDefault="00C210A5" w:rsidP="00A82711">
      <w:pPr>
        <w:pStyle w:val="a5"/>
        <w:widowControl/>
        <w:adjustRightInd w:val="0"/>
        <w:snapToGrid w:val="0"/>
      </w:pPr>
      <w:r w:rsidRPr="009E2922">
        <w:rPr>
          <w:u w:val="single" w:color="000000"/>
        </w:rPr>
        <w:t>Other special populations</w:t>
      </w:r>
    </w:p>
    <w:p w14:paraId="2B8F6437" w14:textId="77777777" w:rsidR="00047E69" w:rsidRPr="009E2922" w:rsidRDefault="00047E69" w:rsidP="00A82711">
      <w:pPr>
        <w:widowControl/>
        <w:adjustRightInd w:val="0"/>
        <w:snapToGrid w:val="0"/>
        <w:rPr>
          <w:rFonts w:ascii="Times New Roman" w:eastAsia="Times New Roman" w:hAnsi="Times New Roman" w:cs="Times New Roman"/>
          <w:sz w:val="15"/>
          <w:szCs w:val="15"/>
        </w:rPr>
      </w:pPr>
    </w:p>
    <w:p w14:paraId="370465C0" w14:textId="77777777" w:rsidR="00047E69" w:rsidRPr="009E2922" w:rsidRDefault="00C210A5" w:rsidP="00A82711">
      <w:pPr>
        <w:widowControl/>
        <w:adjustRightInd w:val="0"/>
        <w:snapToGrid w:val="0"/>
        <w:rPr>
          <w:rFonts w:ascii="Times New Roman" w:eastAsia="Times New Roman" w:hAnsi="Times New Roman" w:cs="Times New Roman"/>
          <w:u w:val="single"/>
        </w:rPr>
      </w:pPr>
      <w:r w:rsidRPr="009E2922">
        <w:rPr>
          <w:rFonts w:ascii="Times New Roman"/>
          <w:i/>
          <w:u w:val="single"/>
        </w:rPr>
        <w:t>Elderly patients</w:t>
      </w:r>
    </w:p>
    <w:p w14:paraId="08700648" w14:textId="504AC1EC" w:rsidR="00047E69" w:rsidRPr="009E2922" w:rsidRDefault="00C210A5" w:rsidP="00A82711">
      <w:pPr>
        <w:pStyle w:val="a5"/>
        <w:widowControl/>
        <w:adjustRightInd w:val="0"/>
        <w:snapToGrid w:val="0"/>
      </w:pPr>
      <w:r w:rsidRPr="009E2922">
        <w:lastRenderedPageBreak/>
        <w:t>In randomised clinical trials, age &gt; 65 years was associated with an increased risk of developing arterial thromboembolic reactions, including cerebrovascular accidents, transient ischaemic attacks and myocardial infarctions. Other reactions with a higher frequency seen in patients over 65 were Grade 3-4 leucopenia and thrombocytopenia (NCI</w:t>
      </w:r>
      <w:r w:rsidR="00FD0731" w:rsidRPr="009E2922">
        <w:noBreakHyphen/>
      </w:r>
      <w:r w:rsidRPr="009E2922">
        <w:t>CTCAE v.3); and all Grade neutropenia, diarrhoea, n</w:t>
      </w:r>
      <w:r w:rsidRPr="009E2922">
        <w:rPr>
          <w:rFonts w:cs="Times New Roman"/>
        </w:rPr>
        <w:t xml:space="preserve">ausea, headache and fatigue as compared to those aged ≤ </w:t>
      </w:r>
      <w:r w:rsidRPr="009E2922">
        <w:t xml:space="preserve">65 years when treated with bevacizumab (see sections 4.4 and 4.8 under </w:t>
      </w:r>
      <w:r w:rsidRPr="009E2922">
        <w:rPr>
          <w:rFonts w:cs="Times New Roman"/>
          <w:i/>
        </w:rPr>
        <w:t>Thromboembolism</w:t>
      </w:r>
      <w:r w:rsidRPr="009E2922">
        <w:t>). In one clinical trial, the inciden</w:t>
      </w:r>
      <w:r w:rsidRPr="009E2922">
        <w:rPr>
          <w:rFonts w:cs="Times New Roman"/>
        </w:rPr>
        <w:t>ce of hypertension of grade ≥ 3 was two</w:t>
      </w:r>
      <w:r w:rsidR="00F60EFA">
        <w:rPr>
          <w:rFonts w:eastAsiaTheme="minorEastAsia" w:cs="Times New Roman" w:hint="eastAsia"/>
          <w:lang w:eastAsia="ko-KR"/>
        </w:rPr>
        <w:t>-</w:t>
      </w:r>
      <w:r w:rsidRPr="009E2922">
        <w:t>fold higher in patients aged &gt; 65 years than in the younger age group (&lt;65 years). In a study of platinum</w:t>
      </w:r>
      <w:r w:rsidR="00FD0731" w:rsidRPr="009E2922">
        <w:noBreakHyphen/>
      </w:r>
      <w:r w:rsidRPr="009E2922">
        <w:t>resistant recurrent ovarian cancer patients, alopecia, mucosal inflammation, peripheral sensory neuropathy, proteinuria and hypertension were</w:t>
      </w:r>
      <w:r w:rsidR="00A135EE" w:rsidRPr="009E2922">
        <w:t xml:space="preserve"> </w:t>
      </w:r>
      <w:r w:rsidRPr="009E2922">
        <w:t xml:space="preserve">also reported and occurred at a rate at least 5% higher in the CT </w:t>
      </w:r>
      <w:r w:rsidRPr="009E2922">
        <w:rPr>
          <w:rFonts w:ascii="Symbol" w:eastAsia="Symbol" w:hAnsi="Symbol" w:cs="Symbol"/>
        </w:rPr>
        <w:sym w:font="Symbol" w:char="F02B"/>
      </w:r>
      <w:r w:rsidRPr="009E2922">
        <w:rPr>
          <w:rFonts w:ascii="Symbol" w:eastAsia="Symbol" w:hAnsi="Symbol" w:cs="Symbol"/>
        </w:rPr>
        <w:sym w:font="Symbol" w:char="F020"/>
      </w:r>
      <w:r w:rsidRPr="009E2922">
        <w:t>BV arm for bevacizumab</w:t>
      </w:r>
      <w:r w:rsidR="00FD0731" w:rsidRPr="009E2922">
        <w:noBreakHyphen/>
      </w:r>
      <w:r w:rsidRPr="009E2922">
        <w:t xml:space="preserve">treated patients </w:t>
      </w:r>
      <w:r w:rsidRPr="009E2922">
        <w:sym w:font="Symbol" w:char="F0B3"/>
      </w:r>
      <w:r w:rsidRPr="009E2922">
        <w:rPr>
          <w:rFonts w:ascii="Symbol" w:eastAsia="Symbol" w:hAnsi="Symbol" w:cs="Symbol"/>
        </w:rPr>
        <w:sym w:font="Symbol" w:char="F020"/>
      </w:r>
      <w:r w:rsidRPr="009E2922">
        <w:t>65 years of age compared with bevacizumab</w:t>
      </w:r>
      <w:r w:rsidR="00FD0731" w:rsidRPr="009E2922">
        <w:noBreakHyphen/>
      </w:r>
      <w:r w:rsidRPr="009E2922">
        <w:t>treated patients aged &lt; 65 years.</w:t>
      </w:r>
    </w:p>
    <w:p w14:paraId="535F70F2" w14:textId="77777777" w:rsidR="00A135EE" w:rsidRPr="009E2922" w:rsidRDefault="00A135EE" w:rsidP="00A82711">
      <w:pPr>
        <w:pStyle w:val="a5"/>
        <w:widowControl/>
        <w:adjustRightInd w:val="0"/>
        <w:snapToGrid w:val="0"/>
      </w:pPr>
    </w:p>
    <w:p w14:paraId="4CADAE54" w14:textId="0693FBF2" w:rsidR="00047E69" w:rsidRPr="009E2922" w:rsidRDefault="00C210A5" w:rsidP="00A82711">
      <w:pPr>
        <w:pStyle w:val="a5"/>
        <w:widowControl/>
        <w:adjustRightInd w:val="0"/>
        <w:snapToGrid w:val="0"/>
      </w:pPr>
      <w:r w:rsidRPr="009E2922">
        <w:t xml:space="preserve">No increase in the incidence of other reactions, including gastrointestinal perforation, wound healing complications, </w:t>
      </w:r>
      <w:r w:rsidR="007725FD" w:rsidRPr="009E2922">
        <w:t>CHF</w:t>
      </w:r>
      <w:r w:rsidRPr="009E2922">
        <w:t xml:space="preserve">, and haemorrhage was observed in elderly patients (&gt; 65 years) </w:t>
      </w:r>
      <w:r w:rsidRPr="009E2922">
        <w:rPr>
          <w:rFonts w:cs="Times New Roman"/>
        </w:rPr>
        <w:t xml:space="preserve">receiving bevacizumab as compared to those aged ≤ </w:t>
      </w:r>
      <w:r w:rsidRPr="009E2922">
        <w:t>65 years treated with bevacizumab.</w:t>
      </w:r>
    </w:p>
    <w:p w14:paraId="3E05B2DE" w14:textId="77777777" w:rsidR="00047E69" w:rsidRPr="009E2922" w:rsidRDefault="00047E69" w:rsidP="00A82711">
      <w:pPr>
        <w:widowControl/>
        <w:adjustRightInd w:val="0"/>
        <w:snapToGrid w:val="0"/>
        <w:rPr>
          <w:rFonts w:ascii="Times New Roman" w:eastAsia="Times New Roman" w:hAnsi="Times New Roman" w:cs="Times New Roman"/>
          <w:sz w:val="21"/>
          <w:szCs w:val="21"/>
        </w:rPr>
      </w:pPr>
    </w:p>
    <w:p w14:paraId="7BABCD21" w14:textId="77777777" w:rsidR="00047E69" w:rsidRPr="009E2922" w:rsidRDefault="00C210A5" w:rsidP="00A82711">
      <w:pPr>
        <w:widowControl/>
        <w:adjustRightInd w:val="0"/>
        <w:snapToGrid w:val="0"/>
        <w:rPr>
          <w:rFonts w:ascii="Times New Roman" w:eastAsia="Times New Roman" w:hAnsi="Times New Roman" w:cs="Times New Roman"/>
          <w:u w:val="single"/>
        </w:rPr>
      </w:pPr>
      <w:r w:rsidRPr="009E2922">
        <w:rPr>
          <w:rFonts w:ascii="Times New Roman"/>
          <w:i/>
          <w:u w:val="single"/>
        </w:rPr>
        <w:t>Paediatric population</w:t>
      </w:r>
    </w:p>
    <w:p w14:paraId="08E96D11" w14:textId="77777777" w:rsidR="00047E69" w:rsidRPr="009E2922" w:rsidRDefault="00C210A5" w:rsidP="00A82711">
      <w:pPr>
        <w:pStyle w:val="a5"/>
        <w:widowControl/>
        <w:adjustRightInd w:val="0"/>
        <w:snapToGrid w:val="0"/>
      </w:pPr>
      <w:r w:rsidRPr="009E2922">
        <w:t>The safety and efficacy of bevacizumab in children less than 18 years old have not been established.</w:t>
      </w:r>
    </w:p>
    <w:p w14:paraId="7E09E53C" w14:textId="77777777" w:rsidR="00047E69" w:rsidRPr="009E2922" w:rsidRDefault="00047E69" w:rsidP="00A82711">
      <w:pPr>
        <w:widowControl/>
        <w:adjustRightInd w:val="0"/>
        <w:snapToGrid w:val="0"/>
        <w:rPr>
          <w:rFonts w:ascii="Times New Roman" w:eastAsia="Times New Roman" w:hAnsi="Times New Roman" w:cs="Times New Roman"/>
          <w:sz w:val="21"/>
          <w:szCs w:val="21"/>
        </w:rPr>
      </w:pPr>
    </w:p>
    <w:p w14:paraId="5CAC3A9D" w14:textId="76352916" w:rsidR="00047E69" w:rsidRPr="009E2922" w:rsidRDefault="00C210A5" w:rsidP="00A82711">
      <w:pPr>
        <w:pStyle w:val="a5"/>
        <w:widowControl/>
        <w:adjustRightInd w:val="0"/>
        <w:snapToGrid w:val="0"/>
      </w:pPr>
      <w:r w:rsidRPr="009E2922">
        <w:t>In study BO25041 of bevacizumab added to postoperative radiation therapy (RT) with concomitant and adjuvant temozolomide in paediatric patients with newly diagnosed supratentorial, infratentorial, cerebellar, or peduncular high</w:t>
      </w:r>
      <w:r w:rsidR="00FD0731" w:rsidRPr="009E2922">
        <w:noBreakHyphen/>
      </w:r>
      <w:r w:rsidRPr="009E2922">
        <w:t>grade glioma, the safety profile was comparable with that observed in other tumour types in adults treated with bevacizumab.</w:t>
      </w:r>
    </w:p>
    <w:p w14:paraId="565170C6" w14:textId="77777777" w:rsidR="00047E69" w:rsidRPr="009E2922" w:rsidRDefault="00047E69" w:rsidP="00A82711">
      <w:pPr>
        <w:widowControl/>
        <w:adjustRightInd w:val="0"/>
        <w:snapToGrid w:val="0"/>
        <w:rPr>
          <w:rFonts w:ascii="Times New Roman" w:eastAsia="Times New Roman" w:hAnsi="Times New Roman" w:cs="Times New Roman"/>
        </w:rPr>
      </w:pPr>
    </w:p>
    <w:p w14:paraId="0D6050AC" w14:textId="7D6A699A" w:rsidR="00047E69" w:rsidRPr="009E2922" w:rsidRDefault="00C210A5" w:rsidP="00A82711">
      <w:pPr>
        <w:pStyle w:val="a5"/>
        <w:widowControl/>
        <w:adjustRightInd w:val="0"/>
        <w:snapToGrid w:val="0"/>
      </w:pPr>
      <w:r w:rsidRPr="009E2922">
        <w:t>In study BO20924 of bevacizumab with current standard of care in rhabdomyosarcoma and non</w:t>
      </w:r>
      <w:r w:rsidR="00FD0731" w:rsidRPr="009E2922">
        <w:noBreakHyphen/>
      </w:r>
      <w:r w:rsidRPr="009E2922">
        <w:t>rhabdomyosarcoma soft tissue sarcoma, the safety profile of bevacizumab treated children was comparable with that observed in adults treated with bevacizumab.</w:t>
      </w:r>
    </w:p>
    <w:p w14:paraId="430389CF" w14:textId="77777777" w:rsidR="00047E69" w:rsidRPr="009E2922" w:rsidRDefault="00047E69" w:rsidP="00A82711">
      <w:pPr>
        <w:widowControl/>
        <w:adjustRightInd w:val="0"/>
        <w:snapToGrid w:val="0"/>
        <w:rPr>
          <w:rFonts w:ascii="Times New Roman" w:eastAsia="Times New Roman" w:hAnsi="Times New Roman" w:cs="Times New Roman"/>
        </w:rPr>
      </w:pPr>
    </w:p>
    <w:p w14:paraId="79CAB44B" w14:textId="064D7D91" w:rsidR="00047E69" w:rsidRPr="009E2922" w:rsidRDefault="00A32819" w:rsidP="00A82711">
      <w:pPr>
        <w:pStyle w:val="a5"/>
        <w:widowControl/>
        <w:adjustRightInd w:val="0"/>
        <w:snapToGrid w:val="0"/>
      </w:pPr>
      <w:r>
        <w:t>Vegzelma</w:t>
      </w:r>
      <w:r w:rsidR="00C210A5" w:rsidRPr="009E2922">
        <w:t xml:space="preserve"> is not approved for use in patients under the age of 18 years. In published literature reports, cases of non</w:t>
      </w:r>
      <w:r w:rsidR="00FD0731" w:rsidRPr="009E2922">
        <w:noBreakHyphen/>
      </w:r>
      <w:r w:rsidR="00C210A5" w:rsidRPr="009E2922">
        <w:t>mandibular osteonecrosis have been observed in patients under the age of 18 years treated with bevacizumab.</w:t>
      </w:r>
    </w:p>
    <w:p w14:paraId="1D112DCE" w14:textId="77777777" w:rsidR="00A135EE" w:rsidRPr="009E2922" w:rsidRDefault="00A135EE" w:rsidP="00A82711">
      <w:pPr>
        <w:pStyle w:val="a5"/>
        <w:widowControl/>
        <w:adjustRightInd w:val="0"/>
        <w:snapToGrid w:val="0"/>
        <w:rPr>
          <w:u w:val="single" w:color="000000"/>
        </w:rPr>
      </w:pPr>
    </w:p>
    <w:p w14:paraId="20307D14" w14:textId="55EB5646" w:rsidR="00047E69" w:rsidRPr="009E2922" w:rsidRDefault="00C210A5" w:rsidP="00A82711">
      <w:pPr>
        <w:pStyle w:val="a5"/>
        <w:widowControl/>
        <w:adjustRightInd w:val="0"/>
        <w:snapToGrid w:val="0"/>
      </w:pPr>
      <w:r w:rsidRPr="009E2922">
        <w:rPr>
          <w:u w:val="single" w:color="000000"/>
        </w:rPr>
        <w:t>Post</w:t>
      </w:r>
      <w:r w:rsidR="00FD0731" w:rsidRPr="009E2922">
        <w:rPr>
          <w:u w:val="single" w:color="000000"/>
        </w:rPr>
        <w:noBreakHyphen/>
      </w:r>
      <w:r w:rsidRPr="009E2922">
        <w:rPr>
          <w:u w:val="single" w:color="000000"/>
        </w:rPr>
        <w:t>marketing experience</w:t>
      </w:r>
    </w:p>
    <w:p w14:paraId="11D93DCC" w14:textId="1B6780C4" w:rsidR="005A5348" w:rsidRDefault="005A5348" w:rsidP="00B17C3C">
      <w:pPr>
        <w:rPr>
          <w:rFonts w:ascii="Times New Roman" w:eastAsia="Times New Roman" w:hAnsi="Times New Roman"/>
          <w:b/>
          <w:bCs/>
          <w:spacing w:val="-2"/>
        </w:rPr>
      </w:pPr>
    </w:p>
    <w:p w14:paraId="19A419B3" w14:textId="46003AB6"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3</w:t>
      </w:r>
      <w:r w:rsidRPr="00536B4F">
        <w:rPr>
          <w:rFonts w:ascii="Times New Roman" w:hAnsi="Times New Roman" w:cs="Times New Roman"/>
          <w:b/>
          <w:bCs/>
        </w:rPr>
        <w:tab/>
        <w:t>Adverse reactions reported in post</w:t>
      </w:r>
      <w:r w:rsidR="00FD0731" w:rsidRPr="00536B4F">
        <w:rPr>
          <w:rFonts w:ascii="Times New Roman" w:hAnsi="Times New Roman" w:cs="Times New Roman"/>
          <w:b/>
          <w:bCs/>
        </w:rPr>
        <w:noBreakHyphen/>
      </w:r>
      <w:r w:rsidRPr="00536B4F">
        <w:rPr>
          <w:rFonts w:ascii="Times New Roman" w:hAnsi="Times New Roman" w:cs="Times New Roman"/>
          <w:b/>
          <w:bCs/>
        </w:rPr>
        <w:t>marketing setting</w:t>
      </w:r>
    </w:p>
    <w:p w14:paraId="09483AB1" w14:textId="77777777" w:rsidR="002F3873" w:rsidRPr="009E2922" w:rsidRDefault="002F3873" w:rsidP="005E4476">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2357"/>
        <w:gridCol w:w="6697"/>
      </w:tblGrid>
      <w:tr w:rsidR="00A27683" w:rsidRPr="009E2922" w14:paraId="2F30CC4F" w14:textId="77777777" w:rsidTr="0085552D">
        <w:trPr>
          <w:tblHeader/>
        </w:trPr>
        <w:tc>
          <w:tcPr>
            <w:tcW w:w="2280" w:type="dxa"/>
            <w:tcBorders>
              <w:top w:val="single" w:sz="8" w:space="0" w:color="000000"/>
              <w:left w:val="single" w:sz="8" w:space="0" w:color="000000"/>
              <w:bottom w:val="single" w:sz="8" w:space="0" w:color="000000"/>
              <w:right w:val="single" w:sz="8" w:space="0" w:color="000000"/>
            </w:tcBorders>
          </w:tcPr>
          <w:p w14:paraId="45A0F60D" w14:textId="77777777" w:rsidR="00047E69" w:rsidRPr="009E2922" w:rsidRDefault="00C210A5" w:rsidP="00B17C3C">
            <w:pPr>
              <w:pStyle w:val="TableParagraph"/>
              <w:adjustRightInd w:val="0"/>
              <w:jc w:val="center"/>
              <w:rPr>
                <w:rFonts w:ascii="Times New Roman" w:eastAsia="Times New Roman" w:hAnsi="Times New Roman" w:cs="Times New Roman"/>
                <w:b/>
                <w:bCs/>
              </w:rPr>
            </w:pPr>
            <w:r w:rsidRPr="009E2922">
              <w:rPr>
                <w:rFonts w:ascii="Times New Roman"/>
                <w:b/>
                <w:bCs/>
                <w:i/>
              </w:rPr>
              <w:t>System organ class (SOC)</w:t>
            </w:r>
          </w:p>
        </w:tc>
        <w:tc>
          <w:tcPr>
            <w:tcW w:w="6480" w:type="dxa"/>
            <w:tcBorders>
              <w:top w:val="single" w:sz="8" w:space="0" w:color="000000"/>
              <w:left w:val="single" w:sz="8" w:space="0" w:color="000000"/>
              <w:bottom w:val="single" w:sz="8" w:space="0" w:color="000000"/>
              <w:right w:val="single" w:sz="8" w:space="0" w:color="000000"/>
            </w:tcBorders>
          </w:tcPr>
          <w:p w14:paraId="4B0C3A99" w14:textId="77777777" w:rsidR="00047E69" w:rsidRPr="009E2922" w:rsidRDefault="00C210A5" w:rsidP="00B17C3C">
            <w:pPr>
              <w:pStyle w:val="TableParagraph"/>
              <w:adjustRightInd w:val="0"/>
              <w:snapToGrid w:val="0"/>
              <w:jc w:val="center"/>
              <w:rPr>
                <w:rFonts w:ascii="Times New Roman" w:eastAsia="Times New Roman" w:hAnsi="Times New Roman" w:cs="Times New Roman"/>
                <w:b/>
                <w:bCs/>
              </w:rPr>
            </w:pPr>
            <w:r w:rsidRPr="009E2922">
              <w:rPr>
                <w:rFonts w:ascii="Times New Roman"/>
                <w:b/>
                <w:bCs/>
                <w:i/>
              </w:rPr>
              <w:t>Reactions (frequency*)</w:t>
            </w:r>
          </w:p>
        </w:tc>
      </w:tr>
      <w:tr w:rsidR="00A27683" w:rsidRPr="009E2922" w14:paraId="6ED7075F"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7E1ACC89" w14:textId="01F1B22B"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 xml:space="preserve">Infections and </w:t>
            </w:r>
            <w:r w:rsidR="00AF607F" w:rsidRPr="009E2922">
              <w:rPr>
                <w:rFonts w:ascii="Times New Roman"/>
                <w:i/>
              </w:rPr>
              <w:t>i</w:t>
            </w:r>
            <w:r w:rsidRPr="009E2922">
              <w:rPr>
                <w:rFonts w:ascii="Times New Roman"/>
                <w:i/>
              </w:rPr>
              <w:t>nfestations</w:t>
            </w:r>
          </w:p>
        </w:tc>
        <w:tc>
          <w:tcPr>
            <w:tcW w:w="6480" w:type="dxa"/>
            <w:tcBorders>
              <w:top w:val="single" w:sz="8" w:space="0" w:color="000000"/>
              <w:left w:val="single" w:sz="8" w:space="0" w:color="000000"/>
              <w:bottom w:val="single" w:sz="8" w:space="0" w:color="000000"/>
              <w:right w:val="single" w:sz="8" w:space="0" w:color="000000"/>
            </w:tcBorders>
          </w:tcPr>
          <w:p w14:paraId="65259BCD" w14:textId="77777777"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Necrotising fasciitis, usually secondary to wound healing complications, gastrointestinal perforation or fistula formation (rare) (see also section 4.4)</w:t>
            </w:r>
          </w:p>
        </w:tc>
      </w:tr>
      <w:tr w:rsidR="00A27683" w:rsidRPr="009E2922" w14:paraId="6821A464"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4A42CA09"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Immune system disorders</w:t>
            </w:r>
          </w:p>
        </w:tc>
        <w:tc>
          <w:tcPr>
            <w:tcW w:w="6480" w:type="dxa"/>
            <w:tcBorders>
              <w:top w:val="single" w:sz="8" w:space="0" w:color="000000"/>
              <w:left w:val="single" w:sz="8" w:space="0" w:color="000000"/>
              <w:bottom w:val="single" w:sz="8" w:space="0" w:color="000000"/>
              <w:right w:val="single" w:sz="8" w:space="0" w:color="000000"/>
            </w:tcBorders>
          </w:tcPr>
          <w:p w14:paraId="154955FE" w14:textId="47EF8521" w:rsidR="00047E69" w:rsidRPr="009E2922" w:rsidRDefault="00C210A5" w:rsidP="00B17C3C">
            <w:pPr>
              <w:pStyle w:val="TableParagraph"/>
              <w:adjustRightInd w:val="0"/>
              <w:snapToGrid w:val="0"/>
              <w:rPr>
                <w:rFonts w:ascii="Times New Roman"/>
              </w:rPr>
            </w:pPr>
            <w:r w:rsidRPr="009E2922">
              <w:rPr>
                <w:rFonts w:ascii="Times New Roman"/>
              </w:rPr>
              <w:t>Hypersensitivity reactions and infusion reactions (</w:t>
            </w:r>
            <w:r w:rsidR="00205EF7" w:rsidRPr="009E2922">
              <w:rPr>
                <w:rFonts w:ascii="Times New Roman"/>
              </w:rPr>
              <w:t>common</w:t>
            </w:r>
            <w:r w:rsidRPr="009E2922">
              <w:rPr>
                <w:rFonts w:ascii="Times New Roman"/>
              </w:rPr>
              <w:t>); with the following possible co</w:t>
            </w:r>
            <w:r w:rsidR="00FD0731" w:rsidRPr="009E2922">
              <w:rPr>
                <w:rFonts w:ascii="Times New Roman"/>
              </w:rPr>
              <w:noBreakHyphen/>
            </w:r>
            <w:r w:rsidRPr="009E2922">
              <w:rPr>
                <w:rFonts w:ascii="Times New Roman"/>
              </w:rPr>
              <w:t>manifestations: dyspnoea/difficulty breathing, flushing/redness/rash, hypotension or hypertension, oxygen desaturation, chest pain, rigors and nausea/vomiting (see also section</w:t>
            </w:r>
            <w:r w:rsidR="00EA20A9" w:rsidRPr="009E2922">
              <w:rPr>
                <w:rFonts w:ascii="Times New Roman"/>
              </w:rPr>
              <w:t xml:space="preserve"> </w:t>
            </w:r>
            <w:r w:rsidRPr="009E2922">
              <w:rPr>
                <w:rFonts w:ascii="Times New Roman"/>
              </w:rPr>
              <w:t xml:space="preserve">4.4 and </w:t>
            </w:r>
            <w:r w:rsidRPr="009E2922">
              <w:rPr>
                <w:rFonts w:ascii="Times New Roman"/>
                <w:i/>
                <w:u w:val="single"/>
              </w:rPr>
              <w:t>Hypersensitivity reactions</w:t>
            </w:r>
            <w:r w:rsidR="00B60875">
              <w:rPr>
                <w:rFonts w:ascii="Times New Roman" w:hint="eastAsia"/>
                <w:i/>
                <w:u w:val="single"/>
                <w:lang w:eastAsia="ko-KR"/>
              </w:rPr>
              <w:t xml:space="preserve"> (including anaphylactic shock)</w:t>
            </w:r>
            <w:r w:rsidRPr="009E2922">
              <w:rPr>
                <w:rFonts w:ascii="Times New Roman"/>
                <w:i/>
                <w:u w:val="single"/>
              </w:rPr>
              <w:t>/infusion reactions</w:t>
            </w:r>
            <w:r w:rsidRPr="009E2922">
              <w:rPr>
                <w:rFonts w:ascii="Times New Roman"/>
                <w:i/>
              </w:rPr>
              <w:t xml:space="preserve"> </w:t>
            </w:r>
            <w:r w:rsidRPr="009E2922">
              <w:rPr>
                <w:rFonts w:ascii="Times New Roman"/>
              </w:rPr>
              <w:t>above)</w:t>
            </w:r>
          </w:p>
          <w:p w14:paraId="4B14E918" w14:textId="77777777" w:rsidR="00A65414" w:rsidRPr="009E2922" w:rsidRDefault="00A65414" w:rsidP="00B17C3C">
            <w:pPr>
              <w:pStyle w:val="TableParagraph"/>
              <w:adjustRightInd w:val="0"/>
              <w:snapToGrid w:val="0"/>
              <w:rPr>
                <w:rFonts w:ascii="Times New Roman"/>
              </w:rPr>
            </w:pPr>
          </w:p>
          <w:p w14:paraId="60CB08E8" w14:textId="456F3E03" w:rsidR="00A65414" w:rsidRPr="009E2922" w:rsidRDefault="00A65414" w:rsidP="00B17C3C">
            <w:pPr>
              <w:pStyle w:val="TableParagraph"/>
              <w:adjustRightInd w:val="0"/>
              <w:snapToGrid w:val="0"/>
              <w:rPr>
                <w:rFonts w:ascii="Times New Roman" w:eastAsia="Times New Roman" w:hAnsi="Times New Roman" w:cs="Times New Roman"/>
                <w:lang w:eastAsia="ko-KR"/>
              </w:rPr>
            </w:pPr>
            <w:r w:rsidRPr="009E2922">
              <w:rPr>
                <w:rFonts w:ascii="Times New Roman" w:hint="eastAsia"/>
                <w:lang w:eastAsia="ko-KR"/>
              </w:rPr>
              <w:t>A</w:t>
            </w:r>
            <w:r w:rsidRPr="009E2922">
              <w:rPr>
                <w:rFonts w:ascii="Times New Roman"/>
                <w:lang w:eastAsia="ko-KR"/>
              </w:rPr>
              <w:t>naphylactic shock (rare) (see also section 4.4)</w:t>
            </w:r>
          </w:p>
        </w:tc>
      </w:tr>
      <w:tr w:rsidR="00A27683" w:rsidRPr="009E2922" w14:paraId="1A9DE3CD"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6DAC70AF"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Nervous system disorders</w:t>
            </w:r>
          </w:p>
        </w:tc>
        <w:tc>
          <w:tcPr>
            <w:tcW w:w="6480" w:type="dxa"/>
            <w:tcBorders>
              <w:top w:val="single" w:sz="8" w:space="0" w:color="000000"/>
              <w:left w:val="single" w:sz="8" w:space="0" w:color="000000"/>
              <w:bottom w:val="single" w:sz="8" w:space="0" w:color="000000"/>
              <w:right w:val="single" w:sz="8" w:space="0" w:color="000000"/>
            </w:tcBorders>
          </w:tcPr>
          <w:p w14:paraId="0B6BDA0C" w14:textId="77777777"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Hypertensive encephalopathy (very rare) (see also section 4.4 and</w:t>
            </w:r>
          </w:p>
          <w:p w14:paraId="4398A433" w14:textId="77777777"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i/>
                <w:u w:val="single"/>
              </w:rPr>
              <w:t>Hypertension</w:t>
            </w:r>
            <w:r w:rsidRPr="009E2922">
              <w:rPr>
                <w:rFonts w:ascii="Times New Roman"/>
                <w:i/>
              </w:rPr>
              <w:t xml:space="preserve"> </w:t>
            </w:r>
            <w:r w:rsidRPr="009E2922">
              <w:rPr>
                <w:rFonts w:ascii="Times New Roman"/>
              </w:rPr>
              <w:t>in section 4.8)</w:t>
            </w:r>
          </w:p>
          <w:p w14:paraId="51E007F3" w14:textId="7E7569BD"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 xml:space="preserve">Posterior </w:t>
            </w:r>
            <w:r w:rsidR="00355E84" w:rsidRPr="009E2922">
              <w:rPr>
                <w:rFonts w:ascii="Times New Roman"/>
              </w:rPr>
              <w:t>r</w:t>
            </w:r>
            <w:r w:rsidRPr="009E2922">
              <w:rPr>
                <w:rFonts w:ascii="Times New Roman"/>
              </w:rPr>
              <w:t xml:space="preserve">eversible </w:t>
            </w:r>
            <w:r w:rsidR="00355E84" w:rsidRPr="009E2922">
              <w:rPr>
                <w:rFonts w:ascii="Times New Roman"/>
              </w:rPr>
              <w:t>e</w:t>
            </w:r>
            <w:r w:rsidRPr="009E2922">
              <w:rPr>
                <w:rFonts w:ascii="Times New Roman"/>
              </w:rPr>
              <w:t xml:space="preserve">ncephalopathy </w:t>
            </w:r>
            <w:r w:rsidR="00355E84" w:rsidRPr="009E2922">
              <w:rPr>
                <w:rFonts w:ascii="Times New Roman"/>
              </w:rPr>
              <w:t>s</w:t>
            </w:r>
            <w:r w:rsidRPr="009E2922">
              <w:rPr>
                <w:rFonts w:ascii="Times New Roman"/>
              </w:rPr>
              <w:t>yndrome (PRES), (rare) (see also section 4.4)</w:t>
            </w:r>
          </w:p>
        </w:tc>
      </w:tr>
      <w:tr w:rsidR="00A27683" w:rsidRPr="009E2922" w14:paraId="51122F26"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3638DFE1"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Vascular disorders</w:t>
            </w:r>
          </w:p>
        </w:tc>
        <w:tc>
          <w:tcPr>
            <w:tcW w:w="6480" w:type="dxa"/>
            <w:tcBorders>
              <w:top w:val="single" w:sz="8" w:space="0" w:color="000000"/>
              <w:left w:val="single" w:sz="8" w:space="0" w:color="000000"/>
              <w:bottom w:val="single" w:sz="8" w:space="0" w:color="000000"/>
              <w:right w:val="single" w:sz="8" w:space="0" w:color="000000"/>
            </w:tcBorders>
          </w:tcPr>
          <w:p w14:paraId="3EF17B40" w14:textId="77777777"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 xml:space="preserve">Renal thrombotic microangiopathy, which may be clinically manifested as proteinuria (not known) with or without concomitant sunitinib use. For further information on proteinuria see section 4.4 and </w:t>
            </w:r>
            <w:r w:rsidRPr="009E2922">
              <w:rPr>
                <w:rFonts w:ascii="Times New Roman"/>
                <w:i/>
                <w:u w:val="single"/>
              </w:rPr>
              <w:t>Proteinuria</w:t>
            </w:r>
            <w:r w:rsidRPr="009E2922">
              <w:rPr>
                <w:rFonts w:ascii="Times New Roman"/>
                <w:i/>
              </w:rPr>
              <w:t xml:space="preserve"> </w:t>
            </w:r>
            <w:r w:rsidRPr="009E2922">
              <w:rPr>
                <w:rFonts w:ascii="Times New Roman"/>
              </w:rPr>
              <w:t>in section 4.8.</w:t>
            </w:r>
          </w:p>
        </w:tc>
      </w:tr>
      <w:tr w:rsidR="00A27683" w:rsidRPr="009E2922" w14:paraId="3279CCCE"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41A7AA08"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lastRenderedPageBreak/>
              <w:t>Respiratory, thoracic and mediastinal disorders</w:t>
            </w:r>
          </w:p>
        </w:tc>
        <w:tc>
          <w:tcPr>
            <w:tcW w:w="6480" w:type="dxa"/>
            <w:tcBorders>
              <w:top w:val="single" w:sz="8" w:space="0" w:color="000000"/>
              <w:left w:val="single" w:sz="8" w:space="0" w:color="000000"/>
              <w:bottom w:val="single" w:sz="8" w:space="0" w:color="000000"/>
              <w:right w:val="single" w:sz="8" w:space="0" w:color="000000"/>
            </w:tcBorders>
          </w:tcPr>
          <w:p w14:paraId="5832DDF4" w14:textId="6B05AB8C"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Nasal septum perforation (not known)</w:t>
            </w:r>
            <w:r w:rsidR="00355E84" w:rsidRPr="009E2922">
              <w:rPr>
                <w:rFonts w:ascii="Times New Roman"/>
              </w:rPr>
              <w:t>,</w:t>
            </w:r>
            <w:r w:rsidRPr="009E2922">
              <w:rPr>
                <w:rFonts w:ascii="Times New Roman"/>
              </w:rPr>
              <w:t xml:space="preserve"> </w:t>
            </w:r>
            <w:r w:rsidR="00355E84" w:rsidRPr="009E2922">
              <w:rPr>
                <w:rFonts w:ascii="Times New Roman"/>
              </w:rPr>
              <w:t>p</w:t>
            </w:r>
            <w:r w:rsidRPr="009E2922">
              <w:rPr>
                <w:rFonts w:ascii="Times New Roman"/>
              </w:rPr>
              <w:t>ulmonary hypertension (not known)</w:t>
            </w:r>
            <w:r w:rsidR="00355E84" w:rsidRPr="009E2922">
              <w:rPr>
                <w:rFonts w:ascii="Times New Roman"/>
              </w:rPr>
              <w:t>,</w:t>
            </w:r>
            <w:r w:rsidRPr="009E2922">
              <w:rPr>
                <w:rFonts w:ascii="Times New Roman"/>
              </w:rPr>
              <w:t xml:space="preserve"> </w:t>
            </w:r>
            <w:r w:rsidR="00355E84" w:rsidRPr="009E2922">
              <w:rPr>
                <w:rFonts w:ascii="Times New Roman"/>
              </w:rPr>
              <w:t>d</w:t>
            </w:r>
            <w:r w:rsidRPr="009E2922">
              <w:rPr>
                <w:rFonts w:ascii="Times New Roman"/>
              </w:rPr>
              <w:t>ysphonia (common)</w:t>
            </w:r>
          </w:p>
        </w:tc>
      </w:tr>
      <w:tr w:rsidR="00A27683" w:rsidRPr="009E2922" w14:paraId="73E8B989"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05B2DBA6"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Gastrointestinal disorders</w:t>
            </w:r>
          </w:p>
        </w:tc>
        <w:tc>
          <w:tcPr>
            <w:tcW w:w="6480" w:type="dxa"/>
            <w:tcBorders>
              <w:top w:val="single" w:sz="8" w:space="0" w:color="000000"/>
              <w:left w:val="single" w:sz="8" w:space="0" w:color="000000"/>
              <w:bottom w:val="single" w:sz="8" w:space="0" w:color="000000"/>
              <w:right w:val="single" w:sz="8" w:space="0" w:color="000000"/>
            </w:tcBorders>
          </w:tcPr>
          <w:p w14:paraId="39A1167E" w14:textId="77777777"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Gastrointestinal ulcer (not known)</w:t>
            </w:r>
          </w:p>
        </w:tc>
      </w:tr>
      <w:tr w:rsidR="00A27683" w:rsidRPr="009E2922" w14:paraId="3FD91356"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4222ADD6"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Hepatobiliary disorders</w:t>
            </w:r>
          </w:p>
        </w:tc>
        <w:tc>
          <w:tcPr>
            <w:tcW w:w="6480" w:type="dxa"/>
            <w:tcBorders>
              <w:top w:val="single" w:sz="8" w:space="0" w:color="000000"/>
              <w:left w:val="single" w:sz="8" w:space="0" w:color="000000"/>
              <w:bottom w:val="single" w:sz="8" w:space="0" w:color="000000"/>
              <w:right w:val="single" w:sz="8" w:space="0" w:color="000000"/>
            </w:tcBorders>
          </w:tcPr>
          <w:p w14:paraId="4773C854" w14:textId="77777777"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Gall bladder perforation (not known)</w:t>
            </w:r>
          </w:p>
        </w:tc>
      </w:tr>
      <w:tr w:rsidR="005A5348" w:rsidRPr="009E2922" w14:paraId="2A79CFCB" w14:textId="77777777" w:rsidTr="004228B0">
        <w:tc>
          <w:tcPr>
            <w:tcW w:w="2280" w:type="dxa"/>
            <w:tcBorders>
              <w:top w:val="single" w:sz="8" w:space="0" w:color="000000"/>
              <w:left w:val="single" w:sz="8" w:space="0" w:color="000000"/>
              <w:bottom w:val="nil"/>
              <w:right w:val="single" w:sz="8" w:space="0" w:color="000000"/>
            </w:tcBorders>
          </w:tcPr>
          <w:p w14:paraId="05C79566"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Musculoskeletal and connective tissue disorders</w:t>
            </w:r>
          </w:p>
        </w:tc>
        <w:tc>
          <w:tcPr>
            <w:tcW w:w="6480" w:type="dxa"/>
            <w:tcBorders>
              <w:top w:val="single" w:sz="8" w:space="0" w:color="000000"/>
              <w:left w:val="single" w:sz="8" w:space="0" w:color="000000"/>
              <w:bottom w:val="single" w:sz="8" w:space="0" w:color="000000"/>
              <w:right w:val="single" w:sz="8" w:space="0" w:color="000000"/>
            </w:tcBorders>
          </w:tcPr>
          <w:p w14:paraId="54BB24A6" w14:textId="4B1143F1"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 xml:space="preserve">Cases of </w:t>
            </w:r>
            <w:r w:rsidR="00355E84" w:rsidRPr="009E2922">
              <w:rPr>
                <w:rFonts w:ascii="Times New Roman"/>
              </w:rPr>
              <w:t>o</w:t>
            </w:r>
            <w:r w:rsidRPr="009E2922">
              <w:rPr>
                <w:rFonts w:ascii="Times New Roman"/>
              </w:rPr>
              <w:t xml:space="preserve">steonecrosis of the </w:t>
            </w:r>
            <w:r w:rsidR="00355E84" w:rsidRPr="009E2922">
              <w:rPr>
                <w:rFonts w:ascii="Times New Roman"/>
              </w:rPr>
              <w:t>j</w:t>
            </w:r>
            <w:r w:rsidRPr="009E2922">
              <w:rPr>
                <w:rFonts w:ascii="Times New Roman"/>
              </w:rPr>
              <w:t>aw (ONJ) have been reported in patients treated with bevacizumab, most of which occurred in patients who had identified risk factors for ONJ, in particular exposure to intravenous bisphosphonates and/or a history of dental disease requiring invasive dental procedures (see also section 4.4)</w:t>
            </w:r>
          </w:p>
        </w:tc>
      </w:tr>
      <w:tr w:rsidR="005A5348" w:rsidRPr="009E2922" w14:paraId="40A90EC9" w14:textId="77777777" w:rsidTr="004228B0">
        <w:tc>
          <w:tcPr>
            <w:tcW w:w="2280" w:type="dxa"/>
            <w:tcBorders>
              <w:top w:val="nil"/>
              <w:left w:val="single" w:sz="8" w:space="0" w:color="000000"/>
              <w:bottom w:val="single" w:sz="8" w:space="0" w:color="000000"/>
              <w:right w:val="single" w:sz="8" w:space="0" w:color="000000"/>
            </w:tcBorders>
          </w:tcPr>
          <w:p w14:paraId="1E257045" w14:textId="77777777" w:rsidR="00047E69" w:rsidRPr="009E2922" w:rsidRDefault="00047E69" w:rsidP="00B17C3C">
            <w:pPr>
              <w:adjustRightInd w:val="0"/>
              <w:jc w:val="center"/>
            </w:pPr>
          </w:p>
        </w:tc>
        <w:tc>
          <w:tcPr>
            <w:tcW w:w="6480" w:type="dxa"/>
            <w:tcBorders>
              <w:top w:val="single" w:sz="8" w:space="0" w:color="000000"/>
              <w:left w:val="single" w:sz="8" w:space="0" w:color="000000"/>
              <w:bottom w:val="single" w:sz="8" w:space="0" w:color="000000"/>
              <w:right w:val="single" w:sz="8" w:space="0" w:color="000000"/>
            </w:tcBorders>
          </w:tcPr>
          <w:p w14:paraId="1D50D286" w14:textId="7068519C"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Cases of non</w:t>
            </w:r>
            <w:r w:rsidR="00FD0731" w:rsidRPr="009E2922">
              <w:rPr>
                <w:rFonts w:ascii="Times New Roman"/>
              </w:rPr>
              <w:noBreakHyphen/>
            </w:r>
            <w:r w:rsidRPr="009E2922">
              <w:rPr>
                <w:rFonts w:ascii="Times New Roman"/>
              </w:rPr>
              <w:t xml:space="preserve">mandibular osteonecrosis have been observed in bevacizumab treated paediatric patients (see section 4.8, </w:t>
            </w:r>
            <w:r w:rsidRPr="009E2922">
              <w:rPr>
                <w:rFonts w:ascii="Times New Roman"/>
                <w:i/>
                <w:iCs/>
                <w:u w:val="single"/>
              </w:rPr>
              <w:t>Paediatric population</w:t>
            </w:r>
            <w:r w:rsidRPr="009E2922">
              <w:rPr>
                <w:rFonts w:ascii="Times New Roman"/>
              </w:rPr>
              <w:t>).</w:t>
            </w:r>
          </w:p>
        </w:tc>
      </w:tr>
      <w:tr w:rsidR="00A27683" w:rsidRPr="009E2922" w14:paraId="7237BD41" w14:textId="77777777" w:rsidTr="004228B0">
        <w:tc>
          <w:tcPr>
            <w:tcW w:w="2280" w:type="dxa"/>
            <w:tcBorders>
              <w:top w:val="single" w:sz="8" w:space="0" w:color="000000"/>
              <w:left w:val="single" w:sz="8" w:space="0" w:color="000000"/>
              <w:bottom w:val="single" w:sz="8" w:space="0" w:color="000000"/>
              <w:right w:val="single" w:sz="8" w:space="0" w:color="000000"/>
            </w:tcBorders>
          </w:tcPr>
          <w:p w14:paraId="30A90006" w14:textId="77777777" w:rsidR="00047E69" w:rsidRPr="009E2922" w:rsidRDefault="00C210A5" w:rsidP="00B17C3C">
            <w:pPr>
              <w:pStyle w:val="TableParagraph"/>
              <w:adjustRightInd w:val="0"/>
              <w:jc w:val="center"/>
              <w:rPr>
                <w:rFonts w:ascii="Times New Roman" w:eastAsia="Times New Roman" w:hAnsi="Times New Roman" w:cs="Times New Roman"/>
              </w:rPr>
            </w:pPr>
            <w:r w:rsidRPr="009E2922">
              <w:rPr>
                <w:rFonts w:ascii="Times New Roman"/>
                <w:i/>
              </w:rPr>
              <w:t>Congenital, familial, and genetic disorder</w:t>
            </w:r>
          </w:p>
        </w:tc>
        <w:tc>
          <w:tcPr>
            <w:tcW w:w="6480" w:type="dxa"/>
            <w:tcBorders>
              <w:top w:val="single" w:sz="8" w:space="0" w:color="000000"/>
              <w:left w:val="single" w:sz="8" w:space="0" w:color="000000"/>
              <w:bottom w:val="single" w:sz="8" w:space="0" w:color="000000"/>
              <w:right w:val="single" w:sz="8" w:space="0" w:color="000000"/>
            </w:tcBorders>
          </w:tcPr>
          <w:p w14:paraId="5E72B933" w14:textId="6D0FBE70" w:rsidR="00047E69" w:rsidRPr="009E2922" w:rsidRDefault="00C210A5" w:rsidP="00B17C3C">
            <w:pPr>
              <w:pStyle w:val="TableParagraph"/>
              <w:adjustRightInd w:val="0"/>
              <w:snapToGrid w:val="0"/>
              <w:rPr>
                <w:rFonts w:ascii="Times New Roman" w:eastAsia="Times New Roman" w:hAnsi="Times New Roman" w:cs="Times New Roman"/>
              </w:rPr>
            </w:pPr>
            <w:r w:rsidRPr="009E2922">
              <w:rPr>
                <w:rFonts w:ascii="Times New Roman"/>
              </w:rPr>
              <w:t>Cases of foetal abnormalities in women treated with bevacizumab alone or in combination with known embryotoxic chemotherapeutics have been observed (see section 4.6)</w:t>
            </w:r>
          </w:p>
        </w:tc>
      </w:tr>
    </w:tbl>
    <w:p w14:paraId="6DD21DC0" w14:textId="38F3C106" w:rsidR="00A135EE" w:rsidRPr="009E2922" w:rsidRDefault="00C210A5" w:rsidP="00B17C3C">
      <w:pPr>
        <w:pStyle w:val="a5"/>
        <w:adjustRightInd w:val="0"/>
        <w:snapToGrid w:val="0"/>
        <w:rPr>
          <w:u w:val="single" w:color="000000"/>
        </w:rPr>
      </w:pPr>
      <w:r w:rsidRPr="009E2922">
        <w:rPr>
          <w:sz w:val="20"/>
        </w:rPr>
        <w:t xml:space="preserve">* </w:t>
      </w:r>
      <w:r w:rsidR="004918AD" w:rsidRPr="009E2922">
        <w:rPr>
          <w:sz w:val="20"/>
        </w:rPr>
        <w:t>I</w:t>
      </w:r>
      <w:r w:rsidRPr="009E2922">
        <w:rPr>
          <w:sz w:val="20"/>
        </w:rPr>
        <w:t>f specified, the frequency has been derived from clinical trial data</w:t>
      </w:r>
    </w:p>
    <w:p w14:paraId="41A3D363" w14:textId="77777777" w:rsidR="00A135EE" w:rsidRPr="009E2922" w:rsidRDefault="00A135EE" w:rsidP="00B17C3C">
      <w:pPr>
        <w:pStyle w:val="a5"/>
        <w:adjustRightInd w:val="0"/>
        <w:snapToGrid w:val="0"/>
        <w:rPr>
          <w:u w:val="single" w:color="000000"/>
        </w:rPr>
      </w:pPr>
    </w:p>
    <w:p w14:paraId="7B3470ED" w14:textId="6F66464C" w:rsidR="00047E69" w:rsidRPr="009E2922" w:rsidRDefault="00C210A5" w:rsidP="00B17C3C">
      <w:pPr>
        <w:pStyle w:val="a5"/>
        <w:adjustRightInd w:val="0"/>
        <w:snapToGrid w:val="0"/>
      </w:pPr>
      <w:r w:rsidRPr="009E2922">
        <w:rPr>
          <w:u w:val="single" w:color="000000"/>
        </w:rPr>
        <w:t>Reporting of suspected adverse reactions</w:t>
      </w:r>
    </w:p>
    <w:p w14:paraId="25DD2B16" w14:textId="049F60CD" w:rsidR="00047E69" w:rsidRPr="009E2922" w:rsidRDefault="00C210A5" w:rsidP="00B17C3C">
      <w:pPr>
        <w:pStyle w:val="a5"/>
        <w:adjustRightInd w:val="0"/>
        <w:snapToGrid w:val="0"/>
      </w:pPr>
      <w:r w:rsidRPr="009E2922">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E2922">
        <w:rPr>
          <w:highlight w:val="lightGray"/>
        </w:rPr>
        <w:t>the national reporting system</w:t>
      </w:r>
      <w:r w:rsidR="00E916D2" w:rsidRPr="009E2922">
        <w:rPr>
          <w:highlight w:val="lightGray"/>
        </w:rPr>
        <w:t xml:space="preserve"> listed in </w:t>
      </w:r>
      <w:hyperlink r:id="rId14" w:history="1">
        <w:r w:rsidR="00E916D2" w:rsidRPr="009E2922">
          <w:rPr>
            <w:rStyle w:val="a9"/>
            <w:rFonts w:cs="Arial"/>
            <w:highlight w:val="lightGray"/>
          </w:rPr>
          <w:t>Appendix V</w:t>
        </w:r>
      </w:hyperlink>
      <w:r w:rsidR="00E916D2" w:rsidRPr="009E2922">
        <w:t>.</w:t>
      </w:r>
    </w:p>
    <w:p w14:paraId="6ABD95C7" w14:textId="77777777" w:rsidR="00047E69" w:rsidRPr="009E2922" w:rsidRDefault="00047E69" w:rsidP="00B17C3C">
      <w:pPr>
        <w:adjustRightInd w:val="0"/>
        <w:snapToGrid w:val="0"/>
        <w:rPr>
          <w:rFonts w:ascii="Times New Roman" w:eastAsia="Times New Roman" w:hAnsi="Times New Roman" w:cs="Times New Roman"/>
          <w:sz w:val="15"/>
          <w:szCs w:val="15"/>
        </w:rPr>
      </w:pPr>
    </w:p>
    <w:p w14:paraId="0627E02B" w14:textId="77777777" w:rsidR="00047E69" w:rsidRPr="009E2922" w:rsidRDefault="00C210A5" w:rsidP="00B17C3C">
      <w:pPr>
        <w:pStyle w:val="1"/>
        <w:numPr>
          <w:ilvl w:val="1"/>
          <w:numId w:val="12"/>
        </w:numPr>
        <w:tabs>
          <w:tab w:val="left" w:pos="683"/>
        </w:tabs>
        <w:ind w:left="0" w:firstLine="0"/>
        <w:rPr>
          <w:b w:val="0"/>
          <w:bCs w:val="0"/>
        </w:rPr>
      </w:pPr>
      <w:r w:rsidRPr="009E2922">
        <w:t>Overdose</w:t>
      </w:r>
    </w:p>
    <w:p w14:paraId="42CF822D" w14:textId="77777777" w:rsidR="00047E69" w:rsidRPr="009E2922" w:rsidRDefault="00047E69" w:rsidP="00B17C3C">
      <w:pPr>
        <w:adjustRightInd w:val="0"/>
        <w:snapToGrid w:val="0"/>
        <w:rPr>
          <w:rFonts w:ascii="Times New Roman" w:eastAsia="Times New Roman" w:hAnsi="Times New Roman" w:cs="Times New Roman"/>
          <w:b/>
          <w:bCs/>
        </w:rPr>
      </w:pPr>
    </w:p>
    <w:p w14:paraId="2DC1C6CD" w14:textId="77777777" w:rsidR="00047E69" w:rsidRPr="009E2922" w:rsidRDefault="00C210A5" w:rsidP="00B17C3C">
      <w:pPr>
        <w:pStyle w:val="a5"/>
        <w:adjustRightInd w:val="0"/>
        <w:snapToGrid w:val="0"/>
      </w:pPr>
      <w:r w:rsidRPr="009E2922">
        <w:t>The highest dose tested in humans (20 mg/kg of body weight, intravenous every 2 weeks) was associated with severe migraine in several patients.</w:t>
      </w:r>
    </w:p>
    <w:p w14:paraId="7DF460C3" w14:textId="77777777" w:rsidR="00047E69" w:rsidRPr="009E2922" w:rsidRDefault="00047E69" w:rsidP="00B17C3C">
      <w:pPr>
        <w:adjustRightInd w:val="0"/>
        <w:snapToGrid w:val="0"/>
        <w:rPr>
          <w:rFonts w:ascii="Times New Roman" w:eastAsia="Times New Roman" w:hAnsi="Times New Roman" w:cs="Times New Roman"/>
        </w:rPr>
      </w:pPr>
    </w:p>
    <w:p w14:paraId="2331252F" w14:textId="77777777" w:rsidR="00047E69" w:rsidRPr="009E2922" w:rsidRDefault="00047E69" w:rsidP="00B17C3C">
      <w:pPr>
        <w:adjustRightInd w:val="0"/>
        <w:snapToGrid w:val="0"/>
        <w:rPr>
          <w:rFonts w:ascii="Times New Roman" w:eastAsia="Times New Roman" w:hAnsi="Times New Roman" w:cs="Times New Roman"/>
        </w:rPr>
      </w:pPr>
    </w:p>
    <w:p w14:paraId="2F6C37CB" w14:textId="77777777" w:rsidR="00047E69" w:rsidRPr="009E2922" w:rsidRDefault="00C210A5" w:rsidP="00B17C3C">
      <w:pPr>
        <w:pStyle w:val="1"/>
        <w:numPr>
          <w:ilvl w:val="0"/>
          <w:numId w:val="12"/>
        </w:numPr>
        <w:tabs>
          <w:tab w:val="left" w:pos="683"/>
        </w:tabs>
        <w:ind w:left="0" w:firstLine="0"/>
        <w:rPr>
          <w:b w:val="0"/>
          <w:bCs w:val="0"/>
        </w:rPr>
      </w:pPr>
      <w:r w:rsidRPr="009E2922">
        <w:t>PHARMACOLOGICAL PROPERTIES</w:t>
      </w:r>
    </w:p>
    <w:p w14:paraId="65A537AB" w14:textId="77777777" w:rsidR="00047E69" w:rsidRPr="009E2922" w:rsidRDefault="00047E69" w:rsidP="00B17C3C">
      <w:pPr>
        <w:adjustRightInd w:val="0"/>
        <w:snapToGrid w:val="0"/>
        <w:rPr>
          <w:rFonts w:ascii="Times New Roman" w:eastAsia="Times New Roman" w:hAnsi="Times New Roman" w:cs="Times New Roman"/>
          <w:b/>
          <w:bCs/>
        </w:rPr>
      </w:pPr>
    </w:p>
    <w:p w14:paraId="0E557B8F" w14:textId="56C7408B" w:rsidR="00047E69" w:rsidRPr="009E2922" w:rsidRDefault="00270893" w:rsidP="003D2241">
      <w:pPr>
        <w:pStyle w:val="1"/>
        <w:numPr>
          <w:ilvl w:val="1"/>
          <w:numId w:val="12"/>
        </w:numPr>
        <w:tabs>
          <w:tab w:val="left" w:pos="683"/>
        </w:tabs>
        <w:ind w:left="0" w:firstLine="0"/>
        <w:rPr>
          <w:rFonts w:cs="Times New Roman"/>
        </w:rPr>
      </w:pPr>
      <w:r w:rsidRPr="009E2922">
        <w:t>Pharmacodynamic properties</w:t>
      </w:r>
    </w:p>
    <w:p w14:paraId="0071C7AA" w14:textId="77777777" w:rsidR="00047E69" w:rsidRPr="009E2922" w:rsidRDefault="00047E69" w:rsidP="00B17C3C">
      <w:pPr>
        <w:adjustRightInd w:val="0"/>
        <w:snapToGrid w:val="0"/>
        <w:rPr>
          <w:rFonts w:ascii="Times New Roman" w:eastAsia="Times New Roman" w:hAnsi="Times New Roman" w:cs="Times New Roman"/>
          <w:b/>
          <w:bCs/>
          <w:sz w:val="21"/>
          <w:szCs w:val="21"/>
        </w:rPr>
      </w:pPr>
    </w:p>
    <w:p w14:paraId="28056667" w14:textId="65D6D80C" w:rsidR="00047E69" w:rsidRPr="00EF69AA" w:rsidRDefault="00C210A5" w:rsidP="00B17C3C">
      <w:pPr>
        <w:pStyle w:val="a5"/>
        <w:adjustRightInd w:val="0"/>
        <w:snapToGrid w:val="0"/>
        <w:rPr>
          <w:rFonts w:eastAsiaTheme="minorEastAsia"/>
          <w:lang w:eastAsia="ko-KR"/>
        </w:rPr>
      </w:pPr>
      <w:r w:rsidRPr="009E2922">
        <w:t>Pharmacotherapeutic group: antineoplastic and immunomodulating agents, antineoplastic agents, monoclonal antibodies</w:t>
      </w:r>
      <w:r w:rsidR="00115E71">
        <w:rPr>
          <w:rFonts w:eastAsiaTheme="minorEastAsia" w:hint="eastAsia"/>
          <w:lang w:eastAsia="ko-KR"/>
        </w:rPr>
        <w:t xml:space="preserve"> and antibody drug conjugates</w:t>
      </w:r>
      <w:r w:rsidRPr="009E2922">
        <w:t xml:space="preserve">, ATC code: </w:t>
      </w:r>
      <w:r w:rsidR="00E1390C" w:rsidRPr="009E2922">
        <w:t>L01FG01</w:t>
      </w:r>
      <w:r w:rsidR="00EF69AA">
        <w:rPr>
          <w:rFonts w:eastAsiaTheme="minorEastAsia" w:hint="eastAsia"/>
          <w:lang w:eastAsia="ko-KR"/>
        </w:rPr>
        <w:t>.</w:t>
      </w:r>
    </w:p>
    <w:p w14:paraId="7236463F" w14:textId="77777777" w:rsidR="00047E69" w:rsidRPr="009E2922" w:rsidRDefault="00047E69" w:rsidP="00B17C3C">
      <w:pPr>
        <w:pStyle w:val="a5"/>
        <w:adjustRightInd w:val="0"/>
        <w:snapToGrid w:val="0"/>
      </w:pPr>
    </w:p>
    <w:p w14:paraId="2731D982" w14:textId="5CC13C2E" w:rsidR="00047E69" w:rsidRPr="009E2922" w:rsidRDefault="00A32819" w:rsidP="00B17C3C">
      <w:pPr>
        <w:pStyle w:val="a5"/>
        <w:kinsoku w:val="0"/>
        <w:overflowPunct w:val="0"/>
        <w:adjustRightInd w:val="0"/>
        <w:snapToGrid w:val="0"/>
      </w:pPr>
      <w:r>
        <w:t>Vegzelma</w:t>
      </w:r>
      <w:r w:rsidR="00C210A5" w:rsidRPr="009E2922">
        <w:t xml:space="preserve"> is a biosimilar medicinal product. Detailed information is available on the website of the European Medicines Agency </w:t>
      </w:r>
      <w:bookmarkStart w:id="7" w:name="_Hlk183096313"/>
      <w:bookmarkStart w:id="8" w:name="_Hlk183097858"/>
      <w:r w:rsidR="00391FC8" w:rsidRPr="009E2922">
        <w:rPr>
          <w:rFonts w:cs="Times New Roman"/>
          <w:snapToGrid w:val="0"/>
          <w:color w:val="0000FF"/>
          <w:lang w:val="de-DE"/>
        </w:rPr>
        <w:fldChar w:fldCharType="begin"/>
      </w:r>
      <w:r w:rsidR="00391FC8" w:rsidRPr="009E2922">
        <w:rPr>
          <w:rFonts w:cs="Times New Roman"/>
          <w:snapToGrid w:val="0"/>
          <w:color w:val="0000FF"/>
          <w:lang w:val="de-DE"/>
        </w:rPr>
        <w:instrText>HYPERLINK "https://www.ema.europa.eu "</w:instrText>
      </w:r>
      <w:r w:rsidR="00391FC8" w:rsidRPr="009E2922">
        <w:rPr>
          <w:rFonts w:cs="Times New Roman"/>
          <w:snapToGrid w:val="0"/>
          <w:color w:val="0000FF"/>
          <w:lang w:val="de-DE"/>
        </w:rPr>
      </w:r>
      <w:r w:rsidR="00391FC8" w:rsidRPr="009E2922">
        <w:rPr>
          <w:rFonts w:cs="Times New Roman"/>
          <w:snapToGrid w:val="0"/>
          <w:color w:val="0000FF"/>
          <w:lang w:val="de-DE"/>
        </w:rPr>
        <w:fldChar w:fldCharType="separate"/>
      </w:r>
      <w:r w:rsidR="00391FC8" w:rsidRPr="009E2922">
        <w:rPr>
          <w:rStyle w:val="a9"/>
          <w:snapToGrid w:val="0"/>
          <w:lang w:val="de-DE"/>
        </w:rPr>
        <w:t>https://www.ema.europa.eu</w:t>
      </w:r>
      <w:r w:rsidR="00391FC8" w:rsidRPr="009E2922">
        <w:rPr>
          <w:rFonts w:cs="Times New Roman"/>
          <w:snapToGrid w:val="0"/>
          <w:color w:val="0000FF"/>
          <w:lang w:val="de-DE"/>
        </w:rPr>
        <w:fldChar w:fldCharType="end"/>
      </w:r>
      <w:bookmarkEnd w:id="7"/>
      <w:bookmarkEnd w:id="8"/>
      <w:r w:rsidR="00C210A5" w:rsidRPr="009E2922">
        <w:t>.</w:t>
      </w:r>
    </w:p>
    <w:p w14:paraId="3E7220C6" w14:textId="77777777" w:rsidR="00047E69" w:rsidRPr="009E2922" w:rsidRDefault="00047E69" w:rsidP="00B17C3C">
      <w:pPr>
        <w:adjustRightInd w:val="0"/>
        <w:snapToGrid w:val="0"/>
        <w:rPr>
          <w:rFonts w:ascii="Times New Roman" w:eastAsia="Times New Roman" w:hAnsi="Times New Roman" w:cs="Times New Roman"/>
          <w:sz w:val="21"/>
          <w:szCs w:val="21"/>
        </w:rPr>
      </w:pPr>
    </w:p>
    <w:p w14:paraId="3B602FE2" w14:textId="32B2B5CB" w:rsidR="00047E69" w:rsidRPr="009E2922" w:rsidRDefault="00C210A5" w:rsidP="00B17C3C">
      <w:pPr>
        <w:pStyle w:val="a5"/>
        <w:adjustRightInd w:val="0"/>
        <w:snapToGrid w:val="0"/>
      </w:pPr>
      <w:r w:rsidRPr="009E2922">
        <w:rPr>
          <w:u w:val="single" w:color="000000"/>
        </w:rPr>
        <w:t>Mechanism of action</w:t>
      </w:r>
    </w:p>
    <w:p w14:paraId="7419D6C7" w14:textId="5C766B64" w:rsidR="00047E69" w:rsidRPr="009E2922" w:rsidRDefault="00C210A5" w:rsidP="00B17C3C">
      <w:pPr>
        <w:pStyle w:val="a5"/>
        <w:adjustRightInd w:val="0"/>
        <w:snapToGrid w:val="0"/>
      </w:pPr>
      <w:r w:rsidRPr="009E2922">
        <w:t>Bevacizumab binds to VEGF, the key driver of vasculogenesis and angiogenesis, and thereby inhibits the binding of VEGF to its receptors, Flt</w:t>
      </w:r>
      <w:r w:rsidR="00FD0731" w:rsidRPr="009E2922">
        <w:noBreakHyphen/>
      </w:r>
      <w:r w:rsidRPr="009E2922">
        <w:t>1 (VEGFR</w:t>
      </w:r>
      <w:r w:rsidR="00FD0731" w:rsidRPr="009E2922">
        <w:noBreakHyphen/>
      </w:r>
      <w:r w:rsidRPr="009E2922">
        <w:t>1) and KDR (VEGFR</w:t>
      </w:r>
      <w:r w:rsidR="00FD0731" w:rsidRPr="009E2922">
        <w:noBreakHyphen/>
      </w:r>
      <w:r w:rsidRPr="009E2922">
        <w:t>2), on the surface of endothelial cells. Neutralising the biological activity of VEGF regresses the vascularisation of tumours, normalises remaining tumour vasculature, and inhibits the formation of new tumour vasculature, thereby inhibiting tumour growth.</w:t>
      </w:r>
    </w:p>
    <w:p w14:paraId="1E517CCB" w14:textId="77777777" w:rsidR="00047E69" w:rsidRPr="009E2922" w:rsidRDefault="00047E69" w:rsidP="00B17C3C">
      <w:pPr>
        <w:adjustRightInd w:val="0"/>
        <w:snapToGrid w:val="0"/>
        <w:rPr>
          <w:rFonts w:ascii="Times New Roman" w:eastAsia="Times New Roman" w:hAnsi="Times New Roman" w:cs="Times New Roman"/>
          <w:sz w:val="21"/>
          <w:szCs w:val="21"/>
        </w:rPr>
      </w:pPr>
    </w:p>
    <w:p w14:paraId="372D2BD2" w14:textId="77777777" w:rsidR="00047E69" w:rsidRPr="009E2922" w:rsidRDefault="00C210A5" w:rsidP="00B17C3C">
      <w:pPr>
        <w:pStyle w:val="a5"/>
        <w:adjustRightInd w:val="0"/>
        <w:snapToGrid w:val="0"/>
      </w:pPr>
      <w:r w:rsidRPr="009E2922">
        <w:rPr>
          <w:u w:val="single" w:color="000000"/>
        </w:rPr>
        <w:t>Pharmacodynamic effects</w:t>
      </w:r>
    </w:p>
    <w:p w14:paraId="5AF6FA58" w14:textId="4602C906" w:rsidR="00047E69" w:rsidRPr="009E2922" w:rsidRDefault="00C210A5" w:rsidP="00B17C3C">
      <w:pPr>
        <w:pStyle w:val="a5"/>
        <w:adjustRightInd w:val="0"/>
        <w:snapToGrid w:val="0"/>
      </w:pPr>
      <w:r w:rsidRPr="009E2922">
        <w:t>Administration of bevacizumab or its parental murine antibody to xenotransplant models of cancer in nude mice resulted in extensive anti</w:t>
      </w:r>
      <w:r w:rsidR="00FD0731" w:rsidRPr="009E2922">
        <w:noBreakHyphen/>
      </w:r>
      <w:r w:rsidRPr="009E2922">
        <w:t>tumour activity in human cancers, including colon, breast, pancreas and prostate. Metastatic disease progression was inhibited and microvascular permeability was reduced.</w:t>
      </w:r>
    </w:p>
    <w:p w14:paraId="4FEEE0C1" w14:textId="77777777" w:rsidR="00047E69" w:rsidRPr="009E2922" w:rsidRDefault="00047E69" w:rsidP="00B17C3C">
      <w:pPr>
        <w:adjustRightInd w:val="0"/>
        <w:snapToGrid w:val="0"/>
        <w:rPr>
          <w:rFonts w:ascii="Times New Roman" w:eastAsia="Times New Roman" w:hAnsi="Times New Roman" w:cs="Times New Roman"/>
          <w:sz w:val="21"/>
          <w:szCs w:val="21"/>
        </w:rPr>
      </w:pPr>
    </w:p>
    <w:p w14:paraId="1A311D57" w14:textId="77777777" w:rsidR="00047E69" w:rsidRPr="009E2922" w:rsidRDefault="00C210A5" w:rsidP="00A86E7C">
      <w:pPr>
        <w:pStyle w:val="a5"/>
        <w:keepNext/>
        <w:keepLines/>
        <w:adjustRightInd w:val="0"/>
        <w:snapToGrid w:val="0"/>
      </w:pPr>
      <w:r w:rsidRPr="009E2922">
        <w:rPr>
          <w:u w:val="single" w:color="000000"/>
        </w:rPr>
        <w:lastRenderedPageBreak/>
        <w:t>Clinical efficacy</w:t>
      </w:r>
    </w:p>
    <w:p w14:paraId="693F422F" w14:textId="77777777" w:rsidR="00047E69" w:rsidRPr="009E2922" w:rsidRDefault="00047E69" w:rsidP="00A86E7C">
      <w:pPr>
        <w:keepNext/>
        <w:keepLines/>
        <w:adjustRightInd w:val="0"/>
        <w:snapToGrid w:val="0"/>
        <w:rPr>
          <w:rFonts w:ascii="Times New Roman" w:eastAsia="Times New Roman" w:hAnsi="Times New Roman" w:cs="Times New Roman"/>
          <w:sz w:val="15"/>
          <w:szCs w:val="15"/>
        </w:rPr>
      </w:pPr>
    </w:p>
    <w:p w14:paraId="3ADAEC07" w14:textId="77777777" w:rsidR="00047E69" w:rsidRPr="009E2922" w:rsidRDefault="00C210A5" w:rsidP="00A86E7C">
      <w:pPr>
        <w:keepNext/>
        <w:keepLines/>
        <w:adjustRightInd w:val="0"/>
        <w:snapToGrid w:val="0"/>
        <w:rPr>
          <w:rFonts w:ascii="Times New Roman" w:eastAsia="Times New Roman" w:hAnsi="Times New Roman" w:cs="Times New Roman"/>
        </w:rPr>
      </w:pPr>
      <w:r w:rsidRPr="009E2922">
        <w:rPr>
          <w:rFonts w:ascii="Times New Roman"/>
          <w:i/>
          <w:u w:val="single" w:color="000000"/>
        </w:rPr>
        <w:t>Metastatic carcinoma of the colon or rectum (mCRC)</w:t>
      </w:r>
    </w:p>
    <w:p w14:paraId="7B9D920B" w14:textId="77777777" w:rsidR="00047E69" w:rsidRPr="009E2922" w:rsidRDefault="00047E69" w:rsidP="00A86E7C">
      <w:pPr>
        <w:keepNext/>
        <w:keepLines/>
        <w:adjustRightInd w:val="0"/>
        <w:snapToGrid w:val="0"/>
        <w:rPr>
          <w:rFonts w:ascii="Times New Roman" w:eastAsia="Times New Roman" w:hAnsi="Times New Roman" w:cs="Times New Roman"/>
          <w:i/>
          <w:sz w:val="15"/>
          <w:szCs w:val="15"/>
        </w:rPr>
      </w:pPr>
    </w:p>
    <w:p w14:paraId="66F8B777" w14:textId="12346353" w:rsidR="00047E69" w:rsidRPr="009E2922" w:rsidRDefault="00C210A5" w:rsidP="00A86E7C">
      <w:pPr>
        <w:pStyle w:val="a5"/>
        <w:adjustRightInd w:val="0"/>
        <w:snapToGrid w:val="0"/>
      </w:pPr>
      <w:r w:rsidRPr="009E2922">
        <w:t>T</w:t>
      </w:r>
      <w:r w:rsidRPr="009E2922">
        <w:rPr>
          <w:rFonts w:eastAsiaTheme="minorEastAsia" w:cs="Times New Roman"/>
        </w:rPr>
        <w:t>he s</w:t>
      </w:r>
      <w:r w:rsidRPr="009E2922">
        <w:t>afety and efficacy of t</w:t>
      </w:r>
      <w:r w:rsidRPr="009E2922">
        <w:rPr>
          <w:rFonts w:eastAsiaTheme="minorEastAsia" w:cs="Times New Roman"/>
        </w:rPr>
        <w:t xml:space="preserve">he recommended dose </w:t>
      </w:r>
      <w:r w:rsidRPr="009E2922">
        <w:t>(5 mg/kg of body weight every two weeks) in metastatic carcinoma of the colon or rectum were studied in three randomised, active</w:t>
      </w:r>
      <w:r w:rsidR="00FD0731" w:rsidRPr="009E2922">
        <w:noBreakHyphen/>
      </w:r>
      <w:r w:rsidRPr="009E2922">
        <w:t>controlled clinical trials in combination with fluoropyrimidine</w:t>
      </w:r>
      <w:r w:rsidR="00FD0731" w:rsidRPr="009E2922">
        <w:noBreakHyphen/>
      </w:r>
      <w:r w:rsidRPr="009E2922">
        <w:t>based first</w:t>
      </w:r>
      <w:r w:rsidR="00FD0731" w:rsidRPr="009E2922">
        <w:noBreakHyphen/>
      </w:r>
      <w:r w:rsidRPr="009E2922">
        <w:t>line chemotherapy. Bevacizumab was combined with two chemotherapy regimens:</w:t>
      </w:r>
    </w:p>
    <w:p w14:paraId="6EA339A7" w14:textId="77777777" w:rsidR="00047E69" w:rsidRPr="009E2922" w:rsidRDefault="00047E69" w:rsidP="00A86E7C">
      <w:pPr>
        <w:adjustRightInd w:val="0"/>
        <w:snapToGrid w:val="0"/>
        <w:rPr>
          <w:rFonts w:ascii="Times New Roman" w:eastAsia="Times New Roman" w:hAnsi="Times New Roman" w:cs="Times New Roman"/>
        </w:rPr>
      </w:pPr>
    </w:p>
    <w:p w14:paraId="06E7AB51" w14:textId="078E37AD" w:rsidR="00047E69" w:rsidRPr="009E2922" w:rsidRDefault="00C210A5" w:rsidP="00A86E7C">
      <w:pPr>
        <w:pStyle w:val="a5"/>
        <w:numPr>
          <w:ilvl w:val="0"/>
          <w:numId w:val="11"/>
        </w:numPr>
        <w:tabs>
          <w:tab w:val="left" w:pos="683"/>
        </w:tabs>
        <w:adjustRightInd w:val="0"/>
        <w:snapToGrid w:val="0"/>
        <w:ind w:left="567" w:hanging="567"/>
      </w:pPr>
      <w:r w:rsidRPr="009E2922">
        <w:t>AVF2107g: A weekly schedule of irinotecan/bolus 5</w:t>
      </w:r>
      <w:r w:rsidR="00FD0731" w:rsidRPr="009E2922">
        <w:noBreakHyphen/>
      </w:r>
      <w:r w:rsidRPr="009E2922">
        <w:t>fluorouracil/folinic acid (IFL) for a total of 4 weeks of each 6 week</w:t>
      </w:r>
      <w:r w:rsidR="00FD0731" w:rsidRPr="009E2922">
        <w:noBreakHyphen/>
      </w:r>
      <w:r w:rsidRPr="009E2922">
        <w:t>cycle (Saltz regimen).</w:t>
      </w:r>
    </w:p>
    <w:p w14:paraId="00A3E86B" w14:textId="1BB20E02" w:rsidR="00047E69" w:rsidRPr="009E2922" w:rsidRDefault="00C210A5" w:rsidP="00A86E7C">
      <w:pPr>
        <w:pStyle w:val="a5"/>
        <w:numPr>
          <w:ilvl w:val="0"/>
          <w:numId w:val="11"/>
        </w:numPr>
        <w:tabs>
          <w:tab w:val="left" w:pos="683"/>
        </w:tabs>
        <w:adjustRightInd w:val="0"/>
        <w:snapToGrid w:val="0"/>
        <w:ind w:left="567" w:hanging="567"/>
        <w:jc w:val="both"/>
      </w:pPr>
      <w:r w:rsidRPr="009E2922">
        <w:t>AVF0780g: In combination with bolus 5</w:t>
      </w:r>
      <w:r w:rsidR="00FD0731" w:rsidRPr="009E2922">
        <w:noBreakHyphen/>
      </w:r>
      <w:r w:rsidRPr="009E2922">
        <w:t>fluorouracil/folinic acid (5</w:t>
      </w:r>
      <w:r w:rsidR="00FD0731" w:rsidRPr="009E2922">
        <w:noBreakHyphen/>
      </w:r>
      <w:r w:rsidRPr="009E2922">
        <w:t>FU/FA) for a total of 6 weeks of each 8 week</w:t>
      </w:r>
      <w:r w:rsidR="00FD0731" w:rsidRPr="009E2922">
        <w:noBreakHyphen/>
      </w:r>
      <w:r w:rsidRPr="009E2922">
        <w:t>cycle (Roswell Park regimen).</w:t>
      </w:r>
    </w:p>
    <w:p w14:paraId="2B1807DF" w14:textId="746E8F60" w:rsidR="00047E69" w:rsidRPr="009E2922" w:rsidRDefault="00C210A5" w:rsidP="00A86E7C">
      <w:pPr>
        <w:pStyle w:val="a5"/>
        <w:numPr>
          <w:ilvl w:val="0"/>
          <w:numId w:val="11"/>
        </w:numPr>
        <w:tabs>
          <w:tab w:val="left" w:pos="716"/>
        </w:tabs>
        <w:adjustRightInd w:val="0"/>
        <w:snapToGrid w:val="0"/>
        <w:ind w:left="567" w:hanging="567"/>
        <w:jc w:val="both"/>
      </w:pPr>
      <w:r w:rsidRPr="009E2922">
        <w:t>AVF2192g: In combination with bolus 5</w:t>
      </w:r>
      <w:r w:rsidR="00FD0731" w:rsidRPr="009E2922">
        <w:noBreakHyphen/>
      </w:r>
      <w:r w:rsidRPr="009E2922">
        <w:t>FU/FA for a total of 6 weeks of each 8 week</w:t>
      </w:r>
      <w:r w:rsidR="00FD0731" w:rsidRPr="009E2922">
        <w:noBreakHyphen/>
      </w:r>
      <w:r w:rsidRPr="009E2922">
        <w:t>cycle (Roswell Park regimen) in patients who were not optimal candidates for first</w:t>
      </w:r>
      <w:r w:rsidR="00FD0731" w:rsidRPr="009E2922">
        <w:noBreakHyphen/>
      </w:r>
      <w:r w:rsidRPr="009E2922">
        <w:t>line irinotecan treatment.</w:t>
      </w:r>
    </w:p>
    <w:p w14:paraId="4F785E93" w14:textId="77777777" w:rsidR="00A135EE" w:rsidRPr="009E2922" w:rsidRDefault="00A135EE" w:rsidP="00A86E7C">
      <w:pPr>
        <w:pStyle w:val="a5"/>
        <w:adjustRightInd w:val="0"/>
        <w:snapToGrid w:val="0"/>
      </w:pPr>
    </w:p>
    <w:p w14:paraId="213A281E" w14:textId="77975E53" w:rsidR="00047E69" w:rsidRPr="009E2922" w:rsidRDefault="00C210A5" w:rsidP="00A86E7C">
      <w:pPr>
        <w:pStyle w:val="a5"/>
        <w:adjustRightInd w:val="0"/>
        <w:snapToGrid w:val="0"/>
      </w:pPr>
      <w:r w:rsidRPr="009E2922">
        <w:t>Three additional studies with bevacizumab have been conducted in mCRC patients: first</w:t>
      </w:r>
      <w:r w:rsidR="00FD0731" w:rsidRPr="009E2922">
        <w:noBreakHyphen/>
      </w:r>
      <w:r w:rsidRPr="009E2922">
        <w:t>line (NO16966), second</w:t>
      </w:r>
      <w:r w:rsidR="00FD0731" w:rsidRPr="009E2922">
        <w:noBreakHyphen/>
      </w:r>
      <w:r w:rsidRPr="009E2922">
        <w:t>line with no previous bevacizumab treatment (E3200), and second</w:t>
      </w:r>
      <w:r w:rsidR="00FD0731" w:rsidRPr="009E2922">
        <w:noBreakHyphen/>
      </w:r>
      <w:r w:rsidRPr="009E2922">
        <w:t>line with previous bevacizumab treatment following disease progression in first</w:t>
      </w:r>
      <w:r w:rsidR="00FD0731" w:rsidRPr="009E2922">
        <w:noBreakHyphen/>
      </w:r>
      <w:r w:rsidRPr="009E2922">
        <w:t>line (ML18147). In these studies, bevacizumab was administered at the following dosing regimens in combination with FOLFOX</w:t>
      </w:r>
      <w:r w:rsidR="00FD0731" w:rsidRPr="009E2922">
        <w:noBreakHyphen/>
      </w:r>
      <w:r w:rsidRPr="009E2922">
        <w:t>4 (5</w:t>
      </w:r>
      <w:r w:rsidR="00FD0731" w:rsidRPr="009E2922">
        <w:noBreakHyphen/>
      </w:r>
      <w:r w:rsidRPr="009E2922">
        <w:t>FU/LV/oxaliplatin), XELOX (capecitabine/oxaliplatin), and fluoropyrimidine/irinotecan and fluoropyrimidine/oxaliplatin:</w:t>
      </w:r>
    </w:p>
    <w:p w14:paraId="4F21CEFB" w14:textId="77777777" w:rsidR="00047E69" w:rsidRPr="009E2922" w:rsidRDefault="00047E69" w:rsidP="00A86E7C">
      <w:pPr>
        <w:adjustRightInd w:val="0"/>
        <w:snapToGrid w:val="0"/>
        <w:rPr>
          <w:rFonts w:ascii="Times New Roman" w:eastAsia="Times New Roman" w:hAnsi="Times New Roman" w:cs="Times New Roman"/>
        </w:rPr>
      </w:pPr>
    </w:p>
    <w:p w14:paraId="5F0E42FB" w14:textId="6FFDD577" w:rsidR="00047E69" w:rsidRPr="009E2922" w:rsidRDefault="00C210A5" w:rsidP="00A86E7C">
      <w:pPr>
        <w:pStyle w:val="a5"/>
        <w:numPr>
          <w:ilvl w:val="0"/>
          <w:numId w:val="11"/>
        </w:numPr>
        <w:tabs>
          <w:tab w:val="left" w:pos="597"/>
        </w:tabs>
        <w:adjustRightInd w:val="0"/>
        <w:snapToGrid w:val="0"/>
        <w:ind w:left="567" w:hanging="567"/>
      </w:pPr>
      <w:r w:rsidRPr="009E2922">
        <w:t>NO16966: Bevacizumab 7.5 mg/kg of body weight every 3 weeks in combination with oral capecitabine and intravenous oxaliplatin (XELOX) or bevacizumab 5 mg/kg every 2 weeks in combination with leucovorin plus 5</w:t>
      </w:r>
      <w:r w:rsidR="00FD0731" w:rsidRPr="009E2922">
        <w:noBreakHyphen/>
      </w:r>
      <w:r w:rsidRPr="009E2922">
        <w:t>fluorouracil bolus, followed by 5</w:t>
      </w:r>
      <w:r w:rsidR="00FD0731" w:rsidRPr="009E2922">
        <w:noBreakHyphen/>
      </w:r>
      <w:r w:rsidRPr="009E2922">
        <w:t>fluorouracil infusion, with intravenous oxaliplatin (FOLFOX</w:t>
      </w:r>
      <w:r w:rsidR="00FD0731" w:rsidRPr="009E2922">
        <w:noBreakHyphen/>
      </w:r>
      <w:r w:rsidRPr="009E2922">
        <w:t>4).</w:t>
      </w:r>
    </w:p>
    <w:p w14:paraId="412C822E" w14:textId="77777777" w:rsidR="00047E69" w:rsidRPr="009E2922" w:rsidRDefault="00047E69" w:rsidP="00A86E7C">
      <w:pPr>
        <w:adjustRightInd w:val="0"/>
        <w:snapToGrid w:val="0"/>
        <w:ind w:left="567" w:hanging="567"/>
        <w:rPr>
          <w:rFonts w:ascii="Times New Roman" w:eastAsia="Times New Roman" w:hAnsi="Times New Roman" w:cs="Times New Roman"/>
          <w:sz w:val="21"/>
          <w:szCs w:val="21"/>
        </w:rPr>
      </w:pPr>
    </w:p>
    <w:p w14:paraId="638B073C" w14:textId="5FFD9182" w:rsidR="00047E69" w:rsidRPr="009E2922" w:rsidRDefault="00C210A5" w:rsidP="00A86E7C">
      <w:pPr>
        <w:pStyle w:val="a5"/>
        <w:numPr>
          <w:ilvl w:val="0"/>
          <w:numId w:val="11"/>
        </w:numPr>
        <w:tabs>
          <w:tab w:val="left" w:pos="596"/>
        </w:tabs>
        <w:adjustRightInd w:val="0"/>
        <w:snapToGrid w:val="0"/>
        <w:ind w:left="567" w:hanging="567"/>
      </w:pPr>
      <w:r w:rsidRPr="009E2922">
        <w:t>E3200: Bevacizumab 10 mg/kg of body weight every 2 weeks in combination with leucovorin and 5</w:t>
      </w:r>
      <w:r w:rsidR="00FD0731" w:rsidRPr="009E2922">
        <w:noBreakHyphen/>
      </w:r>
      <w:r w:rsidRPr="009E2922">
        <w:t>fluorouracil bolus, followed by 5</w:t>
      </w:r>
      <w:r w:rsidR="00FD0731" w:rsidRPr="009E2922">
        <w:noBreakHyphen/>
      </w:r>
      <w:r w:rsidRPr="009E2922">
        <w:t>fluorouracil infusion, with intravenous oxaliplatin (FOLFOX</w:t>
      </w:r>
      <w:r w:rsidR="00FD0731" w:rsidRPr="009E2922">
        <w:noBreakHyphen/>
      </w:r>
      <w:r w:rsidRPr="009E2922">
        <w:t>4) in bevacizumab</w:t>
      </w:r>
      <w:r w:rsidR="00FD0731" w:rsidRPr="009E2922">
        <w:noBreakHyphen/>
      </w:r>
      <w:r w:rsidRPr="009E2922">
        <w:t>naïve patients.</w:t>
      </w:r>
    </w:p>
    <w:p w14:paraId="67A1718B" w14:textId="77777777" w:rsidR="00047E69" w:rsidRPr="009E2922" w:rsidRDefault="00047E69" w:rsidP="00A86E7C">
      <w:pPr>
        <w:adjustRightInd w:val="0"/>
        <w:snapToGrid w:val="0"/>
        <w:ind w:left="567" w:hanging="567"/>
        <w:rPr>
          <w:rFonts w:ascii="Times New Roman" w:eastAsia="Times New Roman" w:hAnsi="Times New Roman" w:cs="Times New Roman"/>
          <w:sz w:val="21"/>
          <w:szCs w:val="21"/>
        </w:rPr>
      </w:pPr>
    </w:p>
    <w:p w14:paraId="378DDF27" w14:textId="368AF756" w:rsidR="00047E69" w:rsidRPr="009E2922" w:rsidRDefault="00C210A5" w:rsidP="00A86E7C">
      <w:pPr>
        <w:pStyle w:val="a5"/>
        <w:numPr>
          <w:ilvl w:val="0"/>
          <w:numId w:val="11"/>
        </w:numPr>
        <w:tabs>
          <w:tab w:val="left" w:pos="592"/>
        </w:tabs>
        <w:adjustRightInd w:val="0"/>
        <w:snapToGrid w:val="0"/>
        <w:ind w:left="567" w:hanging="567"/>
      </w:pPr>
      <w:r w:rsidRPr="009E2922">
        <w:t>ML18147: Bevacizumab 5.0 mg/kg of body weight every 2 weeks or bevacizumab 7.5 mg/kg of body weight every 3 weeks in combination with fluoropyrimidine/irinotecan or fluoropyrimidine/oxaliplatin in patients with disease progression following first</w:t>
      </w:r>
      <w:r w:rsidR="00FD0731" w:rsidRPr="009E2922">
        <w:noBreakHyphen/>
      </w:r>
      <w:r w:rsidRPr="009E2922">
        <w:t>line treatment with bevacizumab. Use of irinotecan</w:t>
      </w:r>
      <w:r w:rsidR="00FD0731" w:rsidRPr="009E2922">
        <w:noBreakHyphen/>
      </w:r>
      <w:r w:rsidRPr="009E2922">
        <w:t xml:space="preserve"> or oxaliplatin</w:t>
      </w:r>
      <w:r w:rsidR="00FD0731" w:rsidRPr="009E2922">
        <w:noBreakHyphen/>
      </w:r>
      <w:r w:rsidRPr="009E2922">
        <w:t>containing regimen was switched depending on first</w:t>
      </w:r>
      <w:r w:rsidR="00FD0731" w:rsidRPr="009E2922">
        <w:noBreakHyphen/>
      </w:r>
      <w:r w:rsidRPr="009E2922">
        <w:t>line usage of either oxaliplatin or irinotecan.</w:t>
      </w:r>
    </w:p>
    <w:p w14:paraId="58B6A618" w14:textId="77777777" w:rsidR="00047E69" w:rsidRPr="009E2922" w:rsidRDefault="00047E69" w:rsidP="00A86E7C">
      <w:pPr>
        <w:adjustRightInd w:val="0"/>
        <w:snapToGrid w:val="0"/>
        <w:rPr>
          <w:rFonts w:ascii="Times New Roman" w:eastAsia="Times New Roman" w:hAnsi="Times New Roman" w:cs="Times New Roman"/>
          <w:sz w:val="21"/>
          <w:szCs w:val="21"/>
        </w:rPr>
      </w:pPr>
    </w:p>
    <w:p w14:paraId="720ED922" w14:textId="77777777" w:rsidR="00047E69" w:rsidRPr="009E2922" w:rsidRDefault="00C210A5" w:rsidP="00A86E7C">
      <w:pPr>
        <w:adjustRightInd w:val="0"/>
        <w:snapToGrid w:val="0"/>
        <w:rPr>
          <w:rFonts w:ascii="Times New Roman" w:eastAsia="Times New Roman" w:hAnsi="Times New Roman" w:cs="Times New Roman"/>
        </w:rPr>
      </w:pPr>
      <w:r w:rsidRPr="009E2922">
        <w:rPr>
          <w:rFonts w:ascii="Times New Roman"/>
          <w:i/>
        </w:rPr>
        <w:t>AVF2107g</w:t>
      </w:r>
    </w:p>
    <w:p w14:paraId="3EACD534" w14:textId="7FD1C3D1" w:rsidR="00047E69" w:rsidRPr="009E2922" w:rsidRDefault="00C210A5" w:rsidP="00A86E7C">
      <w:pPr>
        <w:pStyle w:val="a5"/>
        <w:adjustRightInd w:val="0"/>
        <w:snapToGrid w:val="0"/>
      </w:pPr>
      <w:r w:rsidRPr="009E2922">
        <w:t>This was a phase III randomised, double</w:t>
      </w:r>
      <w:r w:rsidR="00FD0731" w:rsidRPr="009E2922">
        <w:noBreakHyphen/>
      </w:r>
      <w:r w:rsidRPr="009E2922">
        <w:t>blind, active</w:t>
      </w:r>
      <w:r w:rsidR="00FD0731" w:rsidRPr="009E2922">
        <w:noBreakHyphen/>
      </w:r>
      <w:r w:rsidRPr="009E2922">
        <w:t>controlled clinical trial evaluating bevacizumab in combination with IFL as first</w:t>
      </w:r>
      <w:r w:rsidR="00FD0731" w:rsidRPr="009E2922">
        <w:noBreakHyphen/>
      </w:r>
      <w:r w:rsidRPr="009E2922">
        <w:t>line treatment for metastatic carcinoma of the colon or rectum.</w:t>
      </w:r>
    </w:p>
    <w:p w14:paraId="3A9038A4" w14:textId="15425926" w:rsidR="00047E69" w:rsidRPr="009E2922" w:rsidRDefault="00C210A5" w:rsidP="00A86E7C">
      <w:pPr>
        <w:pStyle w:val="a5"/>
        <w:adjustRightInd w:val="0"/>
        <w:snapToGrid w:val="0"/>
      </w:pPr>
      <w:r w:rsidRPr="009E2922">
        <w:t>Eight hundred and thirteen patients were randomised to receive IFL + placebo (Arm 1) or</w:t>
      </w:r>
      <w:r w:rsidR="00B61005" w:rsidRPr="009E2922">
        <w:t xml:space="preserve"> </w:t>
      </w:r>
      <w:r w:rsidRPr="009E2922">
        <w:t>IFL + bevacizumab (5 mg/kg every 2 weeks, Arm 2). A third group of 110 patients received bolus 5</w:t>
      </w:r>
      <w:r w:rsidR="00FD0731" w:rsidRPr="009E2922">
        <w:noBreakHyphen/>
      </w:r>
      <w:r w:rsidRPr="009E2922">
        <w:t>FU/FA+ bevacizumab (Arm 3). Enrolment in Arm 3 was discontinued, as pre</w:t>
      </w:r>
      <w:r w:rsidR="00FD0731" w:rsidRPr="009E2922">
        <w:noBreakHyphen/>
      </w:r>
      <w:r w:rsidRPr="009E2922">
        <w:t>specified, once safety of bevacizumab with the IFL regimen was established and considered acceptable. All treatments were continued until disease progression. The overall mean age was 59.4 years; 56.6% of patients had an ECOG performance status of 0, 43% had a value of 1 and 0.4% had a value of 2. 15.5% had received prior radiotherapy and 28.4% prior chemotherapy.</w:t>
      </w:r>
    </w:p>
    <w:p w14:paraId="49D9D141" w14:textId="77777777" w:rsidR="00047E69" w:rsidRPr="005910DE" w:rsidRDefault="00047E69" w:rsidP="00A86E7C">
      <w:pPr>
        <w:adjustRightInd w:val="0"/>
        <w:snapToGrid w:val="0"/>
        <w:rPr>
          <w:rFonts w:ascii="Times New Roman" w:eastAsia="Times New Roman" w:hAnsi="Times New Roman" w:cs="Times New Roman"/>
          <w:sz w:val="21"/>
          <w:szCs w:val="21"/>
        </w:rPr>
      </w:pPr>
    </w:p>
    <w:p w14:paraId="443D971C" w14:textId="2667C0E3" w:rsidR="00047E69" w:rsidRPr="005910DE" w:rsidRDefault="00C210A5" w:rsidP="00A86E7C">
      <w:pPr>
        <w:pStyle w:val="a5"/>
        <w:adjustRightInd w:val="0"/>
        <w:snapToGrid w:val="0"/>
      </w:pPr>
      <w:r w:rsidRPr="005910DE">
        <w:t xml:space="preserve">The primary efficacy variable of the trial was </w:t>
      </w:r>
      <w:r w:rsidR="00410031" w:rsidRPr="005910DE">
        <w:t>OS</w:t>
      </w:r>
      <w:r w:rsidRPr="005910DE">
        <w:t xml:space="preserve">. The addition of bevacizumab to IFL resulted in statistically significant increases in </w:t>
      </w:r>
      <w:r w:rsidR="00A135EE" w:rsidRPr="005910DE">
        <w:t>OS</w:t>
      </w:r>
      <w:r w:rsidRPr="005910DE">
        <w:t xml:space="preserve">, </w:t>
      </w:r>
      <w:r w:rsidR="00A135EE" w:rsidRPr="005910DE">
        <w:t>PFS</w:t>
      </w:r>
      <w:r w:rsidRPr="005910DE">
        <w:t xml:space="preserve"> and overall response rate</w:t>
      </w:r>
      <w:r w:rsidR="00215E20" w:rsidRPr="005910DE">
        <w:t xml:space="preserve"> </w:t>
      </w:r>
      <w:r w:rsidRPr="005910DE">
        <w:t xml:space="preserve">(see Table 4). The clinical benefit, as measured by </w:t>
      </w:r>
      <w:r w:rsidR="00410031" w:rsidRPr="005910DE">
        <w:t>OS</w:t>
      </w:r>
      <w:r w:rsidRPr="005910DE">
        <w:t>, was seen in all pre</w:t>
      </w:r>
      <w:r w:rsidR="00FD0731" w:rsidRPr="005910DE">
        <w:noBreakHyphen/>
      </w:r>
      <w:r w:rsidRPr="005910DE">
        <w:t>specified patient subgroups, including those defined by age, sex, performance status, location of primary tumour, number of organs involved and duration of metastatic disease.</w:t>
      </w:r>
    </w:p>
    <w:p w14:paraId="09DAE79D" w14:textId="77777777" w:rsidR="00047E69" w:rsidRPr="005910DE" w:rsidRDefault="00047E69" w:rsidP="00A86E7C">
      <w:pPr>
        <w:adjustRightInd w:val="0"/>
        <w:snapToGrid w:val="0"/>
        <w:rPr>
          <w:rFonts w:ascii="Times New Roman" w:eastAsia="Times New Roman" w:hAnsi="Times New Roman" w:cs="Times New Roman"/>
          <w:sz w:val="18"/>
          <w:szCs w:val="18"/>
        </w:rPr>
      </w:pPr>
    </w:p>
    <w:p w14:paraId="03E89C1D" w14:textId="62589B5A" w:rsidR="00E916D2" w:rsidRPr="005910DE" w:rsidRDefault="00C210A5" w:rsidP="00A86E7C">
      <w:pPr>
        <w:pStyle w:val="a5"/>
        <w:adjustRightInd w:val="0"/>
        <w:snapToGrid w:val="0"/>
      </w:pPr>
      <w:r w:rsidRPr="005910DE">
        <w:t>The efficacy results of bevacizumab in combination with IFL</w:t>
      </w:r>
      <w:r w:rsidR="00FD0731" w:rsidRPr="005910DE">
        <w:noBreakHyphen/>
      </w:r>
      <w:r w:rsidRPr="005910DE">
        <w:t>chemotherapy are displayed in Table 4.</w:t>
      </w:r>
    </w:p>
    <w:p w14:paraId="26C4646C" w14:textId="2B70A755" w:rsidR="005A5348" w:rsidRPr="005910DE" w:rsidRDefault="005A5348" w:rsidP="00A86E7C">
      <w:pPr>
        <w:pStyle w:val="a5"/>
        <w:adjustRightInd w:val="0"/>
        <w:snapToGrid w:val="0"/>
        <w:rPr>
          <w:rFonts w:eastAsiaTheme="minorEastAsia"/>
          <w:lang w:eastAsia="ko-KR"/>
        </w:rPr>
      </w:pPr>
      <w:r w:rsidRPr="005910DE">
        <w:rPr>
          <w:rFonts w:eastAsiaTheme="minorEastAsia" w:hint="eastAsia"/>
          <w:lang w:eastAsia="ko-KR"/>
        </w:rPr>
        <w:t xml:space="preserve"> </w:t>
      </w:r>
    </w:p>
    <w:p w14:paraId="2CC9CA14" w14:textId="5BD8E907" w:rsidR="002F3873"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lastRenderedPageBreak/>
        <w:t>Table 4</w:t>
      </w:r>
      <w:r w:rsidRPr="00536B4F">
        <w:rPr>
          <w:rFonts w:ascii="Times New Roman" w:hAnsi="Times New Roman" w:cs="Times New Roman"/>
          <w:b/>
          <w:bCs/>
        </w:rPr>
        <w:tab/>
        <w:t>Efficacy results for trial AVF2107g</w:t>
      </w:r>
    </w:p>
    <w:p w14:paraId="0B1AF025" w14:textId="77777777" w:rsidR="005A5348" w:rsidRPr="005910DE" w:rsidRDefault="005A5348" w:rsidP="005E4476"/>
    <w:tbl>
      <w:tblPr>
        <w:tblStyle w:val="TableNormal0"/>
        <w:tblW w:w="5000" w:type="pct"/>
        <w:tblLayout w:type="fixed"/>
        <w:tblCellMar>
          <w:left w:w="108" w:type="dxa"/>
          <w:right w:w="108" w:type="dxa"/>
        </w:tblCellMar>
        <w:tblLook w:val="01E0" w:firstRow="1" w:lastRow="1" w:firstColumn="1" w:lastColumn="1" w:noHBand="0" w:noVBand="0"/>
      </w:tblPr>
      <w:tblGrid>
        <w:gridCol w:w="4056"/>
        <w:gridCol w:w="2569"/>
        <w:gridCol w:w="2433"/>
      </w:tblGrid>
      <w:tr w:rsidR="00A27683" w:rsidRPr="005910DE" w14:paraId="0506F4BF" w14:textId="77777777" w:rsidTr="004228B0">
        <w:trPr>
          <w:trHeight w:val="20"/>
        </w:trPr>
        <w:tc>
          <w:tcPr>
            <w:tcW w:w="3600" w:type="dxa"/>
            <w:vMerge w:val="restart"/>
            <w:tcBorders>
              <w:top w:val="single" w:sz="6" w:space="0" w:color="000000"/>
              <w:left w:val="single" w:sz="6" w:space="0" w:color="000000"/>
              <w:bottom w:val="single" w:sz="6" w:space="0" w:color="000000"/>
              <w:right w:val="single" w:sz="6" w:space="0" w:color="000000"/>
            </w:tcBorders>
          </w:tcPr>
          <w:p w14:paraId="659F9006" w14:textId="77777777" w:rsidR="000A6D0C" w:rsidRPr="005910DE" w:rsidRDefault="000A6D0C" w:rsidP="004325AE">
            <w:pPr>
              <w:pStyle w:val="a5"/>
              <w:keepNext/>
              <w:keepLines/>
              <w:rPr>
                <w:rFonts w:cs="Times New Roman"/>
              </w:rPr>
            </w:pPr>
          </w:p>
        </w:tc>
        <w:tc>
          <w:tcPr>
            <w:tcW w:w="4440" w:type="dxa"/>
            <w:gridSpan w:val="2"/>
            <w:tcBorders>
              <w:top w:val="single" w:sz="6" w:space="0" w:color="000000"/>
              <w:left w:val="single" w:sz="6" w:space="0" w:color="000000"/>
              <w:bottom w:val="single" w:sz="6" w:space="0" w:color="000000"/>
              <w:right w:val="single" w:sz="6" w:space="0" w:color="000000"/>
            </w:tcBorders>
            <w:hideMark/>
          </w:tcPr>
          <w:p w14:paraId="356529F2" w14:textId="77777777" w:rsidR="000A6D0C" w:rsidRPr="005910DE" w:rsidRDefault="00C210A5" w:rsidP="004325AE">
            <w:pPr>
              <w:pStyle w:val="a5"/>
              <w:keepNext/>
              <w:keepLines/>
              <w:jc w:val="center"/>
              <w:rPr>
                <w:rFonts w:cs="Times New Roman"/>
                <w:b/>
                <w:bCs/>
              </w:rPr>
            </w:pPr>
            <w:r w:rsidRPr="005910DE">
              <w:rPr>
                <w:rFonts w:cs="Times New Roman"/>
                <w:b/>
                <w:bCs/>
              </w:rPr>
              <w:t>AVF2107g</w:t>
            </w:r>
          </w:p>
        </w:tc>
      </w:tr>
      <w:tr w:rsidR="00A27683" w:rsidRPr="005910DE" w14:paraId="3474609E" w14:textId="77777777" w:rsidTr="004228B0">
        <w:trPr>
          <w:trHeight w:val="20"/>
        </w:trPr>
        <w:tc>
          <w:tcPr>
            <w:tcW w:w="8040" w:type="dxa"/>
            <w:vMerge/>
            <w:tcBorders>
              <w:top w:val="single" w:sz="6" w:space="0" w:color="000000"/>
              <w:left w:val="single" w:sz="6" w:space="0" w:color="000000"/>
              <w:bottom w:val="single" w:sz="6" w:space="0" w:color="000000"/>
              <w:right w:val="single" w:sz="6" w:space="0" w:color="000000"/>
            </w:tcBorders>
            <w:vAlign w:val="center"/>
            <w:hideMark/>
          </w:tcPr>
          <w:p w14:paraId="76E7EFF7" w14:textId="77777777" w:rsidR="000A6D0C" w:rsidRPr="005910DE" w:rsidRDefault="000A6D0C" w:rsidP="004325AE">
            <w:pPr>
              <w:keepNext/>
              <w:keepLines/>
              <w:rPr>
                <w:rFonts w:ascii="Times New Roman" w:eastAsia="Times New Roman" w:hAnsi="Times New Roman" w:cs="Times New Roman"/>
              </w:rPr>
            </w:pPr>
          </w:p>
        </w:tc>
        <w:tc>
          <w:tcPr>
            <w:tcW w:w="2280" w:type="dxa"/>
            <w:tcBorders>
              <w:top w:val="single" w:sz="6" w:space="0" w:color="000000"/>
              <w:left w:val="single" w:sz="6" w:space="0" w:color="000000"/>
              <w:bottom w:val="single" w:sz="6" w:space="0" w:color="000000"/>
              <w:right w:val="single" w:sz="6" w:space="0" w:color="000000"/>
            </w:tcBorders>
            <w:hideMark/>
          </w:tcPr>
          <w:p w14:paraId="3AEDD9DB" w14:textId="77777777" w:rsidR="000A6D0C" w:rsidRPr="005910DE" w:rsidRDefault="00C210A5" w:rsidP="004325AE">
            <w:pPr>
              <w:pStyle w:val="a5"/>
              <w:keepNext/>
              <w:keepLines/>
              <w:jc w:val="center"/>
              <w:rPr>
                <w:rFonts w:cs="Times New Roman"/>
                <w:b/>
                <w:bCs/>
              </w:rPr>
            </w:pPr>
            <w:r w:rsidRPr="005910DE">
              <w:rPr>
                <w:rFonts w:cs="Times New Roman"/>
                <w:b/>
                <w:bCs/>
              </w:rPr>
              <w:t>Arm 1</w:t>
            </w:r>
          </w:p>
          <w:p w14:paraId="51CB7B9A" w14:textId="77777777" w:rsidR="000A6D0C" w:rsidRPr="005910DE" w:rsidRDefault="00C210A5" w:rsidP="004325AE">
            <w:pPr>
              <w:pStyle w:val="a5"/>
              <w:keepNext/>
              <w:keepLines/>
              <w:jc w:val="center"/>
              <w:rPr>
                <w:rFonts w:cs="Times New Roman"/>
                <w:b/>
                <w:bCs/>
              </w:rPr>
            </w:pPr>
            <w:r w:rsidRPr="005910DE">
              <w:rPr>
                <w:rFonts w:cs="Times New Roman"/>
                <w:b/>
                <w:bCs/>
              </w:rPr>
              <w:t>IFL + placebo</w:t>
            </w:r>
          </w:p>
        </w:tc>
        <w:tc>
          <w:tcPr>
            <w:tcW w:w="2160" w:type="dxa"/>
            <w:tcBorders>
              <w:top w:val="single" w:sz="6" w:space="0" w:color="000000"/>
              <w:left w:val="single" w:sz="6" w:space="0" w:color="000000"/>
              <w:bottom w:val="single" w:sz="6" w:space="0" w:color="000000"/>
              <w:right w:val="single" w:sz="6" w:space="0" w:color="000000"/>
            </w:tcBorders>
            <w:hideMark/>
          </w:tcPr>
          <w:p w14:paraId="0651A302" w14:textId="77777777" w:rsidR="000A6D0C" w:rsidRPr="005910DE" w:rsidRDefault="00C210A5" w:rsidP="004325AE">
            <w:pPr>
              <w:pStyle w:val="a5"/>
              <w:keepNext/>
              <w:keepLines/>
              <w:jc w:val="center"/>
              <w:rPr>
                <w:rFonts w:cs="Times New Roman"/>
                <w:b/>
                <w:bCs/>
              </w:rPr>
            </w:pPr>
            <w:r w:rsidRPr="005910DE">
              <w:rPr>
                <w:rFonts w:cs="Times New Roman"/>
                <w:b/>
                <w:bCs/>
              </w:rPr>
              <w:t>Arm 2</w:t>
            </w:r>
          </w:p>
          <w:p w14:paraId="04E731F6" w14:textId="77777777" w:rsidR="000A6D0C" w:rsidRPr="005910DE" w:rsidRDefault="00C210A5" w:rsidP="004325AE">
            <w:pPr>
              <w:pStyle w:val="a5"/>
              <w:keepNext/>
              <w:keepLines/>
              <w:jc w:val="center"/>
              <w:rPr>
                <w:rFonts w:cs="Times New Roman"/>
                <w:b/>
                <w:bCs/>
              </w:rPr>
            </w:pPr>
            <w:r w:rsidRPr="005910DE">
              <w:rPr>
                <w:rFonts w:cs="Times New Roman"/>
                <w:b/>
                <w:bCs/>
              </w:rPr>
              <w:t>IFL + Bevacizumab</w:t>
            </w:r>
            <w:r w:rsidRPr="005910DE">
              <w:rPr>
                <w:rFonts w:cs="Times New Roman"/>
                <w:b/>
                <w:bCs/>
                <w:vertAlign w:val="superscript"/>
              </w:rPr>
              <w:t>a</w:t>
            </w:r>
          </w:p>
        </w:tc>
      </w:tr>
      <w:tr w:rsidR="00A27683" w:rsidRPr="005910DE" w14:paraId="215BB470"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6FAB545A" w14:textId="77777777" w:rsidR="000A6D0C" w:rsidRPr="005910DE" w:rsidRDefault="00C210A5" w:rsidP="00A86E7C">
            <w:pPr>
              <w:pStyle w:val="a5"/>
              <w:rPr>
                <w:rFonts w:cs="Times New Roman"/>
              </w:rPr>
            </w:pPr>
            <w:r w:rsidRPr="005910DE">
              <w:rPr>
                <w:rFonts w:cs="Times New Roman"/>
              </w:rPr>
              <w:t>Number of patients</w:t>
            </w:r>
          </w:p>
        </w:tc>
        <w:tc>
          <w:tcPr>
            <w:tcW w:w="2280" w:type="dxa"/>
            <w:tcBorders>
              <w:top w:val="single" w:sz="6" w:space="0" w:color="000000"/>
              <w:left w:val="single" w:sz="6" w:space="0" w:color="000000"/>
              <w:bottom w:val="single" w:sz="6" w:space="0" w:color="000000"/>
              <w:right w:val="single" w:sz="6" w:space="0" w:color="000000"/>
            </w:tcBorders>
            <w:hideMark/>
          </w:tcPr>
          <w:p w14:paraId="1AD0016D" w14:textId="77777777" w:rsidR="000A6D0C" w:rsidRPr="005910DE" w:rsidRDefault="00C210A5" w:rsidP="00A86E7C">
            <w:pPr>
              <w:pStyle w:val="a5"/>
              <w:jc w:val="center"/>
              <w:rPr>
                <w:rFonts w:cs="Times New Roman"/>
              </w:rPr>
            </w:pPr>
            <w:r w:rsidRPr="005910DE">
              <w:rPr>
                <w:rFonts w:cs="Times New Roman"/>
              </w:rPr>
              <w:t>411</w:t>
            </w:r>
          </w:p>
        </w:tc>
        <w:tc>
          <w:tcPr>
            <w:tcW w:w="2160" w:type="dxa"/>
            <w:tcBorders>
              <w:top w:val="single" w:sz="6" w:space="0" w:color="000000"/>
              <w:left w:val="single" w:sz="6" w:space="0" w:color="000000"/>
              <w:bottom w:val="single" w:sz="6" w:space="0" w:color="000000"/>
              <w:right w:val="single" w:sz="6" w:space="0" w:color="000000"/>
            </w:tcBorders>
            <w:hideMark/>
          </w:tcPr>
          <w:p w14:paraId="38D36879" w14:textId="77777777" w:rsidR="000A6D0C" w:rsidRPr="005910DE" w:rsidRDefault="00C210A5" w:rsidP="00A86E7C">
            <w:pPr>
              <w:pStyle w:val="a5"/>
              <w:jc w:val="center"/>
              <w:rPr>
                <w:rFonts w:cs="Times New Roman"/>
              </w:rPr>
            </w:pPr>
            <w:r w:rsidRPr="005910DE">
              <w:rPr>
                <w:rFonts w:cs="Times New Roman"/>
              </w:rPr>
              <w:t>402</w:t>
            </w:r>
          </w:p>
        </w:tc>
      </w:tr>
      <w:tr w:rsidR="00A27683" w:rsidRPr="005910DE" w14:paraId="09401877" w14:textId="77777777" w:rsidTr="004228B0">
        <w:trPr>
          <w:trHeight w:val="20"/>
        </w:trPr>
        <w:tc>
          <w:tcPr>
            <w:tcW w:w="8040" w:type="dxa"/>
            <w:gridSpan w:val="3"/>
            <w:tcBorders>
              <w:top w:val="single" w:sz="6" w:space="0" w:color="000000"/>
              <w:left w:val="single" w:sz="6" w:space="0" w:color="000000"/>
              <w:bottom w:val="single" w:sz="6" w:space="0" w:color="000000"/>
              <w:right w:val="single" w:sz="6" w:space="0" w:color="000000"/>
            </w:tcBorders>
            <w:hideMark/>
          </w:tcPr>
          <w:p w14:paraId="5625F54B" w14:textId="77777777" w:rsidR="000A6D0C" w:rsidRPr="005910DE" w:rsidRDefault="00C210A5" w:rsidP="00A86E7C">
            <w:pPr>
              <w:pStyle w:val="a5"/>
              <w:rPr>
                <w:rFonts w:cs="Times New Roman"/>
              </w:rPr>
            </w:pPr>
            <w:r w:rsidRPr="005910DE">
              <w:rPr>
                <w:rFonts w:cs="Times New Roman"/>
              </w:rPr>
              <w:t>Overall survival</w:t>
            </w:r>
          </w:p>
        </w:tc>
      </w:tr>
      <w:tr w:rsidR="00A27683" w:rsidRPr="005910DE" w14:paraId="3642C752"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7AF73504" w14:textId="77777777" w:rsidR="000A6D0C" w:rsidRPr="005910DE" w:rsidRDefault="00C210A5" w:rsidP="00A86E7C">
            <w:pPr>
              <w:pStyle w:val="a5"/>
              <w:ind w:left="284"/>
              <w:rPr>
                <w:rFonts w:cs="Times New Roman"/>
              </w:rPr>
            </w:pPr>
            <w:r w:rsidRPr="005910DE">
              <w:rPr>
                <w:rFonts w:cs="Times New Roman"/>
              </w:rPr>
              <w:t>Median time (months)</w:t>
            </w:r>
          </w:p>
        </w:tc>
        <w:tc>
          <w:tcPr>
            <w:tcW w:w="2280" w:type="dxa"/>
            <w:tcBorders>
              <w:top w:val="single" w:sz="6" w:space="0" w:color="000000"/>
              <w:left w:val="single" w:sz="6" w:space="0" w:color="000000"/>
              <w:bottom w:val="single" w:sz="6" w:space="0" w:color="000000"/>
              <w:right w:val="single" w:sz="6" w:space="0" w:color="000000"/>
            </w:tcBorders>
            <w:hideMark/>
          </w:tcPr>
          <w:p w14:paraId="78B9C599" w14:textId="77777777" w:rsidR="000A6D0C" w:rsidRPr="005910DE" w:rsidRDefault="00C210A5" w:rsidP="00A86E7C">
            <w:pPr>
              <w:pStyle w:val="a5"/>
              <w:jc w:val="center"/>
              <w:rPr>
                <w:rFonts w:cs="Times New Roman"/>
              </w:rPr>
            </w:pPr>
            <w:r w:rsidRPr="005910DE">
              <w:rPr>
                <w:rFonts w:cs="Times New Roman"/>
              </w:rPr>
              <w:t>15.6</w:t>
            </w:r>
          </w:p>
        </w:tc>
        <w:tc>
          <w:tcPr>
            <w:tcW w:w="2160" w:type="dxa"/>
            <w:tcBorders>
              <w:top w:val="single" w:sz="6" w:space="0" w:color="000000"/>
              <w:left w:val="single" w:sz="6" w:space="0" w:color="000000"/>
              <w:bottom w:val="single" w:sz="6" w:space="0" w:color="000000"/>
              <w:right w:val="single" w:sz="6" w:space="0" w:color="000000"/>
            </w:tcBorders>
            <w:hideMark/>
          </w:tcPr>
          <w:p w14:paraId="09DE7532" w14:textId="77777777" w:rsidR="000A6D0C" w:rsidRPr="005910DE" w:rsidRDefault="00C210A5" w:rsidP="00A86E7C">
            <w:pPr>
              <w:pStyle w:val="a5"/>
              <w:jc w:val="center"/>
              <w:rPr>
                <w:rFonts w:cs="Times New Roman"/>
              </w:rPr>
            </w:pPr>
            <w:r w:rsidRPr="005910DE">
              <w:rPr>
                <w:rFonts w:cs="Times New Roman"/>
              </w:rPr>
              <w:t>20.3</w:t>
            </w:r>
          </w:p>
        </w:tc>
      </w:tr>
      <w:tr w:rsidR="00A27683" w:rsidRPr="005910DE" w14:paraId="6E90546E"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3AE56B8F" w14:textId="77777777" w:rsidR="000A6D0C" w:rsidRPr="005910DE" w:rsidRDefault="00C210A5" w:rsidP="00A86E7C">
            <w:pPr>
              <w:pStyle w:val="a5"/>
              <w:ind w:left="567"/>
              <w:rPr>
                <w:rFonts w:cs="Times New Roman"/>
              </w:rPr>
            </w:pPr>
            <w:r w:rsidRPr="005910DE">
              <w:rPr>
                <w:rFonts w:cs="Times New Roman"/>
              </w:rPr>
              <w:t>95% CI</w:t>
            </w:r>
          </w:p>
        </w:tc>
        <w:tc>
          <w:tcPr>
            <w:tcW w:w="2280" w:type="dxa"/>
            <w:tcBorders>
              <w:top w:val="single" w:sz="6" w:space="0" w:color="000000"/>
              <w:left w:val="single" w:sz="6" w:space="0" w:color="000000"/>
              <w:bottom w:val="single" w:sz="6" w:space="0" w:color="000000"/>
              <w:right w:val="single" w:sz="6" w:space="0" w:color="000000"/>
            </w:tcBorders>
            <w:hideMark/>
          </w:tcPr>
          <w:p w14:paraId="0E5C0D77" w14:textId="77777777" w:rsidR="000A6D0C" w:rsidRPr="005910DE" w:rsidRDefault="00C210A5" w:rsidP="00A86E7C">
            <w:pPr>
              <w:pStyle w:val="a5"/>
              <w:jc w:val="center"/>
              <w:rPr>
                <w:rFonts w:cs="Times New Roman"/>
              </w:rPr>
            </w:pPr>
            <w:r w:rsidRPr="005910DE">
              <w:rPr>
                <w:rFonts w:cs="Times New Roman"/>
              </w:rPr>
              <w:t>14.29 – 16.99</w:t>
            </w:r>
          </w:p>
        </w:tc>
        <w:tc>
          <w:tcPr>
            <w:tcW w:w="2160" w:type="dxa"/>
            <w:tcBorders>
              <w:top w:val="single" w:sz="6" w:space="0" w:color="000000"/>
              <w:left w:val="single" w:sz="6" w:space="0" w:color="000000"/>
              <w:bottom w:val="single" w:sz="6" w:space="0" w:color="000000"/>
              <w:right w:val="single" w:sz="6" w:space="0" w:color="000000"/>
            </w:tcBorders>
            <w:hideMark/>
          </w:tcPr>
          <w:p w14:paraId="7C7D50C3" w14:textId="77777777" w:rsidR="000A6D0C" w:rsidRPr="005910DE" w:rsidRDefault="00C210A5" w:rsidP="00A86E7C">
            <w:pPr>
              <w:pStyle w:val="a5"/>
              <w:jc w:val="center"/>
              <w:rPr>
                <w:rFonts w:cs="Times New Roman"/>
              </w:rPr>
            </w:pPr>
            <w:r w:rsidRPr="005910DE">
              <w:rPr>
                <w:rFonts w:cs="Times New Roman"/>
              </w:rPr>
              <w:t>18.46 – 24.18</w:t>
            </w:r>
          </w:p>
        </w:tc>
      </w:tr>
      <w:tr w:rsidR="00A27683" w:rsidRPr="005910DE" w14:paraId="0175F7DD"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3203E916" w14:textId="77777777" w:rsidR="000A6D0C" w:rsidRPr="005910DE" w:rsidRDefault="00C210A5" w:rsidP="00A86E7C">
            <w:pPr>
              <w:pStyle w:val="a5"/>
              <w:ind w:left="284"/>
              <w:rPr>
                <w:rFonts w:cs="Times New Roman"/>
              </w:rPr>
            </w:pPr>
            <w:r w:rsidRPr="005910DE">
              <w:rPr>
                <w:rFonts w:cs="Times New Roman"/>
              </w:rPr>
              <w:t>Hazard ratio</w:t>
            </w:r>
            <w:r w:rsidRPr="005910DE">
              <w:rPr>
                <w:rFonts w:cs="Times New Roman"/>
                <w:vertAlign w:val="superscript"/>
              </w:rPr>
              <w:t>b</w:t>
            </w:r>
          </w:p>
        </w:tc>
        <w:tc>
          <w:tcPr>
            <w:tcW w:w="4440" w:type="dxa"/>
            <w:gridSpan w:val="2"/>
            <w:tcBorders>
              <w:top w:val="single" w:sz="6" w:space="0" w:color="000000"/>
              <w:left w:val="single" w:sz="6" w:space="0" w:color="000000"/>
              <w:bottom w:val="single" w:sz="6" w:space="0" w:color="000000"/>
              <w:right w:val="single" w:sz="6" w:space="0" w:color="000000"/>
            </w:tcBorders>
            <w:hideMark/>
          </w:tcPr>
          <w:p w14:paraId="5B11C4D6" w14:textId="77777777" w:rsidR="000A6D0C" w:rsidRPr="005910DE" w:rsidRDefault="00C210A5" w:rsidP="00A86E7C">
            <w:pPr>
              <w:pStyle w:val="a5"/>
              <w:jc w:val="center"/>
              <w:rPr>
                <w:rFonts w:cs="Times New Roman"/>
              </w:rPr>
            </w:pPr>
            <w:r w:rsidRPr="005910DE">
              <w:rPr>
                <w:rFonts w:cs="Times New Roman"/>
              </w:rPr>
              <w:t>0.660</w:t>
            </w:r>
          </w:p>
          <w:p w14:paraId="53B92965" w14:textId="695EE303" w:rsidR="000A6D0C" w:rsidRPr="005910DE" w:rsidRDefault="00C210A5" w:rsidP="00A86E7C">
            <w:pPr>
              <w:pStyle w:val="a5"/>
              <w:jc w:val="center"/>
              <w:rPr>
                <w:rFonts w:cs="Times New Roman"/>
              </w:rPr>
            </w:pPr>
            <w:r w:rsidRPr="005910DE">
              <w:rPr>
                <w:rFonts w:cs="Times New Roman"/>
              </w:rPr>
              <w:t>(p</w:t>
            </w:r>
            <w:r w:rsidR="00FD0731" w:rsidRPr="005910DE">
              <w:rPr>
                <w:rFonts w:cs="Times New Roman"/>
              </w:rPr>
              <w:noBreakHyphen/>
            </w:r>
            <w:r w:rsidRPr="005910DE">
              <w:rPr>
                <w:rFonts w:cs="Times New Roman"/>
              </w:rPr>
              <w:t>value = 0.00004)</w:t>
            </w:r>
          </w:p>
        </w:tc>
      </w:tr>
      <w:tr w:rsidR="00A27683" w:rsidRPr="005910DE" w14:paraId="4D534C13" w14:textId="77777777" w:rsidTr="004228B0">
        <w:trPr>
          <w:trHeight w:val="20"/>
        </w:trPr>
        <w:tc>
          <w:tcPr>
            <w:tcW w:w="8040" w:type="dxa"/>
            <w:gridSpan w:val="3"/>
            <w:tcBorders>
              <w:top w:val="single" w:sz="6" w:space="0" w:color="000000"/>
              <w:left w:val="single" w:sz="6" w:space="0" w:color="000000"/>
              <w:bottom w:val="single" w:sz="6" w:space="0" w:color="000000"/>
              <w:right w:val="single" w:sz="6" w:space="0" w:color="000000"/>
            </w:tcBorders>
            <w:hideMark/>
          </w:tcPr>
          <w:p w14:paraId="25B2898A" w14:textId="7837D5AF" w:rsidR="000A6D0C" w:rsidRPr="005910DE" w:rsidRDefault="00C210A5" w:rsidP="00A86E7C">
            <w:pPr>
              <w:pStyle w:val="a5"/>
              <w:rPr>
                <w:rFonts w:cs="Times New Roman"/>
              </w:rPr>
            </w:pPr>
            <w:r w:rsidRPr="005910DE">
              <w:rPr>
                <w:rFonts w:cs="Times New Roman"/>
              </w:rPr>
              <w:t>Progression</w:t>
            </w:r>
            <w:r w:rsidR="00FD0731" w:rsidRPr="005910DE">
              <w:rPr>
                <w:rFonts w:cs="Times New Roman"/>
              </w:rPr>
              <w:noBreakHyphen/>
            </w:r>
            <w:r w:rsidRPr="005910DE">
              <w:rPr>
                <w:rFonts w:cs="Times New Roman"/>
              </w:rPr>
              <w:t>free survival</w:t>
            </w:r>
          </w:p>
        </w:tc>
      </w:tr>
      <w:tr w:rsidR="00A27683" w:rsidRPr="005910DE" w14:paraId="6C831EBB"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0F9A4B30" w14:textId="77777777" w:rsidR="000A6D0C" w:rsidRPr="005910DE" w:rsidRDefault="00C210A5" w:rsidP="00A86E7C">
            <w:pPr>
              <w:pStyle w:val="a5"/>
              <w:ind w:left="284"/>
              <w:rPr>
                <w:rFonts w:cs="Times New Roman"/>
              </w:rPr>
            </w:pPr>
            <w:r w:rsidRPr="005910DE">
              <w:rPr>
                <w:rFonts w:cs="Times New Roman"/>
              </w:rPr>
              <w:t>Median time (months)</w:t>
            </w:r>
          </w:p>
        </w:tc>
        <w:tc>
          <w:tcPr>
            <w:tcW w:w="2280" w:type="dxa"/>
            <w:tcBorders>
              <w:top w:val="single" w:sz="6" w:space="0" w:color="000000"/>
              <w:left w:val="single" w:sz="6" w:space="0" w:color="000000"/>
              <w:bottom w:val="single" w:sz="6" w:space="0" w:color="000000"/>
              <w:right w:val="single" w:sz="6" w:space="0" w:color="000000"/>
            </w:tcBorders>
            <w:hideMark/>
          </w:tcPr>
          <w:p w14:paraId="2D4316CD" w14:textId="77777777" w:rsidR="000A6D0C" w:rsidRPr="005910DE" w:rsidRDefault="00C210A5" w:rsidP="00A86E7C">
            <w:pPr>
              <w:pStyle w:val="a5"/>
              <w:jc w:val="center"/>
              <w:rPr>
                <w:rFonts w:cs="Times New Roman"/>
              </w:rPr>
            </w:pPr>
            <w:r w:rsidRPr="005910DE">
              <w:rPr>
                <w:rFonts w:cs="Times New Roman"/>
              </w:rPr>
              <w:t>6.2</w:t>
            </w:r>
          </w:p>
        </w:tc>
        <w:tc>
          <w:tcPr>
            <w:tcW w:w="2160" w:type="dxa"/>
            <w:tcBorders>
              <w:top w:val="single" w:sz="6" w:space="0" w:color="000000"/>
              <w:left w:val="single" w:sz="6" w:space="0" w:color="000000"/>
              <w:bottom w:val="single" w:sz="6" w:space="0" w:color="000000"/>
              <w:right w:val="single" w:sz="6" w:space="0" w:color="000000"/>
            </w:tcBorders>
            <w:hideMark/>
          </w:tcPr>
          <w:p w14:paraId="01CE9051" w14:textId="77777777" w:rsidR="000A6D0C" w:rsidRPr="005910DE" w:rsidRDefault="00C210A5" w:rsidP="00A86E7C">
            <w:pPr>
              <w:pStyle w:val="a5"/>
              <w:jc w:val="center"/>
              <w:rPr>
                <w:rFonts w:cs="Times New Roman"/>
              </w:rPr>
            </w:pPr>
            <w:r w:rsidRPr="005910DE">
              <w:rPr>
                <w:rFonts w:cs="Times New Roman"/>
              </w:rPr>
              <w:t>10.6</w:t>
            </w:r>
          </w:p>
        </w:tc>
      </w:tr>
      <w:tr w:rsidR="00A27683" w:rsidRPr="005910DE" w14:paraId="60662B72"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7D3EEBAF" w14:textId="77777777" w:rsidR="000A6D0C" w:rsidRPr="005910DE" w:rsidRDefault="00C210A5" w:rsidP="00A86E7C">
            <w:pPr>
              <w:pStyle w:val="a5"/>
              <w:ind w:left="284"/>
              <w:rPr>
                <w:rFonts w:cs="Times New Roman"/>
              </w:rPr>
            </w:pPr>
            <w:r w:rsidRPr="005910DE">
              <w:rPr>
                <w:rFonts w:cs="Times New Roman"/>
              </w:rPr>
              <w:t>Hazard ratio</w:t>
            </w:r>
          </w:p>
        </w:tc>
        <w:tc>
          <w:tcPr>
            <w:tcW w:w="4440" w:type="dxa"/>
            <w:gridSpan w:val="2"/>
            <w:tcBorders>
              <w:top w:val="single" w:sz="6" w:space="0" w:color="000000"/>
              <w:left w:val="single" w:sz="6" w:space="0" w:color="000000"/>
              <w:bottom w:val="single" w:sz="6" w:space="0" w:color="000000"/>
              <w:right w:val="single" w:sz="6" w:space="0" w:color="000000"/>
            </w:tcBorders>
            <w:hideMark/>
          </w:tcPr>
          <w:p w14:paraId="71E4A42A" w14:textId="77777777" w:rsidR="000A6D0C" w:rsidRPr="005910DE" w:rsidRDefault="00C210A5" w:rsidP="00A86E7C">
            <w:pPr>
              <w:pStyle w:val="a5"/>
              <w:jc w:val="center"/>
              <w:rPr>
                <w:rFonts w:cs="Times New Roman"/>
              </w:rPr>
            </w:pPr>
            <w:r w:rsidRPr="005910DE">
              <w:rPr>
                <w:rFonts w:cs="Times New Roman"/>
              </w:rPr>
              <w:t>0.54</w:t>
            </w:r>
          </w:p>
          <w:p w14:paraId="6B7AC861" w14:textId="110D947C" w:rsidR="000A6D0C" w:rsidRPr="005910DE" w:rsidRDefault="00C210A5" w:rsidP="00A86E7C">
            <w:pPr>
              <w:pStyle w:val="a5"/>
              <w:jc w:val="center"/>
              <w:rPr>
                <w:rFonts w:cs="Times New Roman"/>
              </w:rPr>
            </w:pPr>
            <w:r w:rsidRPr="005910DE">
              <w:rPr>
                <w:rFonts w:cs="Times New Roman"/>
              </w:rPr>
              <w:t>(p</w:t>
            </w:r>
            <w:r w:rsidR="00FD0731" w:rsidRPr="005910DE">
              <w:rPr>
                <w:rFonts w:cs="Times New Roman"/>
              </w:rPr>
              <w:noBreakHyphen/>
            </w:r>
            <w:r w:rsidRPr="005910DE">
              <w:rPr>
                <w:rFonts w:cs="Times New Roman"/>
              </w:rPr>
              <w:t>value &lt; 0.0001)</w:t>
            </w:r>
          </w:p>
        </w:tc>
      </w:tr>
      <w:tr w:rsidR="00A27683" w:rsidRPr="005910DE" w14:paraId="1AE29437" w14:textId="77777777" w:rsidTr="004228B0">
        <w:trPr>
          <w:trHeight w:val="20"/>
        </w:trPr>
        <w:tc>
          <w:tcPr>
            <w:tcW w:w="8040" w:type="dxa"/>
            <w:gridSpan w:val="3"/>
            <w:tcBorders>
              <w:top w:val="single" w:sz="6" w:space="0" w:color="000000"/>
              <w:left w:val="single" w:sz="6" w:space="0" w:color="000000"/>
              <w:bottom w:val="single" w:sz="6" w:space="0" w:color="000000"/>
              <w:right w:val="single" w:sz="6" w:space="0" w:color="000000"/>
            </w:tcBorders>
            <w:hideMark/>
          </w:tcPr>
          <w:p w14:paraId="4A9D9825" w14:textId="77777777" w:rsidR="000A6D0C" w:rsidRPr="005910DE" w:rsidRDefault="00C210A5" w:rsidP="00A86E7C">
            <w:pPr>
              <w:pStyle w:val="a5"/>
              <w:rPr>
                <w:rFonts w:cs="Times New Roman"/>
              </w:rPr>
            </w:pPr>
            <w:r w:rsidRPr="005910DE">
              <w:rPr>
                <w:rFonts w:cs="Times New Roman"/>
              </w:rPr>
              <w:t>Overall response rate</w:t>
            </w:r>
          </w:p>
        </w:tc>
      </w:tr>
      <w:tr w:rsidR="00A27683" w:rsidRPr="005910DE" w14:paraId="2B98EE4C"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hideMark/>
          </w:tcPr>
          <w:p w14:paraId="015CD47B" w14:textId="77777777" w:rsidR="000A6D0C" w:rsidRPr="005910DE" w:rsidRDefault="00C210A5" w:rsidP="00A86E7C">
            <w:pPr>
              <w:pStyle w:val="a5"/>
              <w:ind w:left="284"/>
              <w:rPr>
                <w:rFonts w:cs="Times New Roman"/>
              </w:rPr>
            </w:pPr>
            <w:r w:rsidRPr="005910DE">
              <w:rPr>
                <w:rFonts w:cs="Times New Roman"/>
              </w:rPr>
              <w:t>Rate (%)</w:t>
            </w:r>
          </w:p>
        </w:tc>
        <w:tc>
          <w:tcPr>
            <w:tcW w:w="2280" w:type="dxa"/>
            <w:tcBorders>
              <w:top w:val="single" w:sz="6" w:space="0" w:color="000000"/>
              <w:left w:val="single" w:sz="6" w:space="0" w:color="000000"/>
              <w:bottom w:val="single" w:sz="6" w:space="0" w:color="000000"/>
              <w:right w:val="single" w:sz="6" w:space="0" w:color="000000"/>
            </w:tcBorders>
            <w:hideMark/>
          </w:tcPr>
          <w:p w14:paraId="615025A2" w14:textId="77777777" w:rsidR="000A6D0C" w:rsidRPr="005910DE" w:rsidRDefault="00C210A5" w:rsidP="00A86E7C">
            <w:pPr>
              <w:pStyle w:val="a5"/>
              <w:jc w:val="center"/>
              <w:rPr>
                <w:rFonts w:cs="Times New Roman"/>
              </w:rPr>
            </w:pPr>
            <w:r w:rsidRPr="005910DE">
              <w:rPr>
                <w:rFonts w:cs="Times New Roman"/>
              </w:rPr>
              <w:t>34.8</w:t>
            </w:r>
          </w:p>
        </w:tc>
        <w:tc>
          <w:tcPr>
            <w:tcW w:w="2160" w:type="dxa"/>
            <w:tcBorders>
              <w:top w:val="single" w:sz="6" w:space="0" w:color="000000"/>
              <w:left w:val="single" w:sz="6" w:space="0" w:color="000000"/>
              <w:bottom w:val="single" w:sz="6" w:space="0" w:color="000000"/>
              <w:right w:val="single" w:sz="6" w:space="0" w:color="000000"/>
            </w:tcBorders>
            <w:hideMark/>
          </w:tcPr>
          <w:p w14:paraId="5AC0A579" w14:textId="77777777" w:rsidR="000A6D0C" w:rsidRPr="005910DE" w:rsidRDefault="00C210A5" w:rsidP="00A86E7C">
            <w:pPr>
              <w:pStyle w:val="a5"/>
              <w:jc w:val="center"/>
              <w:rPr>
                <w:rFonts w:cs="Times New Roman"/>
              </w:rPr>
            </w:pPr>
            <w:r w:rsidRPr="005910DE">
              <w:rPr>
                <w:rFonts w:cs="Times New Roman"/>
              </w:rPr>
              <w:t>44.8</w:t>
            </w:r>
          </w:p>
        </w:tc>
      </w:tr>
      <w:tr w:rsidR="00A27683" w:rsidRPr="005910DE" w14:paraId="27437FA4" w14:textId="77777777" w:rsidTr="004228B0">
        <w:trPr>
          <w:trHeight w:val="20"/>
        </w:trPr>
        <w:tc>
          <w:tcPr>
            <w:tcW w:w="3600" w:type="dxa"/>
            <w:tcBorders>
              <w:top w:val="single" w:sz="6" w:space="0" w:color="000000"/>
              <w:left w:val="single" w:sz="6" w:space="0" w:color="000000"/>
              <w:bottom w:val="single" w:sz="6" w:space="0" w:color="000000"/>
              <w:right w:val="single" w:sz="6" w:space="0" w:color="000000"/>
            </w:tcBorders>
          </w:tcPr>
          <w:p w14:paraId="24FA9D32" w14:textId="77777777" w:rsidR="000A6D0C" w:rsidRPr="005910DE" w:rsidRDefault="000A6D0C" w:rsidP="00A86E7C">
            <w:pPr>
              <w:pStyle w:val="a5"/>
              <w:rPr>
                <w:rFonts w:cs="Times New Roman"/>
              </w:rPr>
            </w:pPr>
          </w:p>
        </w:tc>
        <w:tc>
          <w:tcPr>
            <w:tcW w:w="4440" w:type="dxa"/>
            <w:gridSpan w:val="2"/>
            <w:tcBorders>
              <w:top w:val="single" w:sz="6" w:space="0" w:color="000000"/>
              <w:left w:val="single" w:sz="6" w:space="0" w:color="000000"/>
              <w:bottom w:val="single" w:sz="6" w:space="0" w:color="000000"/>
              <w:right w:val="single" w:sz="6" w:space="0" w:color="000000"/>
            </w:tcBorders>
            <w:hideMark/>
          </w:tcPr>
          <w:p w14:paraId="3D6D5ADC" w14:textId="510620E7" w:rsidR="000A6D0C" w:rsidRPr="005910DE" w:rsidRDefault="00C210A5" w:rsidP="00A86E7C">
            <w:pPr>
              <w:pStyle w:val="a5"/>
              <w:jc w:val="center"/>
              <w:rPr>
                <w:rFonts w:cs="Times New Roman"/>
              </w:rPr>
            </w:pPr>
            <w:r w:rsidRPr="005910DE">
              <w:rPr>
                <w:rFonts w:cs="Times New Roman"/>
              </w:rPr>
              <w:t>(p</w:t>
            </w:r>
            <w:r w:rsidR="00FD0731" w:rsidRPr="005910DE">
              <w:rPr>
                <w:rFonts w:cs="Times New Roman"/>
              </w:rPr>
              <w:noBreakHyphen/>
            </w:r>
            <w:r w:rsidRPr="005910DE">
              <w:rPr>
                <w:rFonts w:cs="Times New Roman"/>
              </w:rPr>
              <w:t>value = 0.0036)</w:t>
            </w:r>
          </w:p>
        </w:tc>
      </w:tr>
    </w:tbl>
    <w:p w14:paraId="7A8D44D4" w14:textId="77777777" w:rsidR="003B4193" w:rsidRPr="005910DE" w:rsidRDefault="00C210A5" w:rsidP="00A86E7C">
      <w:pPr>
        <w:pStyle w:val="a5"/>
        <w:widowControl/>
        <w:adjustRightInd w:val="0"/>
        <w:snapToGrid w:val="0"/>
        <w:rPr>
          <w:color w:val="000000"/>
          <w:sz w:val="18"/>
          <w:szCs w:val="18"/>
          <w:lang w:val="en-GB"/>
        </w:rPr>
      </w:pPr>
      <w:r w:rsidRPr="005910DE">
        <w:rPr>
          <w:color w:val="000000"/>
          <w:sz w:val="18"/>
          <w:szCs w:val="18"/>
          <w:vertAlign w:val="superscript"/>
          <w:lang w:val="en-GB"/>
        </w:rPr>
        <w:t>a</w:t>
      </w:r>
      <w:r w:rsidRPr="005910DE">
        <w:rPr>
          <w:color w:val="000000"/>
          <w:sz w:val="18"/>
          <w:szCs w:val="18"/>
          <w:lang w:val="en-GB"/>
        </w:rPr>
        <w:t xml:space="preserve"> 5 mg/kg every 2 weeks.</w:t>
      </w:r>
    </w:p>
    <w:p w14:paraId="1D2A23FC" w14:textId="128D9B8D" w:rsidR="00047E69" w:rsidRPr="005910DE" w:rsidRDefault="00C210A5" w:rsidP="00A86E7C">
      <w:pPr>
        <w:pStyle w:val="a5"/>
        <w:widowControl/>
        <w:adjustRightInd w:val="0"/>
        <w:snapToGrid w:val="0"/>
      </w:pPr>
      <w:r w:rsidRPr="005910DE">
        <w:rPr>
          <w:color w:val="000000"/>
          <w:sz w:val="18"/>
          <w:szCs w:val="18"/>
          <w:vertAlign w:val="superscript"/>
          <w:lang w:val="en-GB"/>
        </w:rPr>
        <w:t>b</w:t>
      </w:r>
      <w:r w:rsidRPr="005910DE">
        <w:rPr>
          <w:color w:val="000000"/>
          <w:sz w:val="18"/>
          <w:szCs w:val="18"/>
          <w:lang w:val="en-GB"/>
        </w:rPr>
        <w:t xml:space="preserve"> Relative to control arm.</w:t>
      </w:r>
    </w:p>
    <w:p w14:paraId="74B333CA" w14:textId="77777777" w:rsidR="00047E69" w:rsidRPr="005910DE" w:rsidRDefault="00047E69" w:rsidP="003667FF">
      <w:pPr>
        <w:adjustRightInd w:val="0"/>
        <w:snapToGrid w:val="0"/>
        <w:rPr>
          <w:rFonts w:ascii="Times New Roman" w:eastAsia="Times New Roman" w:hAnsi="Times New Roman" w:cs="Times New Roman"/>
          <w:sz w:val="15"/>
          <w:szCs w:val="15"/>
        </w:rPr>
      </w:pPr>
    </w:p>
    <w:p w14:paraId="19D6C3E5" w14:textId="241F6720" w:rsidR="00047E69" w:rsidRPr="005910DE" w:rsidRDefault="00C210A5" w:rsidP="003667FF">
      <w:pPr>
        <w:pStyle w:val="a5"/>
        <w:adjustRightInd w:val="0"/>
        <w:snapToGrid w:val="0"/>
      </w:pPr>
      <w:r w:rsidRPr="005910DE">
        <w:t>Among the 110 patients randomised to Arm 3 (5</w:t>
      </w:r>
      <w:r w:rsidR="00FD0731" w:rsidRPr="005910DE">
        <w:noBreakHyphen/>
      </w:r>
      <w:r w:rsidRPr="005910DE">
        <w:t xml:space="preserve">FU/FA + Bevacizumab) prior to discontinuation of this arm, the median </w:t>
      </w:r>
      <w:r w:rsidR="00410031" w:rsidRPr="005910DE">
        <w:t>OS</w:t>
      </w:r>
      <w:r w:rsidRPr="005910DE">
        <w:t xml:space="preserve"> was 18.3 months and the median </w:t>
      </w:r>
      <w:r w:rsidR="00410031" w:rsidRPr="005910DE">
        <w:t xml:space="preserve">PFS </w:t>
      </w:r>
      <w:r w:rsidRPr="005910DE">
        <w:t>was</w:t>
      </w:r>
      <w:r w:rsidR="00EF068E" w:rsidRPr="005910DE">
        <w:t xml:space="preserve"> </w:t>
      </w:r>
      <w:r w:rsidRPr="005910DE">
        <w:t>8.8 months.</w:t>
      </w:r>
    </w:p>
    <w:p w14:paraId="5F25F73D" w14:textId="77777777" w:rsidR="00047E69" w:rsidRPr="005910DE" w:rsidRDefault="00047E69" w:rsidP="003667FF">
      <w:pPr>
        <w:adjustRightInd w:val="0"/>
        <w:snapToGrid w:val="0"/>
        <w:rPr>
          <w:rFonts w:ascii="Times New Roman" w:eastAsia="Times New Roman" w:hAnsi="Times New Roman" w:cs="Times New Roman"/>
        </w:rPr>
      </w:pPr>
    </w:p>
    <w:p w14:paraId="4E8AD133" w14:textId="77777777" w:rsidR="00047E69" w:rsidRPr="005910DE" w:rsidRDefault="00C210A5" w:rsidP="003667FF">
      <w:pPr>
        <w:adjustRightInd w:val="0"/>
        <w:snapToGrid w:val="0"/>
        <w:rPr>
          <w:rFonts w:ascii="Times New Roman" w:eastAsia="Times New Roman" w:hAnsi="Times New Roman" w:cs="Times New Roman"/>
        </w:rPr>
      </w:pPr>
      <w:r w:rsidRPr="005910DE">
        <w:rPr>
          <w:rFonts w:ascii="Times New Roman"/>
          <w:i/>
        </w:rPr>
        <w:t>AVF2192g</w:t>
      </w:r>
    </w:p>
    <w:p w14:paraId="3E887CE6" w14:textId="74201260" w:rsidR="00047E69" w:rsidRPr="005910DE" w:rsidRDefault="00C210A5" w:rsidP="003667FF">
      <w:pPr>
        <w:pStyle w:val="a5"/>
        <w:adjustRightInd w:val="0"/>
        <w:snapToGrid w:val="0"/>
      </w:pPr>
      <w:r w:rsidRPr="005910DE">
        <w:t>This was a phase II randomised, double</w:t>
      </w:r>
      <w:r w:rsidR="00FD0731" w:rsidRPr="005910DE">
        <w:noBreakHyphen/>
      </w:r>
      <w:r w:rsidRPr="005910DE">
        <w:t>blind, active</w:t>
      </w:r>
      <w:r w:rsidR="00FD0731" w:rsidRPr="005910DE">
        <w:noBreakHyphen/>
      </w:r>
      <w:r w:rsidRPr="005910DE">
        <w:t>controlled clinical trial evaluating the efficacy and safety of bevacizumab in combination with 5</w:t>
      </w:r>
      <w:r w:rsidR="00FD0731" w:rsidRPr="005910DE">
        <w:noBreakHyphen/>
      </w:r>
      <w:r w:rsidRPr="005910DE">
        <w:t>FU/FA as first</w:t>
      </w:r>
      <w:r w:rsidR="00FD0731" w:rsidRPr="005910DE">
        <w:noBreakHyphen/>
      </w:r>
      <w:r w:rsidRPr="005910DE">
        <w:t>line treatment for metastatic colorectal cancer in patients who were not optimal candidates for first</w:t>
      </w:r>
      <w:r w:rsidR="00FD0731" w:rsidRPr="005910DE">
        <w:noBreakHyphen/>
      </w:r>
      <w:r w:rsidRPr="005910DE">
        <w:t>line irinotecan treatment. One hundred and five patients were randomised to 5</w:t>
      </w:r>
      <w:r w:rsidR="00FD0731" w:rsidRPr="005910DE">
        <w:noBreakHyphen/>
      </w:r>
      <w:r w:rsidRPr="005910DE">
        <w:t>FU/FA + placebo arm and 104 patients to 5</w:t>
      </w:r>
      <w:r w:rsidR="00FD0731" w:rsidRPr="005910DE">
        <w:noBreakHyphen/>
      </w:r>
      <w:r w:rsidRPr="005910DE">
        <w:t>FU/FA + bevacizumab (5 mg/kg every 2 weeks) arm. All treatments were continued until disease progression. The addition of bevacizumab 5 mg/kg every two weeks to 5</w:t>
      </w:r>
      <w:r w:rsidR="00FD0731" w:rsidRPr="005910DE">
        <w:noBreakHyphen/>
      </w:r>
      <w:r w:rsidRPr="005910DE">
        <w:t xml:space="preserve">FU/FA resulted in higher objective response rates, significantly longer </w:t>
      </w:r>
      <w:r w:rsidR="00A135EE" w:rsidRPr="005910DE">
        <w:t>PFS</w:t>
      </w:r>
      <w:r w:rsidRPr="005910DE">
        <w:t>, and a trend in longer survival as compared to 5</w:t>
      </w:r>
      <w:r w:rsidR="00FD0731" w:rsidRPr="005910DE">
        <w:noBreakHyphen/>
      </w:r>
      <w:r w:rsidRPr="005910DE">
        <w:t>FU/FA chemotherapy alone.</w:t>
      </w:r>
    </w:p>
    <w:p w14:paraId="152C6890" w14:textId="77777777" w:rsidR="00047E69" w:rsidRPr="005910DE" w:rsidRDefault="00047E69" w:rsidP="003667FF">
      <w:pPr>
        <w:adjustRightInd w:val="0"/>
        <w:snapToGrid w:val="0"/>
        <w:rPr>
          <w:rFonts w:ascii="Times New Roman" w:eastAsia="Times New Roman" w:hAnsi="Times New Roman" w:cs="Times New Roman"/>
        </w:rPr>
      </w:pPr>
    </w:p>
    <w:p w14:paraId="63B40A18" w14:textId="77777777" w:rsidR="00047E69" w:rsidRPr="005910DE" w:rsidRDefault="00C210A5" w:rsidP="003667FF">
      <w:pPr>
        <w:adjustRightInd w:val="0"/>
        <w:snapToGrid w:val="0"/>
        <w:rPr>
          <w:rFonts w:ascii="Times New Roman" w:eastAsia="Times New Roman" w:hAnsi="Times New Roman" w:cs="Times New Roman"/>
        </w:rPr>
      </w:pPr>
      <w:r w:rsidRPr="005910DE">
        <w:rPr>
          <w:rFonts w:ascii="Times New Roman"/>
          <w:i/>
        </w:rPr>
        <w:t>AVF0780g</w:t>
      </w:r>
    </w:p>
    <w:p w14:paraId="75DD8B22" w14:textId="35A10D41" w:rsidR="00047E69" w:rsidRPr="00A37F13" w:rsidRDefault="00C210A5" w:rsidP="003667FF">
      <w:pPr>
        <w:pStyle w:val="a5"/>
        <w:adjustRightInd w:val="0"/>
        <w:snapToGrid w:val="0"/>
      </w:pPr>
      <w:r w:rsidRPr="005910DE">
        <w:t>This was a phase II randomised, active</w:t>
      </w:r>
      <w:r w:rsidR="00FD0731" w:rsidRPr="005910DE">
        <w:noBreakHyphen/>
      </w:r>
      <w:r w:rsidRPr="005910DE">
        <w:t>controlled, open</w:t>
      </w:r>
      <w:r w:rsidR="00FD0731" w:rsidRPr="005910DE">
        <w:noBreakHyphen/>
      </w:r>
      <w:r w:rsidRPr="005910DE">
        <w:t xml:space="preserve">labelled clinical trial investigating </w:t>
      </w:r>
      <w:r w:rsidRPr="00A37F13">
        <w:t>bevacizumab in combination with 5</w:t>
      </w:r>
      <w:r w:rsidR="00FD0731" w:rsidRPr="00A37F13">
        <w:noBreakHyphen/>
      </w:r>
      <w:r w:rsidRPr="00A37F13">
        <w:t>FU/FA as first</w:t>
      </w:r>
      <w:r w:rsidR="00FD0731" w:rsidRPr="00A37F13">
        <w:noBreakHyphen/>
      </w:r>
      <w:r w:rsidRPr="00A37F13">
        <w:t>line treatment of metastatic colorectal cancer. The median age was 64 years. 19% of the patients had received prior chemotherapy and 14% prior radiotherapy.</w:t>
      </w:r>
      <w:r w:rsidR="005910DE" w:rsidRPr="00A37F13">
        <w:rPr>
          <w:rFonts w:eastAsiaTheme="minorEastAsia" w:hint="eastAsia"/>
          <w:lang w:eastAsia="ko-KR"/>
        </w:rPr>
        <w:t xml:space="preserve"> </w:t>
      </w:r>
      <w:r w:rsidRPr="00A37F13">
        <w:t>Seventy-one patients were randomised to receive bolus 5</w:t>
      </w:r>
      <w:r w:rsidR="00FD0731" w:rsidRPr="00A37F13">
        <w:noBreakHyphen/>
      </w:r>
      <w:r w:rsidRPr="00A37F13">
        <w:t>FU/FA or 5</w:t>
      </w:r>
      <w:r w:rsidR="00FD0731" w:rsidRPr="00A37F13">
        <w:noBreakHyphen/>
      </w:r>
      <w:r w:rsidRPr="00A37F13">
        <w:t xml:space="preserve">FU/FA </w:t>
      </w:r>
      <w:r w:rsidRPr="00A37F13">
        <w:rPr>
          <w:rFonts w:ascii="Symbol" w:eastAsia="Symbol" w:hAnsi="Symbol" w:cs="Symbol"/>
        </w:rPr>
        <w:sym w:font="Symbol" w:char="F02B"/>
      </w:r>
      <w:r w:rsidRPr="00A37F13">
        <w:rPr>
          <w:rFonts w:ascii="Symbol" w:eastAsia="Symbol" w:hAnsi="Symbol" w:cs="Symbol"/>
        </w:rPr>
        <w:sym w:font="Symbol" w:char="F020"/>
      </w:r>
      <w:r w:rsidRPr="00A37F13">
        <w:t>bevacizumab (5 mg/kg every 2 weeks). A third group of 33 patients received bolus 5</w:t>
      </w:r>
      <w:r w:rsidR="00FD0731" w:rsidRPr="00A37F13">
        <w:noBreakHyphen/>
      </w:r>
      <w:r w:rsidRPr="00A37F13">
        <w:t xml:space="preserve">FU/FA </w:t>
      </w:r>
      <w:r w:rsidRPr="00A37F13">
        <w:rPr>
          <w:rFonts w:ascii="Symbol" w:eastAsia="Symbol" w:hAnsi="Symbol" w:cs="Symbol"/>
        </w:rPr>
        <w:sym w:font="Symbol" w:char="F02B"/>
      </w:r>
      <w:r w:rsidRPr="00A37F13">
        <w:rPr>
          <w:rFonts w:ascii="Symbol" w:eastAsia="Symbol" w:hAnsi="Symbol" w:cs="Symbol"/>
        </w:rPr>
        <w:sym w:font="Symbol" w:char="F020"/>
      </w:r>
      <w:r w:rsidRPr="00A37F13">
        <w:t xml:space="preserve">bevacizumab (10 mg/kg every 2 weeks). Patients were treated until disease progression. The primary endpoints of the trial were objective response rate and </w:t>
      </w:r>
      <w:r w:rsidR="00A135EE" w:rsidRPr="00A37F13">
        <w:t>PFS</w:t>
      </w:r>
      <w:r w:rsidRPr="00A37F13">
        <w:t>. The addition of bevacizumab 5 mg/kg every two weeks to 5</w:t>
      </w:r>
      <w:r w:rsidR="00FD0731" w:rsidRPr="00A37F13">
        <w:noBreakHyphen/>
      </w:r>
      <w:r w:rsidRPr="00A37F13">
        <w:t xml:space="preserve">FU/FA resulted in higher objective response rates, longer </w:t>
      </w:r>
      <w:r w:rsidR="00A135EE" w:rsidRPr="00A37F13">
        <w:t>PFS</w:t>
      </w:r>
      <w:r w:rsidRPr="00A37F13">
        <w:t>, and a trend in longer survival, compared with 5</w:t>
      </w:r>
      <w:r w:rsidR="00FD0731" w:rsidRPr="00A37F13">
        <w:noBreakHyphen/>
      </w:r>
      <w:r w:rsidRPr="00A37F13">
        <w:t>FU/FA chemotherapy alone (see Table 5). These efficacy data are consistent with the results from trial AVF2107g.</w:t>
      </w:r>
    </w:p>
    <w:p w14:paraId="4F2F8891" w14:textId="77777777" w:rsidR="00047E69" w:rsidRPr="00A37F13" w:rsidRDefault="00047E69" w:rsidP="00233EDC">
      <w:pPr>
        <w:adjustRightInd w:val="0"/>
        <w:snapToGrid w:val="0"/>
        <w:rPr>
          <w:rFonts w:ascii="Times New Roman" w:eastAsia="Times New Roman" w:hAnsi="Times New Roman" w:cs="Times New Roman"/>
        </w:rPr>
      </w:pPr>
    </w:p>
    <w:p w14:paraId="6D970E32" w14:textId="37AE03CF" w:rsidR="00047E69" w:rsidRPr="00A37F13" w:rsidRDefault="00C210A5" w:rsidP="00233EDC">
      <w:pPr>
        <w:pStyle w:val="a5"/>
        <w:adjustRightInd w:val="0"/>
        <w:snapToGrid w:val="0"/>
      </w:pPr>
      <w:r w:rsidRPr="00A37F13">
        <w:t>The efficacy data from trials AVF0780g and AVF2192g investigating bevacizumab in combination with 5</w:t>
      </w:r>
      <w:r w:rsidR="00FD0731" w:rsidRPr="00A37F13">
        <w:noBreakHyphen/>
      </w:r>
      <w:r w:rsidRPr="00A37F13">
        <w:t>FU/FA</w:t>
      </w:r>
      <w:r w:rsidR="00FD0731" w:rsidRPr="00A37F13">
        <w:noBreakHyphen/>
      </w:r>
      <w:r w:rsidRPr="00A37F13">
        <w:t>chemotherapy are summarised in Table 5.</w:t>
      </w:r>
    </w:p>
    <w:p w14:paraId="4C1D03A9" w14:textId="77777777" w:rsidR="00A135EE" w:rsidRPr="00A37F13" w:rsidRDefault="00A135EE" w:rsidP="005E4476"/>
    <w:p w14:paraId="7D33E2DB" w14:textId="47634FD1"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5</w:t>
      </w:r>
      <w:r w:rsidRPr="00536B4F">
        <w:rPr>
          <w:rFonts w:ascii="Times New Roman" w:hAnsi="Times New Roman" w:cs="Times New Roman"/>
          <w:b/>
          <w:bCs/>
        </w:rPr>
        <w:tab/>
        <w:t>Efficacy results for trials AVF0780g and AVF2192g</w:t>
      </w:r>
    </w:p>
    <w:p w14:paraId="47F9E715" w14:textId="77777777" w:rsidR="00AF607F" w:rsidRPr="00A37F13" w:rsidRDefault="00AF607F" w:rsidP="005E4476"/>
    <w:tbl>
      <w:tblPr>
        <w:tblStyle w:val="TableNormal0"/>
        <w:tblW w:w="5000" w:type="pct"/>
        <w:tblLayout w:type="fixed"/>
        <w:tblCellMar>
          <w:left w:w="108" w:type="dxa"/>
          <w:right w:w="108" w:type="dxa"/>
        </w:tblCellMar>
        <w:tblLook w:val="01E0" w:firstRow="1" w:lastRow="1" w:firstColumn="1" w:lastColumn="1" w:noHBand="0" w:noVBand="0"/>
      </w:tblPr>
      <w:tblGrid>
        <w:gridCol w:w="2656"/>
        <w:gridCol w:w="1318"/>
        <w:gridCol w:w="1268"/>
        <w:gridCol w:w="1247"/>
        <w:gridCol w:w="1301"/>
        <w:gridCol w:w="1268"/>
      </w:tblGrid>
      <w:tr w:rsidR="00A27683" w:rsidRPr="00A37F13" w14:paraId="099DD168" w14:textId="77777777" w:rsidTr="003667FF">
        <w:trPr>
          <w:trHeight w:val="20"/>
          <w:tblHeader/>
        </w:trPr>
        <w:tc>
          <w:tcPr>
            <w:tcW w:w="2726" w:type="dxa"/>
            <w:vMerge w:val="restart"/>
            <w:tcBorders>
              <w:top w:val="single" w:sz="6" w:space="0" w:color="000000"/>
              <w:left w:val="single" w:sz="6" w:space="0" w:color="000000"/>
              <w:bottom w:val="single" w:sz="6" w:space="0" w:color="000000"/>
              <w:right w:val="single" w:sz="6" w:space="0" w:color="000000"/>
            </w:tcBorders>
          </w:tcPr>
          <w:p w14:paraId="5B3B74F6" w14:textId="77777777" w:rsidR="000A6D0C" w:rsidRPr="00A37F13" w:rsidRDefault="000A6D0C" w:rsidP="00233EDC">
            <w:pPr>
              <w:pStyle w:val="a5"/>
              <w:rPr>
                <w:rFonts w:cs="Times New Roman"/>
              </w:rPr>
            </w:pPr>
          </w:p>
        </w:tc>
        <w:tc>
          <w:tcPr>
            <w:tcW w:w="3870" w:type="dxa"/>
            <w:gridSpan w:val="3"/>
            <w:tcBorders>
              <w:top w:val="single" w:sz="6" w:space="0" w:color="000000"/>
              <w:left w:val="single" w:sz="6" w:space="0" w:color="000000"/>
              <w:bottom w:val="single" w:sz="6" w:space="0" w:color="000000"/>
              <w:right w:val="single" w:sz="6" w:space="0" w:color="000000"/>
            </w:tcBorders>
            <w:vAlign w:val="center"/>
            <w:hideMark/>
          </w:tcPr>
          <w:p w14:paraId="1302EF24" w14:textId="77777777" w:rsidR="000A6D0C" w:rsidRPr="00A37F13" w:rsidRDefault="00C210A5" w:rsidP="00233EDC">
            <w:pPr>
              <w:pStyle w:val="a5"/>
              <w:jc w:val="center"/>
              <w:rPr>
                <w:rFonts w:cs="Times New Roman"/>
                <w:b/>
                <w:bCs/>
              </w:rPr>
            </w:pPr>
            <w:r w:rsidRPr="00A37F13">
              <w:rPr>
                <w:rFonts w:cs="Times New Roman"/>
                <w:b/>
                <w:bCs/>
              </w:rPr>
              <w:t>AVF0780g</w:t>
            </w:r>
          </w:p>
        </w:tc>
        <w:tc>
          <w:tcPr>
            <w:tcW w:w="2615" w:type="dxa"/>
            <w:gridSpan w:val="2"/>
            <w:tcBorders>
              <w:top w:val="single" w:sz="6" w:space="0" w:color="000000"/>
              <w:left w:val="single" w:sz="6" w:space="0" w:color="000000"/>
              <w:bottom w:val="single" w:sz="6" w:space="0" w:color="000000"/>
              <w:right w:val="single" w:sz="6" w:space="0" w:color="000000"/>
            </w:tcBorders>
            <w:vAlign w:val="center"/>
            <w:hideMark/>
          </w:tcPr>
          <w:p w14:paraId="729CEF86" w14:textId="77777777" w:rsidR="000A6D0C" w:rsidRPr="00A37F13" w:rsidRDefault="00C210A5" w:rsidP="00233EDC">
            <w:pPr>
              <w:pStyle w:val="a5"/>
              <w:jc w:val="center"/>
              <w:rPr>
                <w:rFonts w:cs="Times New Roman"/>
                <w:b/>
                <w:bCs/>
              </w:rPr>
            </w:pPr>
            <w:r w:rsidRPr="00A37F13">
              <w:rPr>
                <w:rFonts w:cs="Times New Roman"/>
                <w:b/>
                <w:bCs/>
              </w:rPr>
              <w:t>AVF2192g</w:t>
            </w:r>
          </w:p>
        </w:tc>
      </w:tr>
      <w:tr w:rsidR="005A5348" w:rsidRPr="00A37F13" w14:paraId="06290C2C" w14:textId="77777777" w:rsidTr="003667FF">
        <w:trPr>
          <w:trHeight w:val="20"/>
          <w:tblHeader/>
        </w:trPr>
        <w:tc>
          <w:tcPr>
            <w:tcW w:w="9211" w:type="dxa"/>
            <w:vMerge/>
            <w:tcBorders>
              <w:top w:val="single" w:sz="6" w:space="0" w:color="000000"/>
              <w:left w:val="single" w:sz="6" w:space="0" w:color="000000"/>
              <w:bottom w:val="single" w:sz="6" w:space="0" w:color="000000"/>
              <w:right w:val="single" w:sz="6" w:space="0" w:color="000000"/>
            </w:tcBorders>
            <w:vAlign w:val="center"/>
            <w:hideMark/>
          </w:tcPr>
          <w:p w14:paraId="067741A6" w14:textId="77777777" w:rsidR="000A6D0C" w:rsidRPr="00A37F13" w:rsidRDefault="000A6D0C" w:rsidP="00233EDC">
            <w:pPr>
              <w:rPr>
                <w:rFonts w:ascii="Times New Roman" w:eastAsia="Times New Roman" w:hAnsi="Times New Roman" w:cs="Times New Roman"/>
              </w:rPr>
            </w:pPr>
          </w:p>
        </w:tc>
        <w:tc>
          <w:tcPr>
            <w:tcW w:w="1297" w:type="dxa"/>
            <w:tcBorders>
              <w:top w:val="single" w:sz="6" w:space="0" w:color="000000"/>
              <w:left w:val="single" w:sz="6" w:space="0" w:color="000000"/>
              <w:bottom w:val="single" w:sz="6" w:space="0" w:color="000000"/>
              <w:right w:val="single" w:sz="6" w:space="0" w:color="000000"/>
            </w:tcBorders>
            <w:vAlign w:val="center"/>
            <w:hideMark/>
          </w:tcPr>
          <w:p w14:paraId="281E3FFE" w14:textId="396E4207" w:rsidR="000A6D0C" w:rsidRPr="00A37F13" w:rsidRDefault="00C210A5" w:rsidP="00233EDC">
            <w:pPr>
              <w:pStyle w:val="a5"/>
              <w:jc w:val="center"/>
              <w:rPr>
                <w:rFonts w:cs="Times New Roman"/>
                <w:b/>
                <w:bCs/>
              </w:rPr>
            </w:pPr>
            <w:r w:rsidRPr="00A37F13">
              <w:rPr>
                <w:rFonts w:cs="Times New Roman"/>
                <w:b/>
                <w:bCs/>
              </w:rPr>
              <w:t>5</w:t>
            </w:r>
            <w:r w:rsidR="00FD0731" w:rsidRPr="00A37F13">
              <w:rPr>
                <w:rFonts w:cs="Times New Roman"/>
                <w:b/>
                <w:bCs/>
              </w:rPr>
              <w:noBreakHyphen/>
            </w:r>
            <w:r w:rsidRPr="00A37F13">
              <w:rPr>
                <w:rFonts w:cs="Times New Roman"/>
                <w:b/>
                <w:bCs/>
              </w:rPr>
              <w:t>FU/FA</w:t>
            </w:r>
          </w:p>
        </w:tc>
        <w:tc>
          <w:tcPr>
            <w:tcW w:w="1297" w:type="dxa"/>
            <w:tcBorders>
              <w:top w:val="single" w:sz="6" w:space="0" w:color="000000"/>
              <w:left w:val="single" w:sz="6" w:space="0" w:color="000000"/>
              <w:bottom w:val="single" w:sz="6" w:space="0" w:color="000000"/>
              <w:right w:val="single" w:sz="6" w:space="0" w:color="000000"/>
            </w:tcBorders>
            <w:vAlign w:val="center"/>
            <w:hideMark/>
          </w:tcPr>
          <w:p w14:paraId="2B89C014" w14:textId="55E7E374" w:rsidR="000A6D0C" w:rsidRPr="00A37F13" w:rsidRDefault="00C210A5" w:rsidP="00233EDC">
            <w:pPr>
              <w:pStyle w:val="a5"/>
              <w:jc w:val="center"/>
              <w:rPr>
                <w:rFonts w:cs="Times New Roman"/>
                <w:b/>
                <w:bCs/>
              </w:rPr>
            </w:pPr>
            <w:r w:rsidRPr="00A37F13">
              <w:rPr>
                <w:rFonts w:cs="Times New Roman"/>
                <w:b/>
                <w:bCs/>
              </w:rPr>
              <w:t>5</w:t>
            </w:r>
            <w:r w:rsidR="00FD0731" w:rsidRPr="00A37F13">
              <w:rPr>
                <w:rFonts w:cs="Times New Roman"/>
                <w:b/>
                <w:bCs/>
              </w:rPr>
              <w:noBreakHyphen/>
            </w:r>
            <w:r w:rsidRPr="00A37F13">
              <w:rPr>
                <w:rFonts w:cs="Times New Roman"/>
                <w:b/>
                <w:bCs/>
              </w:rPr>
              <w:t>FU/FA +</w:t>
            </w:r>
            <w:r w:rsidRPr="00A37F13">
              <w:rPr>
                <w:rFonts w:cs="Times New Roman"/>
                <w:b/>
                <w:bCs/>
              </w:rPr>
              <w:br/>
              <w:t>Bevacizumab</w:t>
            </w:r>
            <w:r w:rsidRPr="00A37F13">
              <w:rPr>
                <w:rFonts w:cs="Times New Roman"/>
                <w:b/>
                <w:bCs/>
                <w:vertAlign w:val="superscript"/>
              </w:rPr>
              <w:t>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E9A79B5" w14:textId="5B632A3B" w:rsidR="000A6D0C" w:rsidRPr="00A37F13" w:rsidRDefault="00C210A5" w:rsidP="00233EDC">
            <w:pPr>
              <w:pStyle w:val="a5"/>
              <w:jc w:val="center"/>
              <w:rPr>
                <w:rFonts w:cs="Times New Roman"/>
                <w:b/>
                <w:bCs/>
              </w:rPr>
            </w:pPr>
            <w:r w:rsidRPr="00A37F13">
              <w:rPr>
                <w:rFonts w:cs="Times New Roman"/>
                <w:b/>
                <w:bCs/>
              </w:rPr>
              <w:t>5</w:t>
            </w:r>
            <w:r w:rsidR="00FD0731" w:rsidRPr="00A37F13">
              <w:rPr>
                <w:rFonts w:cs="Times New Roman"/>
                <w:b/>
                <w:bCs/>
              </w:rPr>
              <w:noBreakHyphen/>
            </w:r>
            <w:r w:rsidRPr="00A37F13">
              <w:rPr>
                <w:rFonts w:cs="Times New Roman"/>
                <w:b/>
                <w:bCs/>
              </w:rPr>
              <w:t>FU/FA</w:t>
            </w:r>
            <w:r w:rsidR="00E20ABC">
              <w:rPr>
                <w:rFonts w:eastAsiaTheme="minorEastAsia" w:cs="Times New Roman" w:hint="eastAsia"/>
                <w:b/>
                <w:bCs/>
                <w:lang w:eastAsia="ko-KR"/>
              </w:rPr>
              <w:t xml:space="preserve"> +</w:t>
            </w:r>
            <w:r w:rsidRPr="00A37F13">
              <w:rPr>
                <w:rFonts w:cs="Times New Roman"/>
                <w:b/>
                <w:bCs/>
              </w:rPr>
              <w:br/>
              <w:t>Bevacizumab</w:t>
            </w:r>
            <w:r w:rsidRPr="00A37F13">
              <w:rPr>
                <w:rFonts w:cs="Times New Roman"/>
                <w:b/>
                <w:bCs/>
                <w:vertAlign w:val="superscript"/>
              </w:rPr>
              <w:t>b</w:t>
            </w:r>
          </w:p>
        </w:tc>
        <w:tc>
          <w:tcPr>
            <w:tcW w:w="1318" w:type="dxa"/>
            <w:tcBorders>
              <w:top w:val="single" w:sz="6" w:space="0" w:color="000000"/>
              <w:left w:val="single" w:sz="6" w:space="0" w:color="000000"/>
              <w:bottom w:val="single" w:sz="6" w:space="0" w:color="000000"/>
              <w:right w:val="single" w:sz="6" w:space="0" w:color="000000"/>
            </w:tcBorders>
            <w:vAlign w:val="center"/>
            <w:hideMark/>
          </w:tcPr>
          <w:p w14:paraId="673C08AA" w14:textId="75F10955" w:rsidR="000A6D0C" w:rsidRPr="00A37F13" w:rsidRDefault="00C210A5" w:rsidP="00233EDC">
            <w:pPr>
              <w:pStyle w:val="a5"/>
              <w:jc w:val="center"/>
              <w:rPr>
                <w:rFonts w:cs="Times New Roman"/>
                <w:b/>
                <w:bCs/>
              </w:rPr>
            </w:pPr>
            <w:r w:rsidRPr="00A37F13">
              <w:rPr>
                <w:rFonts w:cs="Times New Roman"/>
                <w:b/>
                <w:bCs/>
              </w:rPr>
              <w:t>5</w:t>
            </w:r>
            <w:r w:rsidR="00FD0731" w:rsidRPr="00A37F13">
              <w:rPr>
                <w:rFonts w:cs="Times New Roman"/>
                <w:b/>
                <w:bCs/>
              </w:rPr>
              <w:noBreakHyphen/>
            </w:r>
            <w:r w:rsidRPr="00A37F13">
              <w:rPr>
                <w:rFonts w:cs="Times New Roman"/>
                <w:b/>
                <w:bCs/>
              </w:rPr>
              <w:t>FU/FA +</w:t>
            </w:r>
            <w:r w:rsidRPr="00A37F13">
              <w:rPr>
                <w:rFonts w:cs="Times New Roman"/>
                <w:b/>
                <w:bCs/>
              </w:rPr>
              <w:br/>
              <w:t>placebo</w:t>
            </w:r>
          </w:p>
        </w:tc>
        <w:tc>
          <w:tcPr>
            <w:tcW w:w="1297" w:type="dxa"/>
            <w:tcBorders>
              <w:top w:val="single" w:sz="6" w:space="0" w:color="000000"/>
              <w:left w:val="single" w:sz="6" w:space="0" w:color="000000"/>
              <w:bottom w:val="single" w:sz="6" w:space="0" w:color="000000"/>
              <w:right w:val="single" w:sz="6" w:space="0" w:color="000000"/>
            </w:tcBorders>
            <w:vAlign w:val="center"/>
            <w:hideMark/>
          </w:tcPr>
          <w:p w14:paraId="052561E4" w14:textId="3B0005D4" w:rsidR="000A6D0C" w:rsidRPr="00A37F13" w:rsidRDefault="00C210A5" w:rsidP="00233EDC">
            <w:pPr>
              <w:pStyle w:val="a5"/>
              <w:jc w:val="center"/>
              <w:rPr>
                <w:rFonts w:cs="Times New Roman"/>
                <w:b/>
                <w:bCs/>
              </w:rPr>
            </w:pPr>
            <w:r w:rsidRPr="00A37F13">
              <w:rPr>
                <w:rFonts w:cs="Times New Roman"/>
                <w:b/>
                <w:bCs/>
              </w:rPr>
              <w:t>5</w:t>
            </w:r>
            <w:r w:rsidR="00FD0731" w:rsidRPr="00A37F13">
              <w:rPr>
                <w:rFonts w:cs="Times New Roman"/>
                <w:b/>
                <w:bCs/>
              </w:rPr>
              <w:noBreakHyphen/>
            </w:r>
            <w:r w:rsidRPr="00A37F13">
              <w:rPr>
                <w:rFonts w:cs="Times New Roman"/>
                <w:b/>
                <w:bCs/>
              </w:rPr>
              <w:t>FU/FA +</w:t>
            </w:r>
            <w:r w:rsidRPr="00A37F13">
              <w:rPr>
                <w:rFonts w:cs="Times New Roman"/>
                <w:b/>
                <w:bCs/>
              </w:rPr>
              <w:br/>
              <w:t>Bevacizumab</w:t>
            </w:r>
          </w:p>
        </w:tc>
      </w:tr>
      <w:tr w:rsidR="005A5348" w:rsidRPr="00A37F13" w14:paraId="7BFEE1B4"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6FC4AB21" w14:textId="77777777" w:rsidR="000A6D0C" w:rsidRPr="00A37F13" w:rsidRDefault="00C210A5" w:rsidP="00233EDC">
            <w:pPr>
              <w:pStyle w:val="a5"/>
              <w:rPr>
                <w:rFonts w:cs="Times New Roman"/>
              </w:rPr>
            </w:pPr>
            <w:r w:rsidRPr="00A37F13">
              <w:rPr>
                <w:rFonts w:cs="Times New Roman"/>
              </w:rPr>
              <w:t>Number of patients</w:t>
            </w:r>
          </w:p>
        </w:tc>
        <w:tc>
          <w:tcPr>
            <w:tcW w:w="1297" w:type="dxa"/>
            <w:tcBorders>
              <w:top w:val="single" w:sz="6" w:space="0" w:color="000000"/>
              <w:left w:val="single" w:sz="6" w:space="0" w:color="000000"/>
              <w:bottom w:val="single" w:sz="6" w:space="0" w:color="000000"/>
              <w:right w:val="single" w:sz="6" w:space="0" w:color="000000"/>
            </w:tcBorders>
            <w:vAlign w:val="center"/>
            <w:hideMark/>
          </w:tcPr>
          <w:p w14:paraId="66E60533" w14:textId="77777777" w:rsidR="000A6D0C" w:rsidRPr="00A37F13" w:rsidRDefault="00C210A5" w:rsidP="00233EDC">
            <w:pPr>
              <w:pStyle w:val="a5"/>
              <w:jc w:val="center"/>
              <w:rPr>
                <w:rFonts w:cs="Times New Roman"/>
              </w:rPr>
            </w:pPr>
            <w:r w:rsidRPr="00A37F13">
              <w:rPr>
                <w:rFonts w:cs="Times New Roman"/>
              </w:rPr>
              <w:t>36</w:t>
            </w:r>
          </w:p>
        </w:tc>
        <w:tc>
          <w:tcPr>
            <w:tcW w:w="1297" w:type="dxa"/>
            <w:tcBorders>
              <w:top w:val="single" w:sz="6" w:space="0" w:color="000000"/>
              <w:left w:val="single" w:sz="6" w:space="0" w:color="000000"/>
              <w:bottom w:val="single" w:sz="6" w:space="0" w:color="000000"/>
              <w:right w:val="single" w:sz="6" w:space="0" w:color="000000"/>
            </w:tcBorders>
            <w:vAlign w:val="center"/>
            <w:hideMark/>
          </w:tcPr>
          <w:p w14:paraId="21626B3E" w14:textId="77777777" w:rsidR="000A6D0C" w:rsidRPr="00A37F13" w:rsidRDefault="00C210A5" w:rsidP="00233EDC">
            <w:pPr>
              <w:pStyle w:val="a5"/>
              <w:jc w:val="center"/>
              <w:rPr>
                <w:rFonts w:cs="Times New Roman"/>
              </w:rPr>
            </w:pPr>
            <w:r w:rsidRPr="00A37F13">
              <w:rPr>
                <w:rFonts w:cs="Times New Roman"/>
              </w:rPr>
              <w:t>35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7B8EAB6" w14:textId="77777777" w:rsidR="000A6D0C" w:rsidRPr="00A37F13" w:rsidRDefault="00C210A5" w:rsidP="00233EDC">
            <w:pPr>
              <w:pStyle w:val="a5"/>
              <w:jc w:val="center"/>
              <w:rPr>
                <w:rFonts w:cs="Times New Roman"/>
              </w:rPr>
            </w:pPr>
            <w:r w:rsidRPr="00A37F13">
              <w:rPr>
                <w:rFonts w:cs="Times New Roman"/>
              </w:rPr>
              <w:t>33</w:t>
            </w:r>
          </w:p>
        </w:tc>
        <w:tc>
          <w:tcPr>
            <w:tcW w:w="1318" w:type="dxa"/>
            <w:tcBorders>
              <w:top w:val="single" w:sz="6" w:space="0" w:color="000000"/>
              <w:left w:val="single" w:sz="6" w:space="0" w:color="000000"/>
              <w:bottom w:val="single" w:sz="6" w:space="0" w:color="000000"/>
              <w:right w:val="single" w:sz="6" w:space="0" w:color="000000"/>
            </w:tcBorders>
            <w:vAlign w:val="center"/>
            <w:hideMark/>
          </w:tcPr>
          <w:p w14:paraId="6C112301" w14:textId="77777777" w:rsidR="000A6D0C" w:rsidRPr="00A37F13" w:rsidRDefault="00C210A5" w:rsidP="00233EDC">
            <w:pPr>
              <w:pStyle w:val="a5"/>
              <w:jc w:val="center"/>
              <w:rPr>
                <w:rFonts w:cs="Times New Roman"/>
              </w:rPr>
            </w:pPr>
            <w:r w:rsidRPr="00A37F13">
              <w:rPr>
                <w:rFonts w:cs="Times New Roman"/>
              </w:rPr>
              <w:t>105</w:t>
            </w:r>
          </w:p>
        </w:tc>
        <w:tc>
          <w:tcPr>
            <w:tcW w:w="1297" w:type="dxa"/>
            <w:tcBorders>
              <w:top w:val="single" w:sz="6" w:space="0" w:color="000000"/>
              <w:left w:val="single" w:sz="6" w:space="0" w:color="000000"/>
              <w:bottom w:val="single" w:sz="6" w:space="0" w:color="000000"/>
              <w:right w:val="single" w:sz="6" w:space="0" w:color="000000"/>
            </w:tcBorders>
            <w:vAlign w:val="center"/>
            <w:hideMark/>
          </w:tcPr>
          <w:p w14:paraId="6878C3DD" w14:textId="77777777" w:rsidR="000A6D0C" w:rsidRPr="00A37F13" w:rsidRDefault="00C210A5" w:rsidP="00233EDC">
            <w:pPr>
              <w:pStyle w:val="a5"/>
              <w:jc w:val="center"/>
              <w:rPr>
                <w:rFonts w:cs="Times New Roman"/>
              </w:rPr>
            </w:pPr>
            <w:r w:rsidRPr="00A37F13">
              <w:rPr>
                <w:rFonts w:cs="Times New Roman"/>
              </w:rPr>
              <w:t>104</w:t>
            </w:r>
          </w:p>
        </w:tc>
      </w:tr>
      <w:tr w:rsidR="00A27683" w:rsidRPr="00A37F13" w14:paraId="4CE66208" w14:textId="77777777" w:rsidTr="004228B0">
        <w:trPr>
          <w:trHeight w:val="20"/>
        </w:trPr>
        <w:tc>
          <w:tcPr>
            <w:tcW w:w="9211" w:type="dxa"/>
            <w:gridSpan w:val="6"/>
            <w:tcBorders>
              <w:top w:val="single" w:sz="6" w:space="0" w:color="000000"/>
              <w:left w:val="single" w:sz="6" w:space="0" w:color="000000"/>
              <w:bottom w:val="single" w:sz="6" w:space="0" w:color="000000"/>
              <w:right w:val="single" w:sz="6" w:space="0" w:color="000000"/>
            </w:tcBorders>
            <w:hideMark/>
          </w:tcPr>
          <w:p w14:paraId="7C25B038" w14:textId="77777777" w:rsidR="000A6D0C" w:rsidRPr="00A37F13" w:rsidRDefault="00C210A5" w:rsidP="00233EDC">
            <w:pPr>
              <w:pStyle w:val="a5"/>
              <w:rPr>
                <w:rFonts w:cs="Times New Roman"/>
              </w:rPr>
            </w:pPr>
            <w:r w:rsidRPr="00A37F13">
              <w:rPr>
                <w:rFonts w:cs="Times New Roman"/>
              </w:rPr>
              <w:lastRenderedPageBreak/>
              <w:t>Overall survival</w:t>
            </w:r>
          </w:p>
        </w:tc>
      </w:tr>
      <w:tr w:rsidR="005A5348" w:rsidRPr="00A37F13" w14:paraId="3106A734"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3D4BB954" w14:textId="77777777" w:rsidR="000A6D0C" w:rsidRPr="00A37F13" w:rsidRDefault="00C210A5" w:rsidP="00233EDC">
            <w:pPr>
              <w:pStyle w:val="a5"/>
              <w:ind w:left="284"/>
              <w:rPr>
                <w:rFonts w:cs="Times New Roman"/>
              </w:rPr>
            </w:pPr>
            <w:r w:rsidRPr="00A37F13">
              <w:rPr>
                <w:rFonts w:cs="Times New Roman"/>
              </w:rPr>
              <w:t>Median time (months)</w:t>
            </w:r>
          </w:p>
        </w:tc>
        <w:tc>
          <w:tcPr>
            <w:tcW w:w="1349" w:type="dxa"/>
            <w:tcBorders>
              <w:top w:val="single" w:sz="6" w:space="0" w:color="000000"/>
              <w:left w:val="single" w:sz="6" w:space="0" w:color="000000"/>
              <w:bottom w:val="single" w:sz="6" w:space="0" w:color="000000"/>
              <w:right w:val="single" w:sz="6" w:space="0" w:color="000000"/>
            </w:tcBorders>
            <w:vAlign w:val="center"/>
            <w:hideMark/>
          </w:tcPr>
          <w:p w14:paraId="1D119EFD" w14:textId="77777777" w:rsidR="000A6D0C" w:rsidRPr="00A37F13" w:rsidRDefault="00C210A5" w:rsidP="00233EDC">
            <w:pPr>
              <w:pStyle w:val="a5"/>
              <w:jc w:val="center"/>
              <w:rPr>
                <w:rFonts w:cs="Times New Roman"/>
              </w:rPr>
            </w:pPr>
            <w:r w:rsidRPr="00A37F13">
              <w:rPr>
                <w:rFonts w:cs="Times New Roman"/>
              </w:rPr>
              <w:t>13.6</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480D10B9" w14:textId="77777777" w:rsidR="000A6D0C" w:rsidRPr="00A37F13" w:rsidRDefault="00C210A5" w:rsidP="00233EDC">
            <w:pPr>
              <w:pStyle w:val="a5"/>
              <w:jc w:val="center"/>
              <w:rPr>
                <w:rFonts w:cs="Times New Roman"/>
              </w:rPr>
            </w:pPr>
            <w:r w:rsidRPr="00A37F13">
              <w:rPr>
                <w:rFonts w:cs="Times New Roman"/>
              </w:rPr>
              <w:t>17.7</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3847679E" w14:textId="77777777" w:rsidR="000A6D0C" w:rsidRPr="00A37F13" w:rsidRDefault="00C210A5" w:rsidP="00233EDC">
            <w:pPr>
              <w:pStyle w:val="a5"/>
              <w:jc w:val="center"/>
              <w:rPr>
                <w:rFonts w:cs="Times New Roman"/>
              </w:rPr>
            </w:pPr>
            <w:r w:rsidRPr="00A37F13">
              <w:rPr>
                <w:rFonts w:cs="Times New Roman"/>
              </w:rPr>
              <w:t>15.2</w:t>
            </w:r>
          </w:p>
        </w:tc>
        <w:tc>
          <w:tcPr>
            <w:tcW w:w="1331" w:type="dxa"/>
            <w:tcBorders>
              <w:top w:val="single" w:sz="6" w:space="0" w:color="000000"/>
              <w:left w:val="single" w:sz="6" w:space="0" w:color="000000"/>
              <w:bottom w:val="single" w:sz="6" w:space="0" w:color="000000"/>
              <w:right w:val="single" w:sz="6" w:space="0" w:color="000000"/>
            </w:tcBorders>
            <w:vAlign w:val="center"/>
            <w:hideMark/>
          </w:tcPr>
          <w:p w14:paraId="265EED25" w14:textId="77777777" w:rsidR="000A6D0C" w:rsidRPr="00A37F13" w:rsidRDefault="00C210A5" w:rsidP="00233EDC">
            <w:pPr>
              <w:pStyle w:val="a5"/>
              <w:jc w:val="center"/>
              <w:rPr>
                <w:rFonts w:cs="Times New Roman"/>
              </w:rPr>
            </w:pPr>
            <w:r w:rsidRPr="00A37F13">
              <w:rPr>
                <w:rFonts w:cs="Times New Roman"/>
              </w:rPr>
              <w:t>12.9</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22BC68A1" w14:textId="77777777" w:rsidR="000A6D0C" w:rsidRPr="00A37F13" w:rsidRDefault="00C210A5" w:rsidP="00233EDC">
            <w:pPr>
              <w:pStyle w:val="a5"/>
              <w:jc w:val="center"/>
              <w:rPr>
                <w:rFonts w:cs="Times New Roman"/>
              </w:rPr>
            </w:pPr>
            <w:r w:rsidRPr="00A37F13">
              <w:rPr>
                <w:rFonts w:cs="Times New Roman"/>
              </w:rPr>
              <w:t>16.6</w:t>
            </w:r>
          </w:p>
        </w:tc>
      </w:tr>
      <w:tr w:rsidR="005A5348" w:rsidRPr="00A37F13" w14:paraId="1FF29F62"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67495100" w14:textId="77777777" w:rsidR="000A6D0C" w:rsidRPr="00A37F13" w:rsidRDefault="00C210A5" w:rsidP="00233EDC">
            <w:pPr>
              <w:pStyle w:val="a5"/>
              <w:ind w:left="567"/>
              <w:rPr>
                <w:rFonts w:cs="Times New Roman"/>
              </w:rPr>
            </w:pPr>
            <w:r w:rsidRPr="00A37F13">
              <w:rPr>
                <w:rFonts w:cs="Times New Roman"/>
              </w:rPr>
              <w:t>95% CI</w:t>
            </w:r>
          </w:p>
        </w:tc>
        <w:tc>
          <w:tcPr>
            <w:tcW w:w="1349" w:type="dxa"/>
            <w:tcBorders>
              <w:top w:val="single" w:sz="6" w:space="0" w:color="000000"/>
              <w:left w:val="single" w:sz="6" w:space="0" w:color="000000"/>
              <w:bottom w:val="single" w:sz="6" w:space="0" w:color="000000"/>
              <w:right w:val="single" w:sz="6" w:space="0" w:color="000000"/>
            </w:tcBorders>
            <w:vAlign w:val="center"/>
          </w:tcPr>
          <w:p w14:paraId="02B56869"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tcPr>
          <w:p w14:paraId="04733DD8" w14:textId="77777777" w:rsidR="000A6D0C" w:rsidRPr="00A37F13" w:rsidRDefault="000A6D0C" w:rsidP="00233EDC">
            <w:pPr>
              <w:pStyle w:val="a5"/>
              <w:jc w:val="center"/>
              <w:rPr>
                <w:rFonts w:cs="Times New Roman"/>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541835B3" w14:textId="77777777" w:rsidR="000A6D0C" w:rsidRPr="00A37F13" w:rsidRDefault="000A6D0C" w:rsidP="00233EDC">
            <w:pPr>
              <w:pStyle w:val="a5"/>
              <w:jc w:val="center"/>
              <w:rPr>
                <w:rFonts w:cs="Times New Roman"/>
              </w:rPr>
            </w:pPr>
          </w:p>
        </w:tc>
        <w:tc>
          <w:tcPr>
            <w:tcW w:w="1331" w:type="dxa"/>
            <w:tcBorders>
              <w:top w:val="single" w:sz="6" w:space="0" w:color="000000"/>
              <w:left w:val="single" w:sz="6" w:space="0" w:color="000000"/>
              <w:bottom w:val="single" w:sz="6" w:space="0" w:color="000000"/>
              <w:right w:val="single" w:sz="6" w:space="0" w:color="000000"/>
            </w:tcBorders>
            <w:vAlign w:val="center"/>
            <w:hideMark/>
          </w:tcPr>
          <w:p w14:paraId="3FD107A2" w14:textId="77777777" w:rsidR="000A6D0C" w:rsidRPr="00A37F13" w:rsidRDefault="00C210A5" w:rsidP="00233EDC">
            <w:pPr>
              <w:pStyle w:val="a5"/>
              <w:jc w:val="center"/>
              <w:rPr>
                <w:rFonts w:cs="Times New Roman"/>
              </w:rPr>
            </w:pPr>
            <w:r w:rsidRPr="00A37F13">
              <w:rPr>
                <w:rFonts w:cs="Times New Roman"/>
              </w:rPr>
              <w:t>10.35 - 16.95</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511EA6D2" w14:textId="77777777" w:rsidR="000A6D0C" w:rsidRPr="00A37F13" w:rsidRDefault="00C210A5" w:rsidP="00233EDC">
            <w:pPr>
              <w:pStyle w:val="a5"/>
              <w:jc w:val="center"/>
              <w:rPr>
                <w:rFonts w:cs="Times New Roman"/>
              </w:rPr>
            </w:pPr>
            <w:r w:rsidRPr="00A37F13">
              <w:rPr>
                <w:rFonts w:cs="Times New Roman"/>
              </w:rPr>
              <w:t>13.63 - 19.32</w:t>
            </w:r>
          </w:p>
        </w:tc>
      </w:tr>
      <w:tr w:rsidR="005A5348" w:rsidRPr="00A37F13" w14:paraId="4324BDE2"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39D924F4" w14:textId="77777777" w:rsidR="000A6D0C" w:rsidRPr="00A37F13" w:rsidRDefault="00C210A5" w:rsidP="00233EDC">
            <w:pPr>
              <w:pStyle w:val="a5"/>
              <w:ind w:leftChars="154" w:left="339"/>
              <w:rPr>
                <w:rFonts w:cs="Times New Roman"/>
              </w:rPr>
            </w:pPr>
            <w:r w:rsidRPr="00A37F13">
              <w:rPr>
                <w:rFonts w:cs="Times New Roman"/>
              </w:rPr>
              <w:t>Hazard ratio</w:t>
            </w:r>
            <w:r w:rsidRPr="00A37F13">
              <w:rPr>
                <w:rFonts w:cs="Times New Roman"/>
                <w:vertAlign w:val="superscript"/>
              </w:rPr>
              <w:t>c</w:t>
            </w:r>
          </w:p>
        </w:tc>
        <w:tc>
          <w:tcPr>
            <w:tcW w:w="1349" w:type="dxa"/>
            <w:tcBorders>
              <w:top w:val="single" w:sz="6" w:space="0" w:color="000000"/>
              <w:left w:val="single" w:sz="6" w:space="0" w:color="000000"/>
              <w:bottom w:val="single" w:sz="6" w:space="0" w:color="000000"/>
              <w:right w:val="single" w:sz="6" w:space="0" w:color="000000"/>
            </w:tcBorders>
            <w:vAlign w:val="center"/>
            <w:hideMark/>
          </w:tcPr>
          <w:p w14:paraId="5A6B80E0" w14:textId="77777777" w:rsidR="000A6D0C" w:rsidRPr="00A37F13" w:rsidRDefault="00C210A5" w:rsidP="00233EDC">
            <w:pPr>
              <w:pStyle w:val="a5"/>
              <w:jc w:val="center"/>
              <w:rPr>
                <w:rFonts w:cs="Times New Roman"/>
              </w:rPr>
            </w:pPr>
            <w:r w:rsidRPr="00A37F13">
              <w:rPr>
                <w:rFonts w:cs="Times New Roman"/>
              </w:rPr>
              <w:t>-</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693C0237" w14:textId="77777777" w:rsidR="000A6D0C" w:rsidRPr="00A37F13" w:rsidRDefault="00C210A5" w:rsidP="00233EDC">
            <w:pPr>
              <w:pStyle w:val="a5"/>
              <w:jc w:val="center"/>
              <w:rPr>
                <w:rFonts w:cs="Times New Roman"/>
              </w:rPr>
            </w:pPr>
            <w:r w:rsidRPr="00A37F13">
              <w:rPr>
                <w:rFonts w:cs="Times New Roman"/>
              </w:rPr>
              <w:t>0.52</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3E2DE6F3" w14:textId="77777777" w:rsidR="000A6D0C" w:rsidRPr="00A37F13" w:rsidRDefault="00C210A5" w:rsidP="00233EDC">
            <w:pPr>
              <w:pStyle w:val="a5"/>
              <w:jc w:val="center"/>
              <w:rPr>
                <w:rFonts w:cs="Times New Roman"/>
              </w:rPr>
            </w:pPr>
            <w:r w:rsidRPr="00A37F13">
              <w:rPr>
                <w:rFonts w:cs="Times New Roman"/>
              </w:rPr>
              <w:t>1.01</w:t>
            </w:r>
          </w:p>
        </w:tc>
        <w:tc>
          <w:tcPr>
            <w:tcW w:w="1331" w:type="dxa"/>
            <w:tcBorders>
              <w:top w:val="single" w:sz="6" w:space="0" w:color="000000"/>
              <w:left w:val="single" w:sz="6" w:space="0" w:color="000000"/>
              <w:bottom w:val="single" w:sz="6" w:space="0" w:color="000000"/>
              <w:right w:val="single" w:sz="6" w:space="0" w:color="000000"/>
            </w:tcBorders>
            <w:vAlign w:val="center"/>
          </w:tcPr>
          <w:p w14:paraId="0201D27F"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1AF4F9ED" w14:textId="77777777" w:rsidR="000A6D0C" w:rsidRPr="00A37F13" w:rsidRDefault="00C210A5" w:rsidP="00233EDC">
            <w:pPr>
              <w:pStyle w:val="a5"/>
              <w:jc w:val="center"/>
              <w:rPr>
                <w:rFonts w:cs="Times New Roman"/>
              </w:rPr>
            </w:pPr>
            <w:r w:rsidRPr="00A37F13">
              <w:rPr>
                <w:rFonts w:cs="Times New Roman"/>
              </w:rPr>
              <w:t>0.79</w:t>
            </w:r>
          </w:p>
        </w:tc>
      </w:tr>
      <w:tr w:rsidR="005A5348" w:rsidRPr="00A37F13" w14:paraId="5D5C027D"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73956E33" w14:textId="0AEC6AEA" w:rsidR="000A6D0C" w:rsidRPr="00A37F13" w:rsidRDefault="00C210A5" w:rsidP="00233EDC">
            <w:pPr>
              <w:pStyle w:val="a5"/>
              <w:ind w:leftChars="154" w:left="339"/>
              <w:rPr>
                <w:rFonts w:cs="Times New Roman"/>
              </w:rPr>
            </w:pPr>
            <w:r w:rsidRPr="00A37F13">
              <w:rPr>
                <w:rFonts w:cs="Times New Roman"/>
              </w:rPr>
              <w:t>p</w:t>
            </w:r>
            <w:r w:rsidR="00FD0731" w:rsidRPr="00A37F13">
              <w:rPr>
                <w:rFonts w:cs="Times New Roman"/>
              </w:rPr>
              <w:noBreakHyphen/>
            </w:r>
            <w:r w:rsidRPr="00A37F13">
              <w:rPr>
                <w:rFonts w:cs="Times New Roman"/>
              </w:rPr>
              <w:t>value</w:t>
            </w:r>
          </w:p>
        </w:tc>
        <w:tc>
          <w:tcPr>
            <w:tcW w:w="1349" w:type="dxa"/>
            <w:tcBorders>
              <w:top w:val="single" w:sz="6" w:space="0" w:color="000000"/>
              <w:left w:val="single" w:sz="6" w:space="0" w:color="000000"/>
              <w:bottom w:val="single" w:sz="6" w:space="0" w:color="000000"/>
              <w:right w:val="single" w:sz="6" w:space="0" w:color="000000"/>
            </w:tcBorders>
            <w:vAlign w:val="center"/>
          </w:tcPr>
          <w:p w14:paraId="46B19855"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262DCDD2" w14:textId="77777777" w:rsidR="000A6D0C" w:rsidRPr="00A37F13" w:rsidRDefault="00C210A5" w:rsidP="00233EDC">
            <w:pPr>
              <w:pStyle w:val="a5"/>
              <w:jc w:val="center"/>
              <w:rPr>
                <w:rFonts w:cs="Times New Roman"/>
              </w:rPr>
            </w:pPr>
            <w:r w:rsidRPr="00A37F13">
              <w:rPr>
                <w:rFonts w:cs="Times New Roman"/>
              </w:rPr>
              <w:t>0.073</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463DBC11" w14:textId="77777777" w:rsidR="000A6D0C" w:rsidRPr="00A37F13" w:rsidRDefault="00C210A5" w:rsidP="00233EDC">
            <w:pPr>
              <w:pStyle w:val="a5"/>
              <w:jc w:val="center"/>
              <w:rPr>
                <w:rFonts w:cs="Times New Roman"/>
              </w:rPr>
            </w:pPr>
            <w:r w:rsidRPr="00A37F13">
              <w:rPr>
                <w:rFonts w:cs="Times New Roman"/>
              </w:rPr>
              <w:t>0.978</w:t>
            </w:r>
          </w:p>
        </w:tc>
        <w:tc>
          <w:tcPr>
            <w:tcW w:w="1331" w:type="dxa"/>
            <w:tcBorders>
              <w:top w:val="single" w:sz="6" w:space="0" w:color="000000"/>
              <w:left w:val="single" w:sz="6" w:space="0" w:color="000000"/>
              <w:bottom w:val="single" w:sz="6" w:space="0" w:color="000000"/>
              <w:right w:val="single" w:sz="6" w:space="0" w:color="000000"/>
            </w:tcBorders>
            <w:vAlign w:val="center"/>
          </w:tcPr>
          <w:p w14:paraId="4964BCA8"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38A642C3" w14:textId="77777777" w:rsidR="000A6D0C" w:rsidRPr="00A37F13" w:rsidRDefault="00C210A5" w:rsidP="00233EDC">
            <w:pPr>
              <w:pStyle w:val="a5"/>
              <w:jc w:val="center"/>
              <w:rPr>
                <w:rFonts w:cs="Times New Roman"/>
              </w:rPr>
            </w:pPr>
            <w:r w:rsidRPr="00A37F13">
              <w:rPr>
                <w:rFonts w:cs="Times New Roman"/>
              </w:rPr>
              <w:t>0.16</w:t>
            </w:r>
          </w:p>
        </w:tc>
      </w:tr>
      <w:tr w:rsidR="00A27683" w:rsidRPr="00A37F13" w14:paraId="5EE0B65C" w14:textId="77777777" w:rsidTr="004228B0">
        <w:trPr>
          <w:trHeight w:val="20"/>
        </w:trPr>
        <w:tc>
          <w:tcPr>
            <w:tcW w:w="9211" w:type="dxa"/>
            <w:gridSpan w:val="6"/>
            <w:tcBorders>
              <w:top w:val="single" w:sz="6" w:space="0" w:color="000000"/>
              <w:left w:val="single" w:sz="6" w:space="0" w:color="000000"/>
              <w:bottom w:val="single" w:sz="6" w:space="0" w:color="000000"/>
              <w:right w:val="single" w:sz="6" w:space="0" w:color="000000"/>
            </w:tcBorders>
            <w:hideMark/>
          </w:tcPr>
          <w:p w14:paraId="2DD85279" w14:textId="2ACE3EC4" w:rsidR="000A6D0C" w:rsidRPr="00A37F13" w:rsidRDefault="00C210A5" w:rsidP="00233EDC">
            <w:pPr>
              <w:pStyle w:val="a5"/>
              <w:rPr>
                <w:rFonts w:cs="Times New Roman"/>
              </w:rPr>
            </w:pPr>
            <w:r w:rsidRPr="00A37F13">
              <w:rPr>
                <w:rFonts w:cs="Times New Roman"/>
              </w:rPr>
              <w:t>Progression</w:t>
            </w:r>
            <w:r w:rsidR="00FD0731" w:rsidRPr="00A37F13">
              <w:rPr>
                <w:rFonts w:cs="Times New Roman"/>
              </w:rPr>
              <w:noBreakHyphen/>
            </w:r>
            <w:r w:rsidRPr="00A37F13">
              <w:rPr>
                <w:rFonts w:cs="Times New Roman"/>
              </w:rPr>
              <w:t>free survival</w:t>
            </w:r>
          </w:p>
        </w:tc>
      </w:tr>
      <w:tr w:rsidR="005A5348" w:rsidRPr="00A37F13" w14:paraId="3170EC39"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6DC0CF6B" w14:textId="77777777" w:rsidR="000A6D0C" w:rsidRPr="00A37F13" w:rsidRDefault="00C210A5" w:rsidP="00233EDC">
            <w:pPr>
              <w:pStyle w:val="a5"/>
              <w:ind w:leftChars="154" w:left="339"/>
              <w:rPr>
                <w:rFonts w:cs="Times New Roman"/>
              </w:rPr>
            </w:pPr>
            <w:r w:rsidRPr="00A37F13">
              <w:rPr>
                <w:rFonts w:cs="Times New Roman"/>
              </w:rPr>
              <w:t>Median time (months)</w:t>
            </w:r>
          </w:p>
        </w:tc>
        <w:tc>
          <w:tcPr>
            <w:tcW w:w="1349" w:type="dxa"/>
            <w:tcBorders>
              <w:top w:val="single" w:sz="6" w:space="0" w:color="000000"/>
              <w:left w:val="single" w:sz="6" w:space="0" w:color="000000"/>
              <w:bottom w:val="single" w:sz="6" w:space="0" w:color="000000"/>
              <w:right w:val="single" w:sz="6" w:space="0" w:color="000000"/>
            </w:tcBorders>
            <w:vAlign w:val="center"/>
            <w:hideMark/>
          </w:tcPr>
          <w:p w14:paraId="18E24092" w14:textId="77777777" w:rsidR="000A6D0C" w:rsidRPr="00A37F13" w:rsidRDefault="00C210A5" w:rsidP="00233EDC">
            <w:pPr>
              <w:pStyle w:val="a5"/>
              <w:jc w:val="center"/>
              <w:rPr>
                <w:rFonts w:cs="Times New Roman"/>
              </w:rPr>
            </w:pPr>
            <w:r w:rsidRPr="00A37F13">
              <w:rPr>
                <w:rFonts w:cs="Times New Roman"/>
              </w:rPr>
              <w:t>5.2</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3AD3EEE4" w14:textId="77777777" w:rsidR="000A6D0C" w:rsidRPr="00A37F13" w:rsidRDefault="00C210A5" w:rsidP="00233EDC">
            <w:pPr>
              <w:pStyle w:val="a5"/>
              <w:jc w:val="center"/>
              <w:rPr>
                <w:rFonts w:cs="Times New Roman"/>
              </w:rPr>
            </w:pPr>
            <w:r w:rsidRPr="00A37F13">
              <w:rPr>
                <w:rFonts w:cs="Times New Roman"/>
              </w:rPr>
              <w:t>9.0</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6F80701A" w14:textId="77777777" w:rsidR="000A6D0C" w:rsidRPr="00A37F13" w:rsidRDefault="00C210A5" w:rsidP="00233EDC">
            <w:pPr>
              <w:pStyle w:val="a5"/>
              <w:jc w:val="center"/>
              <w:rPr>
                <w:rFonts w:cs="Times New Roman"/>
              </w:rPr>
            </w:pPr>
            <w:r w:rsidRPr="00A37F13">
              <w:rPr>
                <w:rFonts w:cs="Times New Roman"/>
              </w:rPr>
              <w:t>7.2</w:t>
            </w:r>
          </w:p>
        </w:tc>
        <w:tc>
          <w:tcPr>
            <w:tcW w:w="1331" w:type="dxa"/>
            <w:tcBorders>
              <w:top w:val="single" w:sz="6" w:space="0" w:color="000000"/>
              <w:left w:val="single" w:sz="6" w:space="0" w:color="000000"/>
              <w:bottom w:val="single" w:sz="6" w:space="0" w:color="000000"/>
              <w:right w:val="single" w:sz="6" w:space="0" w:color="000000"/>
            </w:tcBorders>
            <w:vAlign w:val="center"/>
            <w:hideMark/>
          </w:tcPr>
          <w:p w14:paraId="2D597608" w14:textId="77777777" w:rsidR="000A6D0C" w:rsidRPr="00A37F13" w:rsidRDefault="00C210A5" w:rsidP="00233EDC">
            <w:pPr>
              <w:pStyle w:val="a5"/>
              <w:jc w:val="center"/>
              <w:rPr>
                <w:rFonts w:cs="Times New Roman"/>
              </w:rPr>
            </w:pPr>
            <w:r w:rsidRPr="00A37F13">
              <w:rPr>
                <w:rFonts w:cs="Times New Roman"/>
              </w:rPr>
              <w:t>5.5</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5C11C9A0" w14:textId="77777777" w:rsidR="000A6D0C" w:rsidRPr="00A37F13" w:rsidRDefault="00C210A5" w:rsidP="00233EDC">
            <w:pPr>
              <w:pStyle w:val="a5"/>
              <w:jc w:val="center"/>
              <w:rPr>
                <w:rFonts w:cs="Times New Roman"/>
              </w:rPr>
            </w:pPr>
            <w:r w:rsidRPr="00A37F13">
              <w:rPr>
                <w:rFonts w:cs="Times New Roman"/>
              </w:rPr>
              <w:t>9.2</w:t>
            </w:r>
          </w:p>
        </w:tc>
      </w:tr>
      <w:tr w:rsidR="005A5348" w:rsidRPr="00A37F13" w14:paraId="2062CBE8"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54230C2A" w14:textId="77777777" w:rsidR="000A6D0C" w:rsidRPr="00A37F13" w:rsidRDefault="00C210A5" w:rsidP="00233EDC">
            <w:pPr>
              <w:pStyle w:val="a5"/>
              <w:ind w:leftChars="154" w:left="339"/>
              <w:rPr>
                <w:rFonts w:cs="Times New Roman"/>
              </w:rPr>
            </w:pPr>
            <w:r w:rsidRPr="00A37F13">
              <w:rPr>
                <w:rFonts w:cs="Times New Roman"/>
              </w:rPr>
              <w:t>Hazard ratio</w:t>
            </w:r>
          </w:p>
        </w:tc>
        <w:tc>
          <w:tcPr>
            <w:tcW w:w="1349" w:type="dxa"/>
            <w:tcBorders>
              <w:top w:val="single" w:sz="6" w:space="0" w:color="000000"/>
              <w:left w:val="single" w:sz="6" w:space="0" w:color="000000"/>
              <w:bottom w:val="single" w:sz="6" w:space="0" w:color="000000"/>
              <w:right w:val="single" w:sz="6" w:space="0" w:color="000000"/>
            </w:tcBorders>
            <w:vAlign w:val="center"/>
          </w:tcPr>
          <w:p w14:paraId="5F968FB5"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2E13F489" w14:textId="77777777" w:rsidR="000A6D0C" w:rsidRPr="00A37F13" w:rsidRDefault="00C210A5" w:rsidP="00233EDC">
            <w:pPr>
              <w:pStyle w:val="a5"/>
              <w:jc w:val="center"/>
              <w:rPr>
                <w:rFonts w:cs="Times New Roman"/>
              </w:rPr>
            </w:pPr>
            <w:r w:rsidRPr="00A37F13">
              <w:rPr>
                <w:rFonts w:cs="Times New Roman"/>
              </w:rPr>
              <w:t>0.44</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4E99072E" w14:textId="77777777" w:rsidR="000A6D0C" w:rsidRPr="00A37F13" w:rsidRDefault="00C210A5" w:rsidP="00233EDC">
            <w:pPr>
              <w:pStyle w:val="a5"/>
              <w:jc w:val="center"/>
              <w:rPr>
                <w:rFonts w:cs="Times New Roman"/>
              </w:rPr>
            </w:pPr>
            <w:r w:rsidRPr="00A37F13">
              <w:rPr>
                <w:rFonts w:cs="Times New Roman"/>
              </w:rPr>
              <w:t>0.69</w:t>
            </w:r>
          </w:p>
        </w:tc>
        <w:tc>
          <w:tcPr>
            <w:tcW w:w="1331" w:type="dxa"/>
            <w:tcBorders>
              <w:top w:val="single" w:sz="6" w:space="0" w:color="000000"/>
              <w:left w:val="single" w:sz="6" w:space="0" w:color="000000"/>
              <w:bottom w:val="single" w:sz="6" w:space="0" w:color="000000"/>
              <w:right w:val="single" w:sz="6" w:space="0" w:color="000000"/>
            </w:tcBorders>
            <w:vAlign w:val="center"/>
          </w:tcPr>
          <w:p w14:paraId="5FB560A0"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4C48D010" w14:textId="77777777" w:rsidR="000A6D0C" w:rsidRPr="00A37F13" w:rsidRDefault="00C210A5" w:rsidP="00233EDC">
            <w:pPr>
              <w:pStyle w:val="a5"/>
              <w:jc w:val="center"/>
              <w:rPr>
                <w:rFonts w:cs="Times New Roman"/>
              </w:rPr>
            </w:pPr>
            <w:r w:rsidRPr="00A37F13">
              <w:rPr>
                <w:rFonts w:cs="Times New Roman"/>
              </w:rPr>
              <w:t>0.5</w:t>
            </w:r>
          </w:p>
        </w:tc>
      </w:tr>
      <w:tr w:rsidR="005A5348" w:rsidRPr="00A37F13" w14:paraId="6BA0E127"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093551CF" w14:textId="454AC20A" w:rsidR="000A6D0C" w:rsidRPr="00A37F13" w:rsidRDefault="00C210A5" w:rsidP="00233EDC">
            <w:pPr>
              <w:pStyle w:val="a5"/>
              <w:ind w:leftChars="154" w:left="339"/>
              <w:rPr>
                <w:rFonts w:cs="Times New Roman"/>
              </w:rPr>
            </w:pPr>
            <w:r w:rsidRPr="00A37F13">
              <w:rPr>
                <w:rFonts w:cs="Times New Roman"/>
              </w:rPr>
              <w:t>p</w:t>
            </w:r>
            <w:r w:rsidR="00FD0731" w:rsidRPr="00A37F13">
              <w:rPr>
                <w:rFonts w:cs="Times New Roman"/>
              </w:rPr>
              <w:noBreakHyphen/>
            </w:r>
            <w:r w:rsidRPr="00A37F13">
              <w:rPr>
                <w:rFonts w:cs="Times New Roman"/>
              </w:rPr>
              <w:t>value</w:t>
            </w:r>
          </w:p>
        </w:tc>
        <w:tc>
          <w:tcPr>
            <w:tcW w:w="1349" w:type="dxa"/>
            <w:tcBorders>
              <w:top w:val="single" w:sz="6" w:space="0" w:color="000000"/>
              <w:left w:val="single" w:sz="6" w:space="0" w:color="000000"/>
              <w:bottom w:val="single" w:sz="6" w:space="0" w:color="000000"/>
              <w:right w:val="single" w:sz="6" w:space="0" w:color="000000"/>
            </w:tcBorders>
            <w:vAlign w:val="center"/>
            <w:hideMark/>
          </w:tcPr>
          <w:p w14:paraId="5D903376" w14:textId="77777777" w:rsidR="000A6D0C" w:rsidRPr="00A37F13" w:rsidRDefault="00C210A5" w:rsidP="00233EDC">
            <w:pPr>
              <w:pStyle w:val="a5"/>
              <w:jc w:val="center"/>
              <w:rPr>
                <w:rFonts w:cs="Times New Roman"/>
              </w:rPr>
            </w:pPr>
            <w:r w:rsidRPr="00A37F13">
              <w:rPr>
                <w:rFonts w:cs="Times New Roman"/>
              </w:rPr>
              <w:t>-</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001317BA" w14:textId="77777777" w:rsidR="000A6D0C" w:rsidRPr="00A37F13" w:rsidRDefault="00C210A5" w:rsidP="00233EDC">
            <w:pPr>
              <w:pStyle w:val="a5"/>
              <w:jc w:val="center"/>
              <w:rPr>
                <w:rFonts w:cs="Times New Roman"/>
              </w:rPr>
            </w:pPr>
            <w:r w:rsidRPr="00A37F13">
              <w:rPr>
                <w:rFonts w:cs="Times New Roman"/>
              </w:rPr>
              <w:t>0.0049</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7781F696" w14:textId="77777777" w:rsidR="000A6D0C" w:rsidRPr="00A37F13" w:rsidRDefault="00C210A5" w:rsidP="00233EDC">
            <w:pPr>
              <w:pStyle w:val="a5"/>
              <w:jc w:val="center"/>
              <w:rPr>
                <w:rFonts w:cs="Times New Roman"/>
              </w:rPr>
            </w:pPr>
            <w:r w:rsidRPr="00A37F13">
              <w:rPr>
                <w:rFonts w:cs="Times New Roman"/>
              </w:rPr>
              <w:t>0.217</w:t>
            </w:r>
          </w:p>
        </w:tc>
        <w:tc>
          <w:tcPr>
            <w:tcW w:w="1331" w:type="dxa"/>
            <w:tcBorders>
              <w:top w:val="single" w:sz="6" w:space="0" w:color="000000"/>
              <w:left w:val="single" w:sz="6" w:space="0" w:color="000000"/>
              <w:bottom w:val="single" w:sz="6" w:space="0" w:color="000000"/>
              <w:right w:val="single" w:sz="6" w:space="0" w:color="000000"/>
            </w:tcBorders>
            <w:vAlign w:val="center"/>
          </w:tcPr>
          <w:p w14:paraId="4FDDC54A"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09E6859F" w14:textId="77777777" w:rsidR="000A6D0C" w:rsidRPr="00A37F13" w:rsidRDefault="00C210A5" w:rsidP="00233EDC">
            <w:pPr>
              <w:pStyle w:val="a5"/>
              <w:jc w:val="center"/>
              <w:rPr>
                <w:rFonts w:cs="Times New Roman"/>
              </w:rPr>
            </w:pPr>
            <w:r w:rsidRPr="00A37F13">
              <w:rPr>
                <w:rFonts w:cs="Times New Roman"/>
              </w:rPr>
              <w:t>0.0002</w:t>
            </w:r>
          </w:p>
        </w:tc>
      </w:tr>
      <w:tr w:rsidR="00A27683" w:rsidRPr="00A37F13" w14:paraId="600196D5" w14:textId="77777777" w:rsidTr="004228B0">
        <w:trPr>
          <w:trHeight w:val="20"/>
        </w:trPr>
        <w:tc>
          <w:tcPr>
            <w:tcW w:w="9211" w:type="dxa"/>
            <w:gridSpan w:val="6"/>
            <w:tcBorders>
              <w:top w:val="single" w:sz="6" w:space="0" w:color="000000"/>
              <w:left w:val="single" w:sz="6" w:space="0" w:color="000000"/>
              <w:bottom w:val="single" w:sz="6" w:space="0" w:color="000000"/>
              <w:right w:val="single" w:sz="6" w:space="0" w:color="000000"/>
            </w:tcBorders>
            <w:hideMark/>
          </w:tcPr>
          <w:p w14:paraId="15EA7E72" w14:textId="77777777" w:rsidR="000A6D0C" w:rsidRPr="00A37F13" w:rsidRDefault="00C210A5" w:rsidP="00233EDC">
            <w:pPr>
              <w:pStyle w:val="a5"/>
              <w:rPr>
                <w:rFonts w:cs="Times New Roman"/>
              </w:rPr>
            </w:pPr>
            <w:r w:rsidRPr="00A37F13">
              <w:rPr>
                <w:rFonts w:cs="Times New Roman"/>
              </w:rPr>
              <w:t>Overall response rate</w:t>
            </w:r>
          </w:p>
        </w:tc>
      </w:tr>
      <w:tr w:rsidR="005A5348" w:rsidRPr="00A37F13" w14:paraId="3FA6DBF5"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380444CB" w14:textId="77777777" w:rsidR="000A6D0C" w:rsidRPr="00A37F13" w:rsidRDefault="00C210A5" w:rsidP="00233EDC">
            <w:pPr>
              <w:pStyle w:val="a5"/>
              <w:ind w:leftChars="154" w:left="339"/>
              <w:rPr>
                <w:rFonts w:cs="Times New Roman"/>
              </w:rPr>
            </w:pPr>
            <w:r w:rsidRPr="00A37F13">
              <w:rPr>
                <w:rFonts w:cs="Times New Roman"/>
              </w:rPr>
              <w:t>Rate (percent)</w:t>
            </w:r>
          </w:p>
        </w:tc>
        <w:tc>
          <w:tcPr>
            <w:tcW w:w="1349" w:type="dxa"/>
            <w:tcBorders>
              <w:top w:val="single" w:sz="6" w:space="0" w:color="000000"/>
              <w:left w:val="single" w:sz="6" w:space="0" w:color="000000"/>
              <w:bottom w:val="single" w:sz="6" w:space="0" w:color="000000"/>
              <w:right w:val="single" w:sz="6" w:space="0" w:color="000000"/>
            </w:tcBorders>
            <w:vAlign w:val="center"/>
            <w:hideMark/>
          </w:tcPr>
          <w:p w14:paraId="16CFEA4D" w14:textId="77777777" w:rsidR="000A6D0C" w:rsidRPr="00A37F13" w:rsidRDefault="00C210A5" w:rsidP="00233EDC">
            <w:pPr>
              <w:pStyle w:val="a5"/>
              <w:jc w:val="center"/>
              <w:rPr>
                <w:rFonts w:cs="Times New Roman"/>
              </w:rPr>
            </w:pPr>
            <w:r w:rsidRPr="00A37F13">
              <w:rPr>
                <w:rFonts w:cs="Times New Roman"/>
              </w:rPr>
              <w:t>16.7</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415C5B8C" w14:textId="77777777" w:rsidR="000A6D0C" w:rsidRPr="00A37F13" w:rsidRDefault="00C210A5" w:rsidP="00233EDC">
            <w:pPr>
              <w:pStyle w:val="a5"/>
              <w:jc w:val="center"/>
              <w:rPr>
                <w:rFonts w:cs="Times New Roman"/>
              </w:rPr>
            </w:pPr>
            <w:r w:rsidRPr="00A37F13">
              <w:rPr>
                <w:rFonts w:cs="Times New Roman"/>
              </w:rPr>
              <w:t>40.0</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0F30DFF5" w14:textId="77777777" w:rsidR="000A6D0C" w:rsidRPr="00A37F13" w:rsidRDefault="00C210A5" w:rsidP="00233EDC">
            <w:pPr>
              <w:pStyle w:val="a5"/>
              <w:jc w:val="center"/>
              <w:rPr>
                <w:rFonts w:cs="Times New Roman"/>
              </w:rPr>
            </w:pPr>
            <w:r w:rsidRPr="00A37F13">
              <w:rPr>
                <w:rFonts w:cs="Times New Roman"/>
              </w:rPr>
              <w:t>24.2</w:t>
            </w:r>
          </w:p>
        </w:tc>
        <w:tc>
          <w:tcPr>
            <w:tcW w:w="1331" w:type="dxa"/>
            <w:tcBorders>
              <w:top w:val="single" w:sz="6" w:space="0" w:color="000000"/>
              <w:left w:val="single" w:sz="6" w:space="0" w:color="000000"/>
              <w:bottom w:val="single" w:sz="6" w:space="0" w:color="000000"/>
              <w:right w:val="single" w:sz="6" w:space="0" w:color="000000"/>
            </w:tcBorders>
            <w:vAlign w:val="center"/>
            <w:hideMark/>
          </w:tcPr>
          <w:p w14:paraId="610C622A" w14:textId="77777777" w:rsidR="000A6D0C" w:rsidRPr="00A37F13" w:rsidRDefault="00C210A5" w:rsidP="00233EDC">
            <w:pPr>
              <w:pStyle w:val="a5"/>
              <w:jc w:val="center"/>
              <w:rPr>
                <w:rFonts w:cs="Times New Roman"/>
              </w:rPr>
            </w:pPr>
            <w:r w:rsidRPr="00A37F13">
              <w:rPr>
                <w:rFonts w:cs="Times New Roman"/>
              </w:rPr>
              <w:t>15.2</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331ECCE2" w14:textId="77777777" w:rsidR="000A6D0C" w:rsidRPr="00A37F13" w:rsidRDefault="00C210A5" w:rsidP="00233EDC">
            <w:pPr>
              <w:pStyle w:val="a5"/>
              <w:jc w:val="center"/>
              <w:rPr>
                <w:rFonts w:cs="Times New Roman"/>
              </w:rPr>
            </w:pPr>
            <w:r w:rsidRPr="00A37F13">
              <w:rPr>
                <w:rFonts w:cs="Times New Roman"/>
              </w:rPr>
              <w:t>26</w:t>
            </w:r>
          </w:p>
        </w:tc>
      </w:tr>
      <w:tr w:rsidR="005A5348" w:rsidRPr="00A37F13" w14:paraId="7F1435F2"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7F512862" w14:textId="77777777" w:rsidR="000A6D0C" w:rsidRPr="00A37F13" w:rsidRDefault="00C210A5" w:rsidP="00233EDC">
            <w:pPr>
              <w:pStyle w:val="a5"/>
              <w:ind w:leftChars="154" w:left="339"/>
              <w:rPr>
                <w:rFonts w:cs="Times New Roman"/>
              </w:rPr>
            </w:pPr>
            <w:r w:rsidRPr="00A37F13">
              <w:rPr>
                <w:rFonts w:cs="Times New Roman"/>
              </w:rPr>
              <w:t>95% CI</w:t>
            </w:r>
          </w:p>
        </w:tc>
        <w:tc>
          <w:tcPr>
            <w:tcW w:w="1349" w:type="dxa"/>
            <w:tcBorders>
              <w:top w:val="single" w:sz="6" w:space="0" w:color="000000"/>
              <w:left w:val="single" w:sz="6" w:space="0" w:color="000000"/>
              <w:bottom w:val="single" w:sz="6" w:space="0" w:color="000000"/>
              <w:right w:val="single" w:sz="6" w:space="0" w:color="000000"/>
            </w:tcBorders>
            <w:vAlign w:val="center"/>
            <w:hideMark/>
          </w:tcPr>
          <w:p w14:paraId="67872465" w14:textId="77777777" w:rsidR="000A6D0C" w:rsidRPr="00A37F13" w:rsidRDefault="00C210A5" w:rsidP="00233EDC">
            <w:pPr>
              <w:pStyle w:val="a5"/>
              <w:jc w:val="center"/>
              <w:rPr>
                <w:rFonts w:cs="Times New Roman"/>
              </w:rPr>
            </w:pPr>
            <w:r w:rsidRPr="00A37F13">
              <w:rPr>
                <w:rFonts w:cs="Times New Roman"/>
              </w:rPr>
              <w:t>7.0 - 33.5</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468C2D01" w14:textId="77777777" w:rsidR="000A6D0C" w:rsidRPr="00A37F13" w:rsidRDefault="00C210A5" w:rsidP="00233EDC">
            <w:pPr>
              <w:pStyle w:val="a5"/>
              <w:jc w:val="center"/>
              <w:rPr>
                <w:rFonts w:cs="Times New Roman"/>
              </w:rPr>
            </w:pPr>
            <w:r w:rsidRPr="00A37F13">
              <w:rPr>
                <w:rFonts w:cs="Times New Roman"/>
              </w:rPr>
              <w:t>24.4 - 57.8</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0AA751F0" w14:textId="77777777" w:rsidR="000A6D0C" w:rsidRPr="00A37F13" w:rsidRDefault="00C210A5" w:rsidP="00233EDC">
            <w:pPr>
              <w:pStyle w:val="a5"/>
              <w:jc w:val="center"/>
              <w:rPr>
                <w:rFonts w:cs="Times New Roman"/>
              </w:rPr>
            </w:pPr>
            <w:r w:rsidRPr="00A37F13">
              <w:rPr>
                <w:rFonts w:cs="Times New Roman"/>
              </w:rPr>
              <w:t>11.7 - 42.6</w:t>
            </w:r>
          </w:p>
        </w:tc>
        <w:tc>
          <w:tcPr>
            <w:tcW w:w="1331" w:type="dxa"/>
            <w:tcBorders>
              <w:top w:val="single" w:sz="6" w:space="0" w:color="000000"/>
              <w:left w:val="single" w:sz="6" w:space="0" w:color="000000"/>
              <w:bottom w:val="single" w:sz="6" w:space="0" w:color="000000"/>
              <w:right w:val="single" w:sz="6" w:space="0" w:color="000000"/>
            </w:tcBorders>
            <w:vAlign w:val="center"/>
            <w:hideMark/>
          </w:tcPr>
          <w:p w14:paraId="4FFF1E1B" w14:textId="77777777" w:rsidR="000A6D0C" w:rsidRPr="00A37F13" w:rsidRDefault="00C210A5" w:rsidP="00233EDC">
            <w:pPr>
              <w:pStyle w:val="a5"/>
              <w:jc w:val="center"/>
              <w:rPr>
                <w:rFonts w:cs="Times New Roman"/>
              </w:rPr>
            </w:pPr>
            <w:r w:rsidRPr="00A37F13">
              <w:rPr>
                <w:rFonts w:cs="Times New Roman"/>
              </w:rPr>
              <w:t>9.2 - 23.9</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0932DB50" w14:textId="77777777" w:rsidR="000A6D0C" w:rsidRPr="00A37F13" w:rsidRDefault="00C210A5" w:rsidP="00233EDC">
            <w:pPr>
              <w:pStyle w:val="a5"/>
              <w:jc w:val="center"/>
              <w:rPr>
                <w:rFonts w:cs="Times New Roman"/>
              </w:rPr>
            </w:pPr>
            <w:r w:rsidRPr="00A37F13">
              <w:rPr>
                <w:rFonts w:cs="Times New Roman"/>
              </w:rPr>
              <w:t>18.1 - 35.6</w:t>
            </w:r>
          </w:p>
        </w:tc>
      </w:tr>
      <w:tr w:rsidR="005A5348" w:rsidRPr="00A37F13" w14:paraId="6E2B0974"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4566735C" w14:textId="6002D57E" w:rsidR="000A6D0C" w:rsidRPr="00A37F13" w:rsidRDefault="00C210A5" w:rsidP="00233EDC">
            <w:pPr>
              <w:pStyle w:val="a5"/>
              <w:ind w:leftChars="154" w:left="339"/>
              <w:rPr>
                <w:rFonts w:cs="Times New Roman"/>
              </w:rPr>
            </w:pPr>
            <w:r w:rsidRPr="00A37F13">
              <w:rPr>
                <w:rFonts w:cs="Times New Roman"/>
              </w:rPr>
              <w:t>p</w:t>
            </w:r>
            <w:r w:rsidR="00FD0731" w:rsidRPr="00A37F13">
              <w:rPr>
                <w:rFonts w:cs="Times New Roman"/>
              </w:rPr>
              <w:noBreakHyphen/>
            </w:r>
            <w:r w:rsidRPr="00A37F13">
              <w:rPr>
                <w:rFonts w:cs="Times New Roman"/>
              </w:rPr>
              <w:t>value</w:t>
            </w:r>
          </w:p>
        </w:tc>
        <w:tc>
          <w:tcPr>
            <w:tcW w:w="1349" w:type="dxa"/>
            <w:tcBorders>
              <w:top w:val="single" w:sz="6" w:space="0" w:color="000000"/>
              <w:left w:val="single" w:sz="6" w:space="0" w:color="000000"/>
              <w:bottom w:val="single" w:sz="6" w:space="0" w:color="000000"/>
              <w:right w:val="single" w:sz="6" w:space="0" w:color="000000"/>
            </w:tcBorders>
            <w:vAlign w:val="center"/>
          </w:tcPr>
          <w:p w14:paraId="06646060"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53D1EF15" w14:textId="77777777" w:rsidR="000A6D0C" w:rsidRPr="00A37F13" w:rsidRDefault="00C210A5" w:rsidP="00233EDC">
            <w:pPr>
              <w:pStyle w:val="a5"/>
              <w:jc w:val="center"/>
              <w:rPr>
                <w:rFonts w:cs="Times New Roman"/>
              </w:rPr>
            </w:pPr>
            <w:r w:rsidRPr="00A37F13">
              <w:rPr>
                <w:rFonts w:cs="Times New Roman"/>
              </w:rPr>
              <w:t>0.029</w:t>
            </w: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37CDD8EA" w14:textId="77777777" w:rsidR="000A6D0C" w:rsidRPr="00A37F13" w:rsidRDefault="00C210A5" w:rsidP="00233EDC">
            <w:pPr>
              <w:pStyle w:val="a5"/>
              <w:jc w:val="center"/>
              <w:rPr>
                <w:rFonts w:cs="Times New Roman"/>
              </w:rPr>
            </w:pPr>
            <w:r w:rsidRPr="00A37F13">
              <w:rPr>
                <w:rFonts w:cs="Times New Roman"/>
              </w:rPr>
              <w:t>0.43</w:t>
            </w:r>
          </w:p>
        </w:tc>
        <w:tc>
          <w:tcPr>
            <w:tcW w:w="1331" w:type="dxa"/>
            <w:tcBorders>
              <w:top w:val="single" w:sz="6" w:space="0" w:color="000000"/>
              <w:left w:val="single" w:sz="6" w:space="0" w:color="000000"/>
              <w:bottom w:val="single" w:sz="6" w:space="0" w:color="000000"/>
              <w:right w:val="single" w:sz="6" w:space="0" w:color="000000"/>
            </w:tcBorders>
            <w:vAlign w:val="center"/>
          </w:tcPr>
          <w:p w14:paraId="6F074C24" w14:textId="77777777" w:rsidR="000A6D0C" w:rsidRPr="00A37F13" w:rsidRDefault="000A6D0C" w:rsidP="00233EDC">
            <w:pPr>
              <w:pStyle w:val="a5"/>
              <w:jc w:val="center"/>
              <w:rPr>
                <w:rFonts w:cs="Times New Roman"/>
              </w:rPr>
            </w:pP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0600F7B2" w14:textId="77777777" w:rsidR="000A6D0C" w:rsidRPr="00A37F13" w:rsidRDefault="00C210A5" w:rsidP="00233EDC">
            <w:pPr>
              <w:pStyle w:val="a5"/>
              <w:jc w:val="center"/>
              <w:rPr>
                <w:rFonts w:cs="Times New Roman"/>
              </w:rPr>
            </w:pPr>
            <w:r w:rsidRPr="00A37F13">
              <w:rPr>
                <w:rFonts w:cs="Times New Roman"/>
              </w:rPr>
              <w:t>0.055</w:t>
            </w:r>
          </w:p>
        </w:tc>
      </w:tr>
      <w:tr w:rsidR="00A27683" w:rsidRPr="00A37F13" w14:paraId="73A8D217" w14:textId="77777777" w:rsidTr="004228B0">
        <w:trPr>
          <w:trHeight w:val="20"/>
        </w:trPr>
        <w:tc>
          <w:tcPr>
            <w:tcW w:w="9211" w:type="dxa"/>
            <w:gridSpan w:val="6"/>
            <w:tcBorders>
              <w:top w:val="single" w:sz="6" w:space="0" w:color="000000"/>
              <w:left w:val="single" w:sz="6" w:space="0" w:color="000000"/>
              <w:bottom w:val="single" w:sz="6" w:space="0" w:color="000000"/>
              <w:right w:val="single" w:sz="6" w:space="0" w:color="000000"/>
            </w:tcBorders>
            <w:hideMark/>
          </w:tcPr>
          <w:p w14:paraId="0416A446" w14:textId="77777777" w:rsidR="000A6D0C" w:rsidRPr="00A37F13" w:rsidRDefault="00C210A5" w:rsidP="00233EDC">
            <w:pPr>
              <w:pStyle w:val="a5"/>
              <w:rPr>
                <w:rFonts w:cs="Times New Roman"/>
              </w:rPr>
            </w:pPr>
            <w:r w:rsidRPr="00A37F13">
              <w:rPr>
                <w:rFonts w:cs="Times New Roman"/>
              </w:rPr>
              <w:t>Duration of response</w:t>
            </w:r>
          </w:p>
        </w:tc>
      </w:tr>
      <w:tr w:rsidR="005A5348" w:rsidRPr="00A37F13" w14:paraId="67EEBFCC"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2E90B331" w14:textId="77777777" w:rsidR="000A6D0C" w:rsidRPr="00A37F13" w:rsidRDefault="00C210A5" w:rsidP="00233EDC">
            <w:pPr>
              <w:pStyle w:val="a5"/>
              <w:ind w:leftChars="154" w:left="339"/>
              <w:rPr>
                <w:rFonts w:cs="Times New Roman"/>
              </w:rPr>
            </w:pPr>
            <w:r w:rsidRPr="00A37F13">
              <w:rPr>
                <w:rFonts w:cs="Times New Roman"/>
              </w:rPr>
              <w:t>Median time (months)</w:t>
            </w:r>
          </w:p>
        </w:tc>
        <w:tc>
          <w:tcPr>
            <w:tcW w:w="1349" w:type="dxa"/>
            <w:tcBorders>
              <w:top w:val="single" w:sz="6" w:space="0" w:color="000000"/>
              <w:left w:val="single" w:sz="6" w:space="0" w:color="000000"/>
              <w:bottom w:val="single" w:sz="6" w:space="0" w:color="000000"/>
              <w:right w:val="single" w:sz="6" w:space="0" w:color="000000"/>
            </w:tcBorders>
            <w:hideMark/>
          </w:tcPr>
          <w:p w14:paraId="00373BF1" w14:textId="77777777" w:rsidR="000A6D0C" w:rsidRPr="00A37F13" w:rsidRDefault="00C210A5" w:rsidP="00233EDC">
            <w:pPr>
              <w:pStyle w:val="a5"/>
              <w:jc w:val="center"/>
              <w:rPr>
                <w:rFonts w:cs="Times New Roman"/>
              </w:rPr>
            </w:pPr>
            <w:r w:rsidRPr="00A37F13">
              <w:rPr>
                <w:rFonts w:cs="Times New Roman"/>
              </w:rPr>
              <w:t>NR</w:t>
            </w:r>
          </w:p>
        </w:tc>
        <w:tc>
          <w:tcPr>
            <w:tcW w:w="1284" w:type="dxa"/>
            <w:tcBorders>
              <w:top w:val="single" w:sz="6" w:space="0" w:color="000000"/>
              <w:left w:val="single" w:sz="6" w:space="0" w:color="000000"/>
              <w:bottom w:val="single" w:sz="6" w:space="0" w:color="000000"/>
              <w:right w:val="single" w:sz="6" w:space="0" w:color="000000"/>
            </w:tcBorders>
            <w:hideMark/>
          </w:tcPr>
          <w:p w14:paraId="6203378F" w14:textId="77777777" w:rsidR="000A6D0C" w:rsidRPr="00A37F13" w:rsidRDefault="00C210A5" w:rsidP="00233EDC">
            <w:pPr>
              <w:pStyle w:val="a5"/>
              <w:jc w:val="center"/>
              <w:rPr>
                <w:rFonts w:cs="Times New Roman"/>
              </w:rPr>
            </w:pPr>
            <w:r w:rsidRPr="00A37F13">
              <w:rPr>
                <w:rFonts w:cs="Times New Roman"/>
              </w:rPr>
              <w:t>9.3</w:t>
            </w:r>
          </w:p>
        </w:tc>
        <w:tc>
          <w:tcPr>
            <w:tcW w:w="1237" w:type="dxa"/>
            <w:tcBorders>
              <w:top w:val="single" w:sz="6" w:space="0" w:color="000000"/>
              <w:left w:val="single" w:sz="6" w:space="0" w:color="000000"/>
              <w:bottom w:val="single" w:sz="6" w:space="0" w:color="000000"/>
              <w:right w:val="single" w:sz="6" w:space="0" w:color="000000"/>
            </w:tcBorders>
            <w:hideMark/>
          </w:tcPr>
          <w:p w14:paraId="30774CD5" w14:textId="77777777" w:rsidR="000A6D0C" w:rsidRPr="00A37F13" w:rsidRDefault="00C210A5" w:rsidP="00233EDC">
            <w:pPr>
              <w:pStyle w:val="a5"/>
              <w:jc w:val="center"/>
              <w:rPr>
                <w:rFonts w:cs="Times New Roman"/>
              </w:rPr>
            </w:pPr>
            <w:r w:rsidRPr="00A37F13">
              <w:rPr>
                <w:rFonts w:cs="Times New Roman"/>
              </w:rPr>
              <w:t>5.0</w:t>
            </w:r>
          </w:p>
        </w:tc>
        <w:tc>
          <w:tcPr>
            <w:tcW w:w="1331" w:type="dxa"/>
            <w:tcBorders>
              <w:top w:val="single" w:sz="6" w:space="0" w:color="000000"/>
              <w:left w:val="single" w:sz="6" w:space="0" w:color="000000"/>
              <w:bottom w:val="single" w:sz="6" w:space="0" w:color="000000"/>
              <w:right w:val="single" w:sz="6" w:space="0" w:color="000000"/>
            </w:tcBorders>
            <w:hideMark/>
          </w:tcPr>
          <w:p w14:paraId="6BCB4E1C" w14:textId="77777777" w:rsidR="000A6D0C" w:rsidRPr="00A37F13" w:rsidRDefault="00C210A5" w:rsidP="00233EDC">
            <w:pPr>
              <w:pStyle w:val="a5"/>
              <w:jc w:val="center"/>
              <w:rPr>
                <w:rFonts w:cs="Times New Roman"/>
              </w:rPr>
            </w:pPr>
            <w:r w:rsidRPr="00A37F13">
              <w:rPr>
                <w:rFonts w:cs="Times New Roman"/>
              </w:rPr>
              <w:t>6.8</w:t>
            </w:r>
          </w:p>
        </w:tc>
        <w:tc>
          <w:tcPr>
            <w:tcW w:w="1284" w:type="dxa"/>
            <w:tcBorders>
              <w:top w:val="single" w:sz="6" w:space="0" w:color="000000"/>
              <w:left w:val="single" w:sz="6" w:space="0" w:color="000000"/>
              <w:bottom w:val="single" w:sz="6" w:space="0" w:color="000000"/>
              <w:right w:val="single" w:sz="6" w:space="0" w:color="000000"/>
            </w:tcBorders>
            <w:hideMark/>
          </w:tcPr>
          <w:p w14:paraId="718073FE" w14:textId="77777777" w:rsidR="000A6D0C" w:rsidRPr="00A37F13" w:rsidRDefault="00C210A5" w:rsidP="00233EDC">
            <w:pPr>
              <w:pStyle w:val="a5"/>
              <w:jc w:val="center"/>
              <w:rPr>
                <w:rFonts w:cs="Times New Roman"/>
              </w:rPr>
            </w:pPr>
            <w:r w:rsidRPr="00A37F13">
              <w:rPr>
                <w:rFonts w:cs="Times New Roman"/>
              </w:rPr>
              <w:t>9.2</w:t>
            </w:r>
          </w:p>
        </w:tc>
      </w:tr>
      <w:tr w:rsidR="005A5348" w:rsidRPr="00A37F13" w14:paraId="2FC1CCDE" w14:textId="77777777" w:rsidTr="004228B0">
        <w:trPr>
          <w:trHeight w:val="20"/>
        </w:trPr>
        <w:tc>
          <w:tcPr>
            <w:tcW w:w="2726" w:type="dxa"/>
            <w:tcBorders>
              <w:top w:val="single" w:sz="6" w:space="0" w:color="000000"/>
              <w:left w:val="single" w:sz="6" w:space="0" w:color="000000"/>
              <w:bottom w:val="single" w:sz="6" w:space="0" w:color="000000"/>
              <w:right w:val="single" w:sz="6" w:space="0" w:color="000000"/>
            </w:tcBorders>
            <w:hideMark/>
          </w:tcPr>
          <w:p w14:paraId="4D40DDEF" w14:textId="77777777" w:rsidR="000A6D0C" w:rsidRPr="00A37F13" w:rsidRDefault="00C210A5" w:rsidP="00233EDC">
            <w:pPr>
              <w:pStyle w:val="a5"/>
              <w:ind w:leftChars="154" w:left="339"/>
              <w:rPr>
                <w:rFonts w:cs="Times New Roman"/>
              </w:rPr>
            </w:pPr>
            <w:r w:rsidRPr="00A37F13">
              <w:rPr>
                <w:rFonts w:cs="Times New Roman"/>
              </w:rPr>
              <w:t>25–75 percentile (months)</w:t>
            </w:r>
          </w:p>
        </w:tc>
        <w:tc>
          <w:tcPr>
            <w:tcW w:w="1349" w:type="dxa"/>
            <w:tcBorders>
              <w:top w:val="single" w:sz="6" w:space="0" w:color="000000"/>
              <w:left w:val="single" w:sz="6" w:space="0" w:color="000000"/>
              <w:bottom w:val="single" w:sz="6" w:space="0" w:color="000000"/>
              <w:right w:val="single" w:sz="6" w:space="0" w:color="000000"/>
            </w:tcBorders>
            <w:hideMark/>
          </w:tcPr>
          <w:p w14:paraId="4C8EF815" w14:textId="77777777" w:rsidR="000A6D0C" w:rsidRPr="00A37F13" w:rsidRDefault="00C210A5" w:rsidP="00233EDC">
            <w:pPr>
              <w:pStyle w:val="a5"/>
              <w:jc w:val="center"/>
              <w:rPr>
                <w:rFonts w:cs="Times New Roman"/>
              </w:rPr>
            </w:pPr>
            <w:r w:rsidRPr="00A37F13">
              <w:rPr>
                <w:rFonts w:cs="Times New Roman"/>
              </w:rPr>
              <w:t>5.5 - NR</w:t>
            </w:r>
          </w:p>
        </w:tc>
        <w:tc>
          <w:tcPr>
            <w:tcW w:w="1284" w:type="dxa"/>
            <w:tcBorders>
              <w:top w:val="single" w:sz="6" w:space="0" w:color="000000"/>
              <w:left w:val="single" w:sz="6" w:space="0" w:color="000000"/>
              <w:bottom w:val="single" w:sz="6" w:space="0" w:color="000000"/>
              <w:right w:val="single" w:sz="6" w:space="0" w:color="000000"/>
            </w:tcBorders>
            <w:hideMark/>
          </w:tcPr>
          <w:p w14:paraId="23D02ACD" w14:textId="77777777" w:rsidR="000A6D0C" w:rsidRPr="00A37F13" w:rsidRDefault="00C210A5" w:rsidP="00233EDC">
            <w:pPr>
              <w:pStyle w:val="a5"/>
              <w:jc w:val="center"/>
              <w:rPr>
                <w:rFonts w:cs="Times New Roman"/>
              </w:rPr>
            </w:pPr>
            <w:r w:rsidRPr="00A37F13">
              <w:rPr>
                <w:rFonts w:cs="Times New Roman"/>
              </w:rPr>
              <w:t>6.1 - NR</w:t>
            </w:r>
          </w:p>
        </w:tc>
        <w:tc>
          <w:tcPr>
            <w:tcW w:w="1237" w:type="dxa"/>
            <w:tcBorders>
              <w:top w:val="single" w:sz="6" w:space="0" w:color="000000"/>
              <w:left w:val="single" w:sz="6" w:space="0" w:color="000000"/>
              <w:bottom w:val="single" w:sz="6" w:space="0" w:color="000000"/>
              <w:right w:val="single" w:sz="6" w:space="0" w:color="000000"/>
            </w:tcBorders>
            <w:hideMark/>
          </w:tcPr>
          <w:p w14:paraId="0406C6E7" w14:textId="77777777" w:rsidR="000A6D0C" w:rsidRPr="00A37F13" w:rsidRDefault="00C210A5" w:rsidP="00233EDC">
            <w:pPr>
              <w:pStyle w:val="a5"/>
              <w:jc w:val="center"/>
              <w:rPr>
                <w:rFonts w:cs="Times New Roman"/>
              </w:rPr>
            </w:pPr>
            <w:r w:rsidRPr="00A37F13">
              <w:rPr>
                <w:rFonts w:cs="Times New Roman"/>
              </w:rPr>
              <w:t>3.8 - 7.8</w:t>
            </w:r>
          </w:p>
        </w:tc>
        <w:tc>
          <w:tcPr>
            <w:tcW w:w="1331" w:type="dxa"/>
            <w:tcBorders>
              <w:top w:val="single" w:sz="6" w:space="0" w:color="000000"/>
              <w:left w:val="single" w:sz="6" w:space="0" w:color="000000"/>
              <w:bottom w:val="single" w:sz="6" w:space="0" w:color="000000"/>
              <w:right w:val="single" w:sz="6" w:space="0" w:color="000000"/>
            </w:tcBorders>
            <w:hideMark/>
          </w:tcPr>
          <w:p w14:paraId="130949E3" w14:textId="77777777" w:rsidR="000A6D0C" w:rsidRPr="00A37F13" w:rsidRDefault="00C210A5" w:rsidP="00233EDC">
            <w:pPr>
              <w:pStyle w:val="a5"/>
              <w:jc w:val="center"/>
              <w:rPr>
                <w:rFonts w:cs="Times New Roman"/>
              </w:rPr>
            </w:pPr>
            <w:r w:rsidRPr="00A37F13">
              <w:rPr>
                <w:rFonts w:cs="Times New Roman"/>
              </w:rPr>
              <w:t>5.59 - 9.17</w:t>
            </w:r>
          </w:p>
        </w:tc>
        <w:tc>
          <w:tcPr>
            <w:tcW w:w="1284" w:type="dxa"/>
            <w:tcBorders>
              <w:top w:val="single" w:sz="6" w:space="0" w:color="000000"/>
              <w:left w:val="single" w:sz="6" w:space="0" w:color="000000"/>
              <w:bottom w:val="single" w:sz="6" w:space="0" w:color="000000"/>
              <w:right w:val="single" w:sz="6" w:space="0" w:color="000000"/>
            </w:tcBorders>
            <w:hideMark/>
          </w:tcPr>
          <w:p w14:paraId="66644541" w14:textId="77777777" w:rsidR="000A6D0C" w:rsidRPr="00A37F13" w:rsidRDefault="00C210A5" w:rsidP="00233EDC">
            <w:pPr>
              <w:pStyle w:val="a5"/>
              <w:jc w:val="center"/>
              <w:rPr>
                <w:rFonts w:cs="Times New Roman"/>
              </w:rPr>
            </w:pPr>
            <w:r w:rsidRPr="00A37F13">
              <w:rPr>
                <w:rFonts w:cs="Times New Roman"/>
              </w:rPr>
              <w:t>5.88 - 13.01</w:t>
            </w:r>
          </w:p>
        </w:tc>
      </w:tr>
    </w:tbl>
    <w:p w14:paraId="6A7CF9CC" w14:textId="77777777" w:rsidR="00047E69" w:rsidRPr="0034055E" w:rsidRDefault="00C210A5" w:rsidP="00233EDC">
      <w:pPr>
        <w:adjustRightInd w:val="0"/>
        <w:snapToGrid w:val="0"/>
        <w:rPr>
          <w:rFonts w:ascii="Times New Roman" w:eastAsia="Times New Roman" w:hAnsi="Times New Roman" w:cs="Times New Roman"/>
          <w:sz w:val="20"/>
          <w:szCs w:val="20"/>
        </w:rPr>
      </w:pPr>
      <w:r w:rsidRPr="0034055E">
        <w:rPr>
          <w:rFonts w:ascii="Times New Roman"/>
          <w:sz w:val="20"/>
          <w:szCs w:val="20"/>
          <w:vertAlign w:val="superscript"/>
        </w:rPr>
        <w:t>a</w:t>
      </w:r>
      <w:r w:rsidRPr="0034055E">
        <w:rPr>
          <w:rFonts w:ascii="Times New Roman"/>
          <w:sz w:val="20"/>
          <w:szCs w:val="20"/>
        </w:rPr>
        <w:t xml:space="preserve"> 5 mg/kg every 2 weeks.</w:t>
      </w:r>
    </w:p>
    <w:p w14:paraId="5787F8D9" w14:textId="77777777" w:rsidR="004918AD" w:rsidRPr="0034055E" w:rsidRDefault="00C210A5" w:rsidP="00233EDC">
      <w:pPr>
        <w:adjustRightInd w:val="0"/>
        <w:snapToGrid w:val="0"/>
        <w:rPr>
          <w:rFonts w:ascii="Times New Roman"/>
          <w:sz w:val="20"/>
          <w:szCs w:val="20"/>
        </w:rPr>
      </w:pPr>
      <w:r w:rsidRPr="0034055E">
        <w:rPr>
          <w:rFonts w:ascii="Times New Roman"/>
          <w:sz w:val="20"/>
          <w:szCs w:val="20"/>
          <w:vertAlign w:val="superscript"/>
        </w:rPr>
        <w:t>b</w:t>
      </w:r>
      <w:r w:rsidRPr="0034055E">
        <w:rPr>
          <w:rFonts w:ascii="Times New Roman"/>
          <w:sz w:val="20"/>
          <w:szCs w:val="20"/>
        </w:rPr>
        <w:t xml:space="preserve"> 10 mg/kg every 2 weeks. </w:t>
      </w:r>
    </w:p>
    <w:p w14:paraId="166292B2" w14:textId="77777777" w:rsidR="00047E69" w:rsidRPr="0034055E" w:rsidRDefault="00C210A5" w:rsidP="00233EDC">
      <w:pPr>
        <w:adjustRightInd w:val="0"/>
        <w:snapToGrid w:val="0"/>
        <w:rPr>
          <w:rFonts w:ascii="Times New Roman" w:eastAsia="Times New Roman" w:hAnsi="Times New Roman" w:cs="Times New Roman"/>
          <w:sz w:val="20"/>
          <w:szCs w:val="20"/>
        </w:rPr>
      </w:pPr>
      <w:r w:rsidRPr="0034055E">
        <w:rPr>
          <w:rFonts w:ascii="Times New Roman"/>
          <w:sz w:val="20"/>
          <w:szCs w:val="20"/>
          <w:vertAlign w:val="superscript"/>
        </w:rPr>
        <w:t>c</w:t>
      </w:r>
      <w:r w:rsidRPr="0034055E">
        <w:rPr>
          <w:rFonts w:ascii="Times New Roman"/>
          <w:sz w:val="20"/>
          <w:szCs w:val="20"/>
        </w:rPr>
        <w:t xml:space="preserve"> Relative to control arm. NR = not reached.</w:t>
      </w:r>
    </w:p>
    <w:p w14:paraId="5EA285C9" w14:textId="77777777" w:rsidR="00047E69" w:rsidRPr="00A37F13" w:rsidRDefault="00047E69" w:rsidP="00233EDC">
      <w:pPr>
        <w:adjustRightInd w:val="0"/>
        <w:snapToGrid w:val="0"/>
        <w:rPr>
          <w:rFonts w:ascii="Times New Roman" w:eastAsia="Times New Roman" w:hAnsi="Times New Roman" w:cs="Times New Roman"/>
          <w:sz w:val="15"/>
          <w:szCs w:val="15"/>
        </w:rPr>
      </w:pPr>
    </w:p>
    <w:p w14:paraId="1BF36908" w14:textId="77777777" w:rsidR="00047E69" w:rsidRDefault="00C210A5" w:rsidP="00233EDC">
      <w:pPr>
        <w:adjustRightInd w:val="0"/>
        <w:snapToGrid w:val="0"/>
        <w:rPr>
          <w:rFonts w:ascii="Times New Roman" w:eastAsia="Times New Roman" w:hAnsi="Times New Roman" w:cs="Times New Roman"/>
        </w:rPr>
      </w:pPr>
      <w:r>
        <w:rPr>
          <w:rFonts w:ascii="Times New Roman"/>
          <w:i/>
        </w:rPr>
        <w:t>NO16966</w:t>
      </w:r>
    </w:p>
    <w:p w14:paraId="7EF1091F" w14:textId="1CF9433C" w:rsidR="00047E69" w:rsidRDefault="00C210A5" w:rsidP="00233EDC">
      <w:pPr>
        <w:pStyle w:val="a5"/>
        <w:adjustRightInd w:val="0"/>
        <w:snapToGrid w:val="0"/>
        <w:rPr>
          <w:spacing w:val="-3"/>
        </w:rPr>
      </w:pPr>
      <w:r>
        <w:rPr>
          <w:spacing w:val="-2"/>
        </w:rPr>
        <w:t>This</w:t>
      </w:r>
      <w:r>
        <w:rPr>
          <w:spacing w:val="3"/>
        </w:rPr>
        <w:t xml:space="preserve"> </w:t>
      </w:r>
      <w:r>
        <w:rPr>
          <w:spacing w:val="-2"/>
        </w:rPr>
        <w:t>was</w:t>
      </w:r>
      <w:r>
        <w:rPr>
          <w:spacing w:val="3"/>
        </w:rPr>
        <w:t xml:space="preserve"> </w:t>
      </w:r>
      <w:r>
        <w:t xml:space="preserve">a </w:t>
      </w:r>
      <w:r>
        <w:rPr>
          <w:spacing w:val="-1"/>
        </w:rPr>
        <w:t>phas</w:t>
      </w:r>
      <w:r w:rsidRPr="0073521A">
        <w:t>e III rand</w:t>
      </w:r>
      <w:r>
        <w:rPr>
          <w:spacing w:val="-1"/>
        </w:rPr>
        <w:t>omised,</w:t>
      </w:r>
      <w:r>
        <w:rPr>
          <w:spacing w:val="5"/>
        </w:rPr>
        <w:t xml:space="preserve"> </w:t>
      </w:r>
      <w:r>
        <w:rPr>
          <w:spacing w:val="-1"/>
        </w:rPr>
        <w:t>double</w:t>
      </w:r>
      <w:r w:rsidR="00FD0731">
        <w:rPr>
          <w:spacing w:val="-1"/>
        </w:rPr>
        <w:noBreakHyphen/>
      </w:r>
      <w:r>
        <w:rPr>
          <w:spacing w:val="-1"/>
        </w:rPr>
        <w:t>blind</w:t>
      </w:r>
      <w:r>
        <w:rPr>
          <w:spacing w:val="-3"/>
        </w:rPr>
        <w:t xml:space="preserve"> </w:t>
      </w:r>
      <w:r>
        <w:rPr>
          <w:spacing w:val="-1"/>
        </w:rPr>
        <w:t>(for</w:t>
      </w:r>
      <w:r>
        <w:rPr>
          <w:spacing w:val="5"/>
        </w:rPr>
        <w:t xml:space="preserve"> </w:t>
      </w:r>
      <w:r>
        <w:rPr>
          <w:spacing w:val="-2"/>
        </w:rPr>
        <w:t>bevacizumab),</w:t>
      </w:r>
      <w:r>
        <w:rPr>
          <w:spacing w:val="5"/>
        </w:rPr>
        <w:t xml:space="preserve"> </w:t>
      </w:r>
      <w:r>
        <w:rPr>
          <w:spacing w:val="-1"/>
        </w:rPr>
        <w:t>clinical</w:t>
      </w:r>
      <w:r>
        <w:rPr>
          <w:spacing w:val="-2"/>
        </w:rPr>
        <w:t xml:space="preserve"> </w:t>
      </w:r>
      <w:r>
        <w:t>trial</w:t>
      </w:r>
      <w:r>
        <w:rPr>
          <w:spacing w:val="-2"/>
        </w:rPr>
        <w:t xml:space="preserve"> </w:t>
      </w:r>
      <w:r>
        <w:rPr>
          <w:spacing w:val="-1"/>
        </w:rPr>
        <w:t>investigating</w:t>
      </w:r>
      <w:r>
        <w:rPr>
          <w:spacing w:val="2"/>
        </w:rPr>
        <w:t xml:space="preserve"> </w:t>
      </w:r>
      <w:r>
        <w:rPr>
          <w:spacing w:val="-2"/>
        </w:rPr>
        <w:t>bevacizumab</w:t>
      </w:r>
      <w:r>
        <w:t xml:space="preserve"> 7.5</w:t>
      </w:r>
      <w:r>
        <w:rPr>
          <w:spacing w:val="2"/>
        </w:rPr>
        <w:t xml:space="preserve"> </w:t>
      </w:r>
      <w:r>
        <w:rPr>
          <w:spacing w:val="-2"/>
        </w:rPr>
        <w:t>mg/kg</w:t>
      </w:r>
      <w:r>
        <w:rPr>
          <w:spacing w:val="-3"/>
        </w:rPr>
        <w:t xml:space="preserve"> </w:t>
      </w:r>
      <w:r>
        <w:t>in</w:t>
      </w:r>
      <w:r>
        <w:rPr>
          <w:spacing w:val="-3"/>
        </w:rPr>
        <w:t xml:space="preserve"> </w:t>
      </w:r>
      <w:r>
        <w:rPr>
          <w:spacing w:val="-1"/>
        </w:rPr>
        <w:t>combination</w:t>
      </w:r>
      <w:r>
        <w:rPr>
          <w:spacing w:val="2"/>
        </w:rPr>
        <w:t xml:space="preserve"> </w:t>
      </w:r>
      <w:r>
        <w:rPr>
          <w:spacing w:val="-1"/>
        </w:rPr>
        <w:t>with</w:t>
      </w:r>
      <w:r>
        <w:rPr>
          <w:spacing w:val="2"/>
        </w:rPr>
        <w:t xml:space="preserve"> </w:t>
      </w:r>
      <w:r>
        <w:t>oral</w:t>
      </w:r>
      <w:r>
        <w:rPr>
          <w:spacing w:val="-2"/>
        </w:rPr>
        <w:t xml:space="preserve"> </w:t>
      </w:r>
      <w:r>
        <w:rPr>
          <w:spacing w:val="-1"/>
        </w:rPr>
        <w:t>capecitabine</w:t>
      </w:r>
      <w:r>
        <w:rPr>
          <w:spacing w:val="-5"/>
        </w:rPr>
        <w:t xml:space="preserve"> </w:t>
      </w:r>
      <w:r>
        <w:t>and</w:t>
      </w:r>
      <w:r>
        <w:rPr>
          <w:spacing w:val="-3"/>
        </w:rPr>
        <w:t xml:space="preserve"> </w:t>
      </w:r>
      <w:r w:rsidR="005603A9">
        <w:rPr>
          <w:spacing w:val="1"/>
        </w:rPr>
        <w:t>intravenous</w:t>
      </w:r>
      <w:r>
        <w:rPr>
          <w:spacing w:val="-4"/>
        </w:rPr>
        <w:t xml:space="preserve"> </w:t>
      </w:r>
      <w:r>
        <w:rPr>
          <w:spacing w:val="-1"/>
        </w:rPr>
        <w:t>oxaliplatin</w:t>
      </w:r>
      <w:r>
        <w:rPr>
          <w:spacing w:val="-3"/>
        </w:rPr>
        <w:t xml:space="preserve"> </w:t>
      </w:r>
      <w:r>
        <w:rPr>
          <w:spacing w:val="-2"/>
        </w:rPr>
        <w:t>(XELOX),</w:t>
      </w:r>
      <w:r>
        <w:rPr>
          <w:spacing w:val="5"/>
        </w:rPr>
        <w:t xml:space="preserve"> </w:t>
      </w:r>
      <w:r>
        <w:rPr>
          <w:spacing w:val="-1"/>
        </w:rPr>
        <w:t>administered</w:t>
      </w:r>
      <w:r>
        <w:rPr>
          <w:spacing w:val="2"/>
        </w:rPr>
        <w:t xml:space="preserve"> </w:t>
      </w:r>
      <w:r>
        <w:t>on</w:t>
      </w:r>
      <w:r>
        <w:rPr>
          <w:spacing w:val="-3"/>
        </w:rPr>
        <w:t xml:space="preserve"> </w:t>
      </w:r>
      <w:r>
        <w:t>a</w:t>
      </w:r>
      <w:r>
        <w:rPr>
          <w:spacing w:val="5"/>
        </w:rPr>
        <w:t xml:space="preserve"> </w:t>
      </w:r>
      <w:r>
        <w:rPr>
          <w:spacing w:val="-1"/>
        </w:rPr>
        <w:t>3</w:t>
      </w:r>
      <w:r w:rsidR="00FD0731">
        <w:rPr>
          <w:spacing w:val="-1"/>
        </w:rPr>
        <w:noBreakHyphen/>
      </w:r>
      <w:r>
        <w:rPr>
          <w:spacing w:val="-1"/>
        </w:rPr>
        <w:t>weekly</w:t>
      </w:r>
      <w:r>
        <w:rPr>
          <w:spacing w:val="-3"/>
        </w:rPr>
        <w:t xml:space="preserve"> </w:t>
      </w:r>
      <w:r>
        <w:rPr>
          <w:spacing w:val="-1"/>
        </w:rPr>
        <w:t>schedule;</w:t>
      </w:r>
      <w:r>
        <w:rPr>
          <w:spacing w:val="3"/>
        </w:rPr>
        <w:t xml:space="preserve"> </w:t>
      </w:r>
      <w:r>
        <w:rPr>
          <w:spacing w:val="-3"/>
        </w:rPr>
        <w:t>or</w:t>
      </w:r>
      <w:r>
        <w:rPr>
          <w:spacing w:val="5"/>
        </w:rPr>
        <w:t xml:space="preserve"> </w:t>
      </w:r>
      <w:r>
        <w:rPr>
          <w:spacing w:val="-1"/>
        </w:rPr>
        <w:t>bevacizumab</w:t>
      </w:r>
      <w:r>
        <w:rPr>
          <w:spacing w:val="-3"/>
        </w:rPr>
        <w:t xml:space="preserve"> </w:t>
      </w:r>
      <w:r>
        <w:t>5</w:t>
      </w:r>
      <w:r>
        <w:rPr>
          <w:spacing w:val="7"/>
        </w:rPr>
        <w:t xml:space="preserve"> </w:t>
      </w:r>
      <w:r>
        <w:rPr>
          <w:spacing w:val="-2"/>
        </w:rPr>
        <w:t>mg/kg</w:t>
      </w:r>
      <w:r>
        <w:rPr>
          <w:spacing w:val="2"/>
        </w:rPr>
        <w:t xml:space="preserve"> </w:t>
      </w:r>
      <w:r>
        <w:t>in</w:t>
      </w:r>
      <w:r>
        <w:rPr>
          <w:spacing w:val="-3"/>
        </w:rPr>
        <w:t xml:space="preserve"> </w:t>
      </w:r>
      <w:r>
        <w:rPr>
          <w:spacing w:val="-1"/>
        </w:rPr>
        <w:t>combination</w:t>
      </w:r>
      <w:r>
        <w:rPr>
          <w:spacing w:val="2"/>
        </w:rPr>
        <w:t xml:space="preserve"> </w:t>
      </w:r>
      <w:r>
        <w:rPr>
          <w:spacing w:val="-1"/>
        </w:rPr>
        <w:t>with</w:t>
      </w:r>
      <w:r>
        <w:rPr>
          <w:spacing w:val="2"/>
        </w:rPr>
        <w:t xml:space="preserve"> </w:t>
      </w:r>
      <w:r>
        <w:rPr>
          <w:spacing w:val="-1"/>
        </w:rPr>
        <w:t>leucovorin</w:t>
      </w:r>
      <w:r>
        <w:rPr>
          <w:spacing w:val="-3"/>
        </w:rPr>
        <w:t xml:space="preserve"> </w:t>
      </w:r>
      <w:r>
        <w:t>with</w:t>
      </w:r>
      <w:r>
        <w:rPr>
          <w:spacing w:val="-3"/>
        </w:rPr>
        <w:t xml:space="preserve"> </w:t>
      </w:r>
    </w:p>
    <w:p w14:paraId="7FF7E13F" w14:textId="1F021751" w:rsidR="00047E69" w:rsidRDefault="00C210A5" w:rsidP="00233EDC">
      <w:pPr>
        <w:pStyle w:val="a5"/>
        <w:adjustRightInd w:val="0"/>
        <w:snapToGrid w:val="0"/>
      </w:pPr>
      <w:r>
        <w:rPr>
          <w:spacing w:val="-1"/>
        </w:rPr>
        <w:t>5</w:t>
      </w:r>
      <w:r w:rsidR="00FD0731">
        <w:rPr>
          <w:spacing w:val="-1"/>
        </w:rPr>
        <w:noBreakHyphen/>
      </w:r>
      <w:r>
        <w:rPr>
          <w:spacing w:val="-1"/>
        </w:rPr>
        <w:t>fluorouracil</w:t>
      </w:r>
      <w:r>
        <w:rPr>
          <w:spacing w:val="-2"/>
        </w:rPr>
        <w:t xml:space="preserve"> </w:t>
      </w:r>
      <w:r>
        <w:rPr>
          <w:spacing w:val="-1"/>
        </w:rPr>
        <w:t>bolus,</w:t>
      </w:r>
      <w:r>
        <w:rPr>
          <w:spacing w:val="41"/>
        </w:rPr>
        <w:t xml:space="preserve"> </w:t>
      </w:r>
      <w:r>
        <w:rPr>
          <w:spacing w:val="-1"/>
        </w:rPr>
        <w:t>followed</w:t>
      </w:r>
      <w:r>
        <w:rPr>
          <w:spacing w:val="-3"/>
        </w:rPr>
        <w:t xml:space="preserve"> </w:t>
      </w:r>
      <w:r>
        <w:t>by</w:t>
      </w:r>
      <w:r>
        <w:rPr>
          <w:spacing w:val="-3"/>
        </w:rPr>
        <w:t xml:space="preserve"> </w:t>
      </w:r>
      <w:r>
        <w:rPr>
          <w:spacing w:val="-1"/>
        </w:rPr>
        <w:t>5</w:t>
      </w:r>
      <w:r w:rsidR="00FD0731">
        <w:rPr>
          <w:spacing w:val="-1"/>
        </w:rPr>
        <w:noBreakHyphen/>
      </w:r>
      <w:r>
        <w:rPr>
          <w:spacing w:val="-1"/>
        </w:rPr>
        <w:t>fluorouracil</w:t>
      </w:r>
      <w:r>
        <w:rPr>
          <w:spacing w:val="-2"/>
        </w:rPr>
        <w:t xml:space="preserve"> </w:t>
      </w:r>
      <w:r>
        <w:rPr>
          <w:spacing w:val="-1"/>
        </w:rPr>
        <w:t>infusional,</w:t>
      </w:r>
      <w:r>
        <w:rPr>
          <w:spacing w:val="5"/>
        </w:rPr>
        <w:t xml:space="preserve"> </w:t>
      </w:r>
      <w:r>
        <w:rPr>
          <w:spacing w:val="-1"/>
        </w:rPr>
        <w:t>with</w:t>
      </w:r>
      <w:r>
        <w:rPr>
          <w:spacing w:val="-3"/>
        </w:rPr>
        <w:t xml:space="preserve"> </w:t>
      </w:r>
      <w:r w:rsidR="005603A9">
        <w:rPr>
          <w:spacing w:val="1"/>
        </w:rPr>
        <w:t>intravenous</w:t>
      </w:r>
      <w:r>
        <w:rPr>
          <w:spacing w:val="-4"/>
        </w:rPr>
        <w:t xml:space="preserve"> </w:t>
      </w:r>
      <w:r>
        <w:rPr>
          <w:spacing w:val="-1"/>
        </w:rPr>
        <w:t>oxaliplatin</w:t>
      </w:r>
      <w:r>
        <w:rPr>
          <w:spacing w:val="-3"/>
        </w:rPr>
        <w:t xml:space="preserve"> </w:t>
      </w:r>
      <w:r>
        <w:rPr>
          <w:spacing w:val="-1"/>
        </w:rPr>
        <w:t>(FOLFOX</w:t>
      </w:r>
      <w:r w:rsidR="00FD0731">
        <w:rPr>
          <w:spacing w:val="-1"/>
        </w:rPr>
        <w:noBreakHyphen/>
      </w:r>
      <w:r>
        <w:rPr>
          <w:spacing w:val="-1"/>
        </w:rPr>
        <w:t>4),</w:t>
      </w:r>
      <w:r>
        <w:t xml:space="preserve"> </w:t>
      </w:r>
      <w:r>
        <w:rPr>
          <w:spacing w:val="-1"/>
        </w:rPr>
        <w:t>administered</w:t>
      </w:r>
      <w:r>
        <w:rPr>
          <w:spacing w:val="-3"/>
        </w:rPr>
        <w:t xml:space="preserve"> </w:t>
      </w:r>
      <w:r>
        <w:t>on</w:t>
      </w:r>
      <w:r>
        <w:rPr>
          <w:spacing w:val="-3"/>
        </w:rPr>
        <w:t xml:space="preserve"> </w:t>
      </w:r>
      <w:r>
        <w:t>a</w:t>
      </w:r>
      <w:r>
        <w:rPr>
          <w:spacing w:val="5"/>
        </w:rPr>
        <w:t xml:space="preserve"> </w:t>
      </w:r>
      <w:r w:rsidRPr="00B61005">
        <w:t>2</w:t>
      </w:r>
      <w:r w:rsidR="00FD0731" w:rsidRPr="00B61005">
        <w:noBreakHyphen/>
      </w:r>
      <w:r w:rsidRPr="00B61005">
        <w:t xml:space="preserve">weekly schedule. The </w:t>
      </w:r>
      <w:r>
        <w:t>trial</w:t>
      </w:r>
      <w:r>
        <w:rPr>
          <w:spacing w:val="-2"/>
        </w:rPr>
        <w:t xml:space="preserve"> </w:t>
      </w:r>
      <w:r>
        <w:rPr>
          <w:spacing w:val="-1"/>
        </w:rPr>
        <w:t>contained</w:t>
      </w:r>
      <w:r>
        <w:rPr>
          <w:spacing w:val="-3"/>
        </w:rPr>
        <w:t xml:space="preserve"> </w:t>
      </w:r>
      <w:r>
        <w:rPr>
          <w:spacing w:val="1"/>
        </w:rPr>
        <w:t>two</w:t>
      </w:r>
      <w:r>
        <w:rPr>
          <w:spacing w:val="-3"/>
        </w:rPr>
        <w:t xml:space="preserve"> </w:t>
      </w:r>
      <w:r>
        <w:t>parts:</w:t>
      </w:r>
      <w:r>
        <w:rPr>
          <w:spacing w:val="-2"/>
        </w:rPr>
        <w:t xml:space="preserve"> </w:t>
      </w:r>
      <w:r>
        <w:rPr>
          <w:spacing w:val="1"/>
        </w:rPr>
        <w:t>an</w:t>
      </w:r>
      <w:r>
        <w:rPr>
          <w:spacing w:val="-3"/>
        </w:rPr>
        <w:t xml:space="preserve"> </w:t>
      </w:r>
      <w:r>
        <w:rPr>
          <w:spacing w:val="-2"/>
        </w:rPr>
        <w:t xml:space="preserve">initial </w:t>
      </w:r>
      <w:r>
        <w:rPr>
          <w:spacing w:val="-1"/>
        </w:rPr>
        <w:t>unblinded</w:t>
      </w:r>
      <w:r>
        <w:rPr>
          <w:spacing w:val="-3"/>
        </w:rPr>
        <w:t xml:space="preserve"> </w:t>
      </w:r>
      <w:r>
        <w:t>2</w:t>
      </w:r>
      <w:r w:rsidR="00FD0731">
        <w:noBreakHyphen/>
      </w:r>
      <w:r>
        <w:t>arm</w:t>
      </w:r>
      <w:r>
        <w:rPr>
          <w:spacing w:val="-6"/>
        </w:rPr>
        <w:t xml:space="preserve"> </w:t>
      </w:r>
      <w:r>
        <w:rPr>
          <w:spacing w:val="1"/>
        </w:rPr>
        <w:t>part</w:t>
      </w:r>
      <w:r>
        <w:rPr>
          <w:spacing w:val="-2"/>
        </w:rPr>
        <w:t xml:space="preserve"> </w:t>
      </w:r>
      <w:r>
        <w:rPr>
          <w:spacing w:val="-1"/>
        </w:rPr>
        <w:t>(Part</w:t>
      </w:r>
      <w:r>
        <w:rPr>
          <w:spacing w:val="3"/>
        </w:rPr>
        <w:t xml:space="preserve"> </w:t>
      </w:r>
      <w:r>
        <w:rPr>
          <w:spacing w:val="-1"/>
        </w:rPr>
        <w:t>I)</w:t>
      </w:r>
      <w:r>
        <w:rPr>
          <w:spacing w:val="1"/>
        </w:rPr>
        <w:t xml:space="preserve"> </w:t>
      </w:r>
      <w:r>
        <w:rPr>
          <w:spacing w:val="-2"/>
        </w:rPr>
        <w:t>in</w:t>
      </w:r>
      <w:r>
        <w:rPr>
          <w:spacing w:val="-3"/>
        </w:rPr>
        <w:t xml:space="preserve"> </w:t>
      </w:r>
      <w:r>
        <w:rPr>
          <w:spacing w:val="-1"/>
        </w:rPr>
        <w:t>which</w:t>
      </w:r>
      <w:r>
        <w:rPr>
          <w:spacing w:val="-3"/>
        </w:rPr>
        <w:t xml:space="preserve"> </w:t>
      </w:r>
      <w:r>
        <w:rPr>
          <w:spacing w:val="-1"/>
        </w:rPr>
        <w:t>patients</w:t>
      </w:r>
      <w:r w:rsidRPr="00B61005">
        <w:t xml:space="preserve"> were randomised </w:t>
      </w:r>
      <w:r>
        <w:t>to</w:t>
      </w:r>
      <w:r w:rsidRPr="00B61005">
        <w:t xml:space="preserve"> </w:t>
      </w:r>
      <w:r>
        <w:t>two</w:t>
      </w:r>
      <w:r w:rsidRPr="00B61005">
        <w:t xml:space="preserve"> different treatment groups (XELOX and FOLFOX</w:t>
      </w:r>
      <w:r w:rsidR="00FD0731" w:rsidRPr="00B61005">
        <w:noBreakHyphen/>
      </w:r>
      <w:r w:rsidRPr="00B61005">
        <w:t xml:space="preserve">4) and </w:t>
      </w:r>
      <w:r>
        <w:t xml:space="preserve">a </w:t>
      </w:r>
      <w:r w:rsidRPr="00B61005">
        <w:t>subse</w:t>
      </w:r>
      <w:r>
        <w:rPr>
          <w:spacing w:val="-2"/>
        </w:rPr>
        <w:t>qu</w:t>
      </w:r>
      <w:r w:rsidRPr="00B61005">
        <w:t xml:space="preserve">ent </w:t>
      </w:r>
      <w:r>
        <w:t>2</w:t>
      </w:r>
      <w:r w:rsidRPr="00B61005">
        <w:t xml:space="preserve"> </w:t>
      </w:r>
      <w:r>
        <w:t>x</w:t>
      </w:r>
      <w:r w:rsidRPr="00B61005">
        <w:t xml:space="preserve"> </w:t>
      </w:r>
      <w:r>
        <w:t>2</w:t>
      </w:r>
      <w:r w:rsidRPr="00B61005">
        <w:t xml:space="preserve"> factorial </w:t>
      </w:r>
      <w:r>
        <w:t>4</w:t>
      </w:r>
      <w:r w:rsidR="00FD0731">
        <w:noBreakHyphen/>
      </w:r>
      <w:r>
        <w:t>arm</w:t>
      </w:r>
      <w:r>
        <w:rPr>
          <w:spacing w:val="-6"/>
        </w:rPr>
        <w:t xml:space="preserve"> </w:t>
      </w:r>
      <w:r>
        <w:rPr>
          <w:spacing w:val="-1"/>
        </w:rPr>
        <w:t>part</w:t>
      </w:r>
      <w:r>
        <w:rPr>
          <w:spacing w:val="3"/>
        </w:rPr>
        <w:t xml:space="preserve"> </w:t>
      </w:r>
      <w:r>
        <w:rPr>
          <w:spacing w:val="-1"/>
        </w:rPr>
        <w:t>(Part</w:t>
      </w:r>
      <w:r>
        <w:rPr>
          <w:spacing w:val="-2"/>
        </w:rPr>
        <w:t xml:space="preserve"> II)</w:t>
      </w:r>
      <w:r>
        <w:rPr>
          <w:spacing w:val="1"/>
        </w:rPr>
        <w:t xml:space="preserve"> </w:t>
      </w:r>
      <w:r>
        <w:rPr>
          <w:spacing w:val="-2"/>
        </w:rPr>
        <w:t>in</w:t>
      </w:r>
      <w:r>
        <w:rPr>
          <w:spacing w:val="2"/>
        </w:rPr>
        <w:t xml:space="preserve"> </w:t>
      </w:r>
      <w:r>
        <w:rPr>
          <w:spacing w:val="-1"/>
        </w:rPr>
        <w:t>which</w:t>
      </w:r>
      <w:r>
        <w:rPr>
          <w:spacing w:val="-3"/>
        </w:rPr>
        <w:t xml:space="preserve"> </w:t>
      </w:r>
      <w:r>
        <w:rPr>
          <w:spacing w:val="-1"/>
        </w:rPr>
        <w:t>patients</w:t>
      </w:r>
      <w:r>
        <w:rPr>
          <w:spacing w:val="3"/>
        </w:rPr>
        <w:t xml:space="preserve"> </w:t>
      </w:r>
      <w:r>
        <w:t>were</w:t>
      </w:r>
      <w:r>
        <w:rPr>
          <w:spacing w:val="-5"/>
        </w:rPr>
        <w:t xml:space="preserve"> </w:t>
      </w:r>
      <w:r>
        <w:rPr>
          <w:spacing w:val="-1"/>
        </w:rPr>
        <w:t>randomised</w:t>
      </w:r>
      <w:r>
        <w:rPr>
          <w:spacing w:val="-3"/>
        </w:rPr>
        <w:t xml:space="preserve"> </w:t>
      </w:r>
      <w:r>
        <w:t>to</w:t>
      </w:r>
      <w:r>
        <w:rPr>
          <w:spacing w:val="-3"/>
        </w:rPr>
        <w:t xml:space="preserve"> </w:t>
      </w:r>
      <w:r>
        <w:rPr>
          <w:spacing w:val="-1"/>
        </w:rPr>
        <w:t>four</w:t>
      </w:r>
      <w:r>
        <w:rPr>
          <w:spacing w:val="5"/>
        </w:rPr>
        <w:t xml:space="preserve"> </w:t>
      </w:r>
      <w:r>
        <w:rPr>
          <w:spacing w:val="-2"/>
        </w:rPr>
        <w:t>treatment</w:t>
      </w:r>
      <w:r>
        <w:rPr>
          <w:spacing w:val="3"/>
        </w:rPr>
        <w:t xml:space="preserve"> </w:t>
      </w:r>
      <w:r>
        <w:rPr>
          <w:spacing w:val="-2"/>
        </w:rPr>
        <w:t>group</w:t>
      </w:r>
      <w:r w:rsidRPr="00B61005">
        <w:t xml:space="preserve">s (XELOX </w:t>
      </w:r>
      <w:r>
        <w:t>+</w:t>
      </w:r>
      <w:r w:rsidRPr="00B61005">
        <w:t xml:space="preserve"> placebo, FOLFOX</w:t>
      </w:r>
      <w:r w:rsidR="00FD0731" w:rsidRPr="00B61005">
        <w:noBreakHyphen/>
      </w:r>
      <w:r w:rsidRPr="00B61005">
        <w:t xml:space="preserve">4 </w:t>
      </w:r>
      <w:r>
        <w:t>+</w:t>
      </w:r>
      <w:r w:rsidRPr="00B61005">
        <w:t xml:space="preserve"> placebo, XELOX </w:t>
      </w:r>
      <w:r>
        <w:t>+</w:t>
      </w:r>
      <w:r w:rsidRPr="00B61005">
        <w:t xml:space="preserve"> bevacizumab, FOLFOX</w:t>
      </w:r>
      <w:r w:rsidR="00FD0731" w:rsidRPr="00B61005">
        <w:noBreakHyphen/>
      </w:r>
      <w:r w:rsidRPr="00B61005">
        <w:t xml:space="preserve">4 </w:t>
      </w:r>
      <w:r>
        <w:t>+</w:t>
      </w:r>
      <w:r w:rsidRPr="00B61005">
        <w:t xml:space="preserve"> bevacizumab).</w:t>
      </w:r>
      <w:r>
        <w:rPr>
          <w:spacing w:val="5"/>
        </w:rPr>
        <w:t xml:space="preserve"> </w:t>
      </w:r>
      <w:r>
        <w:rPr>
          <w:spacing w:val="-1"/>
        </w:rPr>
        <w:t>In</w:t>
      </w:r>
      <w:r>
        <w:rPr>
          <w:spacing w:val="-3"/>
        </w:rPr>
        <w:t xml:space="preserve"> </w:t>
      </w:r>
      <w:r>
        <w:t>Part</w:t>
      </w:r>
      <w:r>
        <w:rPr>
          <w:spacing w:val="-2"/>
        </w:rPr>
        <w:t xml:space="preserve"> II,</w:t>
      </w:r>
      <w:r>
        <w:t xml:space="preserve"> </w:t>
      </w:r>
      <w:r>
        <w:rPr>
          <w:spacing w:val="-2"/>
        </w:rPr>
        <w:t>treatment</w:t>
      </w:r>
      <w:r>
        <w:rPr>
          <w:spacing w:val="65"/>
        </w:rPr>
        <w:t xml:space="preserve"> </w:t>
      </w:r>
      <w:r>
        <w:rPr>
          <w:spacing w:val="-2"/>
        </w:rPr>
        <w:t>assignment</w:t>
      </w:r>
      <w:r>
        <w:rPr>
          <w:spacing w:val="8"/>
        </w:rPr>
        <w:t xml:space="preserve"> </w:t>
      </w:r>
      <w:r>
        <w:rPr>
          <w:spacing w:val="-2"/>
        </w:rPr>
        <w:t>was</w:t>
      </w:r>
      <w:r>
        <w:rPr>
          <w:spacing w:val="3"/>
        </w:rPr>
        <w:t xml:space="preserve"> </w:t>
      </w:r>
      <w:r>
        <w:rPr>
          <w:spacing w:val="-1"/>
        </w:rPr>
        <w:t>double</w:t>
      </w:r>
      <w:r w:rsidR="00FD0731">
        <w:rPr>
          <w:spacing w:val="-1"/>
        </w:rPr>
        <w:noBreakHyphen/>
      </w:r>
      <w:r>
        <w:rPr>
          <w:spacing w:val="-1"/>
        </w:rPr>
        <w:t>blind</w:t>
      </w:r>
      <w:r>
        <w:rPr>
          <w:spacing w:val="-3"/>
        </w:rPr>
        <w:t xml:space="preserve"> </w:t>
      </w:r>
      <w:r>
        <w:rPr>
          <w:spacing w:val="-1"/>
        </w:rPr>
        <w:t>with</w:t>
      </w:r>
      <w:r>
        <w:rPr>
          <w:spacing w:val="-3"/>
        </w:rPr>
        <w:t xml:space="preserve"> </w:t>
      </w:r>
      <w:r>
        <w:rPr>
          <w:spacing w:val="-1"/>
        </w:rPr>
        <w:t>respect</w:t>
      </w:r>
      <w:r>
        <w:rPr>
          <w:spacing w:val="3"/>
        </w:rPr>
        <w:t xml:space="preserve"> </w:t>
      </w:r>
      <w:r>
        <w:t>to</w:t>
      </w:r>
      <w:r>
        <w:rPr>
          <w:spacing w:val="-3"/>
        </w:rPr>
        <w:t xml:space="preserve"> </w:t>
      </w:r>
      <w:r>
        <w:rPr>
          <w:spacing w:val="-1"/>
        </w:rPr>
        <w:t>bevacizumab.</w:t>
      </w:r>
    </w:p>
    <w:p w14:paraId="638918CF" w14:textId="77777777" w:rsidR="00047E69" w:rsidRDefault="00047E69" w:rsidP="00233EDC">
      <w:pPr>
        <w:adjustRightInd w:val="0"/>
        <w:snapToGrid w:val="0"/>
        <w:rPr>
          <w:rFonts w:ascii="Times New Roman" w:eastAsia="Times New Roman" w:hAnsi="Times New Roman" w:cs="Times New Roman"/>
          <w:sz w:val="21"/>
          <w:szCs w:val="21"/>
        </w:rPr>
      </w:pPr>
    </w:p>
    <w:p w14:paraId="1D899ED5" w14:textId="77777777" w:rsidR="00047E69" w:rsidRDefault="00C210A5" w:rsidP="00233EDC">
      <w:pPr>
        <w:pStyle w:val="a5"/>
        <w:adjustRightInd w:val="0"/>
        <w:snapToGrid w:val="0"/>
      </w:pPr>
      <w:r>
        <w:rPr>
          <w:spacing w:val="-1"/>
        </w:rPr>
        <w:t>Approximately</w:t>
      </w:r>
      <w:r>
        <w:rPr>
          <w:spacing w:val="-3"/>
        </w:rPr>
        <w:t xml:space="preserve"> </w:t>
      </w:r>
      <w:r>
        <w:t>350</w:t>
      </w:r>
      <w:r>
        <w:rPr>
          <w:spacing w:val="2"/>
        </w:rPr>
        <w:t xml:space="preserve"> </w:t>
      </w:r>
      <w:r>
        <w:rPr>
          <w:spacing w:val="-1"/>
        </w:rPr>
        <w:t>patients</w:t>
      </w:r>
      <w:r>
        <w:rPr>
          <w:spacing w:val="3"/>
        </w:rPr>
        <w:t xml:space="preserve"> </w:t>
      </w:r>
      <w:r>
        <w:t>were</w:t>
      </w:r>
      <w:r>
        <w:rPr>
          <w:spacing w:val="-5"/>
        </w:rPr>
        <w:t xml:space="preserve"> </w:t>
      </w:r>
      <w:r>
        <w:rPr>
          <w:spacing w:val="-1"/>
        </w:rPr>
        <w:t>randomised</w:t>
      </w:r>
      <w:r>
        <w:rPr>
          <w:spacing w:val="2"/>
        </w:rPr>
        <w:t xml:space="preserve"> </w:t>
      </w:r>
      <w:r>
        <w:rPr>
          <w:spacing w:val="-1"/>
        </w:rPr>
        <w:t>into</w:t>
      </w:r>
      <w:r>
        <w:rPr>
          <w:spacing w:val="2"/>
        </w:rPr>
        <w:t xml:space="preserve"> </w:t>
      </w:r>
      <w:r>
        <w:rPr>
          <w:spacing w:val="-1"/>
        </w:rPr>
        <w:t>each</w:t>
      </w:r>
      <w:r>
        <w:rPr>
          <w:spacing w:val="2"/>
        </w:rPr>
        <w:t xml:space="preserve"> </w:t>
      </w:r>
      <w:r>
        <w:rPr>
          <w:spacing w:val="-3"/>
        </w:rPr>
        <w:t>of</w:t>
      </w:r>
      <w:r>
        <w:rPr>
          <w:spacing w:val="1"/>
        </w:rPr>
        <w:t xml:space="preserve"> </w:t>
      </w:r>
      <w:r>
        <w:t>the</w:t>
      </w:r>
      <w:r>
        <w:rPr>
          <w:spacing w:val="-5"/>
        </w:rPr>
        <w:t xml:space="preserve"> </w:t>
      </w:r>
      <w:r>
        <w:t>4</w:t>
      </w:r>
      <w:r>
        <w:rPr>
          <w:spacing w:val="2"/>
        </w:rPr>
        <w:t xml:space="preserve"> </w:t>
      </w:r>
      <w:r>
        <w:t>trial</w:t>
      </w:r>
      <w:r>
        <w:rPr>
          <w:spacing w:val="-6"/>
        </w:rPr>
        <w:t xml:space="preserve"> </w:t>
      </w:r>
      <w:r>
        <w:rPr>
          <w:spacing w:val="-1"/>
        </w:rPr>
        <w:t>arms</w:t>
      </w:r>
      <w:r>
        <w:rPr>
          <w:spacing w:val="3"/>
        </w:rPr>
        <w:t xml:space="preserve"> </w:t>
      </w:r>
      <w:r>
        <w:rPr>
          <w:spacing w:val="-2"/>
        </w:rPr>
        <w:t>in</w:t>
      </w:r>
      <w:r>
        <w:rPr>
          <w:spacing w:val="-3"/>
        </w:rPr>
        <w:t xml:space="preserve"> </w:t>
      </w:r>
      <w:r>
        <w:t>the</w:t>
      </w:r>
      <w:r>
        <w:rPr>
          <w:spacing w:val="-5"/>
        </w:rPr>
        <w:t xml:space="preserve"> </w:t>
      </w:r>
      <w:r>
        <w:rPr>
          <w:spacing w:val="1"/>
        </w:rPr>
        <w:t>P</w:t>
      </w:r>
      <w:r w:rsidRPr="00B61005">
        <w:t xml:space="preserve">art II </w:t>
      </w:r>
      <w:r>
        <w:rPr>
          <w:spacing w:val="-3"/>
        </w:rPr>
        <w:t>of</w:t>
      </w:r>
      <w:r>
        <w:rPr>
          <w:spacing w:val="1"/>
        </w:rPr>
        <w:t xml:space="preserve"> </w:t>
      </w:r>
      <w:r>
        <w:t>the</w:t>
      </w:r>
      <w:r>
        <w:rPr>
          <w:spacing w:val="-5"/>
        </w:rPr>
        <w:t xml:space="preserve"> </w:t>
      </w:r>
      <w:r>
        <w:rPr>
          <w:spacing w:val="-1"/>
        </w:rPr>
        <w:t>trial.</w:t>
      </w:r>
    </w:p>
    <w:p w14:paraId="674BDA4A" w14:textId="782AC081" w:rsidR="005A5348" w:rsidRPr="00542ECA" w:rsidRDefault="005A5348" w:rsidP="00233EDC">
      <w:pPr>
        <w:rPr>
          <w:rFonts w:ascii="Times New Roman" w:eastAsia="Times New Roman" w:hAnsi="Times New Roman"/>
          <w:b/>
          <w:bCs/>
        </w:rPr>
      </w:pPr>
    </w:p>
    <w:p w14:paraId="10A19317" w14:textId="5DF10168" w:rsidR="005A5348" w:rsidRPr="00536B4F" w:rsidRDefault="005A5348" w:rsidP="00536B4F">
      <w:pPr>
        <w:ind w:left="1134" w:hanging="1134"/>
        <w:rPr>
          <w:rFonts w:ascii="Times New Roman" w:hAnsi="Times New Roman" w:cs="Times New Roman"/>
          <w:b/>
          <w:bCs/>
        </w:rPr>
      </w:pPr>
      <w:r w:rsidRPr="00536B4F">
        <w:rPr>
          <w:rFonts w:ascii="Times New Roman" w:hAnsi="Times New Roman" w:cs="Times New Roman"/>
          <w:b/>
          <w:bCs/>
        </w:rPr>
        <w:t>Table 6</w:t>
      </w:r>
      <w:r w:rsidRPr="00536B4F">
        <w:rPr>
          <w:rFonts w:ascii="Times New Roman" w:hAnsi="Times New Roman" w:cs="Times New Roman"/>
          <w:b/>
          <w:bCs/>
        </w:rPr>
        <w:tab/>
        <w:t>Treatment regimens in trial NO16966 (mCRC)</w:t>
      </w:r>
    </w:p>
    <w:p w14:paraId="067F2788" w14:textId="77777777" w:rsidR="005A5348" w:rsidRPr="00542ECA" w:rsidRDefault="005A5348" w:rsidP="005E4476">
      <w:pPr>
        <w:rPr>
          <w:lang w:eastAsia="ko-KR"/>
        </w:rPr>
      </w:pPr>
    </w:p>
    <w:tbl>
      <w:tblPr>
        <w:tblStyle w:val="TableNormal0"/>
        <w:tblW w:w="5001" w:type="pct"/>
        <w:tblLayout w:type="fixed"/>
        <w:tblCellMar>
          <w:left w:w="108" w:type="dxa"/>
          <w:right w:w="108" w:type="dxa"/>
        </w:tblCellMar>
        <w:tblLook w:val="01E0" w:firstRow="1" w:lastRow="1" w:firstColumn="1" w:lastColumn="1" w:noHBand="0" w:noVBand="0"/>
      </w:tblPr>
      <w:tblGrid>
        <w:gridCol w:w="1554"/>
        <w:gridCol w:w="1552"/>
        <w:gridCol w:w="2613"/>
        <w:gridCol w:w="3337"/>
      </w:tblGrid>
      <w:tr w:rsidR="005A5348" w:rsidRPr="00542ECA" w14:paraId="206FBF9C" w14:textId="77777777" w:rsidTr="004228B0">
        <w:tc>
          <w:tcPr>
            <w:tcW w:w="1589" w:type="dxa"/>
            <w:tcBorders>
              <w:top w:val="single" w:sz="8" w:space="0" w:color="000000"/>
              <w:left w:val="single" w:sz="8" w:space="0" w:color="000000"/>
              <w:bottom w:val="single" w:sz="8" w:space="0" w:color="000000"/>
              <w:right w:val="single" w:sz="8" w:space="0" w:color="000000"/>
            </w:tcBorders>
          </w:tcPr>
          <w:p w14:paraId="0A13667A" w14:textId="77802919" w:rsidR="000A6D0C" w:rsidRPr="00542ECA" w:rsidRDefault="000A6D0C" w:rsidP="00233EDC"/>
        </w:tc>
        <w:tc>
          <w:tcPr>
            <w:tcW w:w="1587" w:type="dxa"/>
            <w:tcBorders>
              <w:top w:val="single" w:sz="8" w:space="0" w:color="000000"/>
              <w:left w:val="single" w:sz="8" w:space="0" w:color="000000"/>
              <w:bottom w:val="single" w:sz="8" w:space="0" w:color="000000"/>
              <w:right w:val="single" w:sz="8" w:space="0" w:color="000000"/>
            </w:tcBorders>
            <w:hideMark/>
          </w:tcPr>
          <w:p w14:paraId="254F0501" w14:textId="77777777" w:rsidR="000A6D0C" w:rsidRPr="00542ECA" w:rsidRDefault="00C210A5" w:rsidP="00233EDC">
            <w:pPr>
              <w:pStyle w:val="TableParagraph"/>
              <w:jc w:val="center"/>
              <w:rPr>
                <w:rFonts w:ascii="Times New Roman" w:eastAsia="Times New Roman" w:hAnsi="Times New Roman" w:cs="Times New Roman"/>
                <w:b/>
                <w:bCs/>
              </w:rPr>
            </w:pPr>
            <w:r w:rsidRPr="00542ECA">
              <w:rPr>
                <w:rFonts w:ascii="Times New Roman"/>
                <w:b/>
                <w:bCs/>
              </w:rPr>
              <w:t>Treatment</w:t>
            </w:r>
          </w:p>
        </w:tc>
        <w:tc>
          <w:tcPr>
            <w:tcW w:w="2676" w:type="dxa"/>
            <w:tcBorders>
              <w:top w:val="single" w:sz="8" w:space="0" w:color="000000"/>
              <w:left w:val="single" w:sz="8" w:space="0" w:color="000000"/>
              <w:bottom w:val="single" w:sz="8" w:space="0" w:color="000000"/>
              <w:right w:val="single" w:sz="8" w:space="0" w:color="000000"/>
            </w:tcBorders>
            <w:hideMark/>
          </w:tcPr>
          <w:p w14:paraId="637FB10E" w14:textId="77777777" w:rsidR="000A6D0C" w:rsidRPr="00542ECA" w:rsidRDefault="00C210A5" w:rsidP="00233EDC">
            <w:pPr>
              <w:pStyle w:val="TableParagraph"/>
              <w:jc w:val="center"/>
              <w:rPr>
                <w:rFonts w:ascii="Times New Roman" w:eastAsia="Times New Roman" w:hAnsi="Times New Roman" w:cs="Times New Roman"/>
                <w:b/>
                <w:bCs/>
              </w:rPr>
            </w:pPr>
            <w:r w:rsidRPr="00542ECA">
              <w:rPr>
                <w:rFonts w:ascii="Times New Roman"/>
                <w:b/>
                <w:bCs/>
              </w:rPr>
              <w:t>Starting dose</w:t>
            </w:r>
          </w:p>
        </w:tc>
        <w:tc>
          <w:tcPr>
            <w:tcW w:w="3420" w:type="dxa"/>
            <w:tcBorders>
              <w:top w:val="single" w:sz="8" w:space="0" w:color="000000"/>
              <w:left w:val="single" w:sz="8" w:space="0" w:color="000000"/>
              <w:bottom w:val="single" w:sz="8" w:space="0" w:color="000000"/>
              <w:right w:val="single" w:sz="8" w:space="0" w:color="000000"/>
            </w:tcBorders>
            <w:hideMark/>
          </w:tcPr>
          <w:p w14:paraId="34B8610B" w14:textId="77777777" w:rsidR="000A6D0C" w:rsidRPr="00542ECA" w:rsidRDefault="00C210A5" w:rsidP="00233EDC">
            <w:pPr>
              <w:pStyle w:val="TableParagraph"/>
              <w:jc w:val="center"/>
              <w:rPr>
                <w:rFonts w:ascii="Times New Roman" w:eastAsia="Times New Roman" w:hAnsi="Times New Roman" w:cs="Times New Roman"/>
                <w:b/>
                <w:bCs/>
              </w:rPr>
            </w:pPr>
            <w:r w:rsidRPr="00542ECA">
              <w:rPr>
                <w:rFonts w:ascii="Times New Roman"/>
                <w:b/>
                <w:bCs/>
              </w:rPr>
              <w:t>Schedule</w:t>
            </w:r>
          </w:p>
        </w:tc>
      </w:tr>
      <w:tr w:rsidR="005A5348" w:rsidRPr="00542ECA" w14:paraId="2C636C9E" w14:textId="77777777" w:rsidTr="004228B0">
        <w:tc>
          <w:tcPr>
            <w:tcW w:w="1589" w:type="dxa"/>
            <w:vMerge w:val="restart"/>
            <w:tcBorders>
              <w:top w:val="single" w:sz="8" w:space="0" w:color="000000"/>
              <w:left w:val="single" w:sz="8" w:space="0" w:color="000000"/>
              <w:bottom w:val="single" w:sz="8" w:space="0" w:color="000000"/>
              <w:right w:val="single" w:sz="8" w:space="0" w:color="000000"/>
            </w:tcBorders>
            <w:hideMark/>
          </w:tcPr>
          <w:p w14:paraId="02976927" w14:textId="65991FDA" w:rsidR="0046711F" w:rsidRPr="00542ECA" w:rsidRDefault="00C210A5" w:rsidP="00233EDC">
            <w:pPr>
              <w:pStyle w:val="TableParagraph"/>
              <w:jc w:val="center"/>
              <w:rPr>
                <w:rFonts w:ascii="Times New Roman" w:eastAsia="Times New Roman" w:hAnsi="Times New Roman" w:cs="Times New Roman"/>
                <w:sz w:val="20"/>
                <w:szCs w:val="20"/>
              </w:rPr>
            </w:pPr>
            <w:r w:rsidRPr="00542ECA">
              <w:rPr>
                <w:rFonts w:ascii="Times New Roman"/>
                <w:sz w:val="20"/>
                <w:szCs w:val="20"/>
              </w:rPr>
              <w:t>FOLFOX</w:t>
            </w:r>
            <w:r w:rsidR="00FD0731" w:rsidRPr="00542ECA">
              <w:rPr>
                <w:rFonts w:ascii="Times New Roman"/>
                <w:sz w:val="20"/>
                <w:szCs w:val="20"/>
              </w:rPr>
              <w:noBreakHyphen/>
            </w:r>
            <w:r w:rsidRPr="00542ECA">
              <w:rPr>
                <w:rFonts w:ascii="Times New Roman"/>
                <w:sz w:val="20"/>
                <w:szCs w:val="20"/>
              </w:rPr>
              <w:t>4</w:t>
            </w:r>
          </w:p>
          <w:p w14:paraId="57207676" w14:textId="3E67ED46" w:rsidR="0046711F" w:rsidRPr="00542ECA" w:rsidRDefault="00C210A5" w:rsidP="00233EDC">
            <w:pPr>
              <w:pStyle w:val="TableParagraph"/>
              <w:jc w:val="center"/>
              <w:rPr>
                <w:rFonts w:ascii="Times New Roman"/>
                <w:sz w:val="20"/>
                <w:szCs w:val="20"/>
              </w:rPr>
            </w:pPr>
            <w:r w:rsidRPr="00542ECA">
              <w:rPr>
                <w:rFonts w:ascii="Times New Roman"/>
                <w:sz w:val="20"/>
                <w:szCs w:val="20"/>
              </w:rPr>
              <w:t>o</w:t>
            </w:r>
            <w:r w:rsidR="000A6D0C" w:rsidRPr="00542ECA">
              <w:rPr>
                <w:rFonts w:ascii="Times New Roman"/>
                <w:sz w:val="20"/>
                <w:szCs w:val="20"/>
              </w:rPr>
              <w:t xml:space="preserve">r </w:t>
            </w:r>
          </w:p>
          <w:p w14:paraId="4DD11CDA" w14:textId="340672AB" w:rsidR="000A6D0C" w:rsidRPr="00542ECA" w:rsidRDefault="00C210A5" w:rsidP="00233EDC">
            <w:pPr>
              <w:pStyle w:val="TableParagraph"/>
              <w:jc w:val="center"/>
              <w:rPr>
                <w:rFonts w:ascii="Times New Roman" w:eastAsia="Times New Roman" w:hAnsi="Times New Roman" w:cs="Times New Roman"/>
                <w:sz w:val="20"/>
                <w:szCs w:val="20"/>
              </w:rPr>
            </w:pPr>
            <w:r w:rsidRPr="00542ECA">
              <w:rPr>
                <w:rFonts w:ascii="Times New Roman"/>
                <w:sz w:val="20"/>
                <w:szCs w:val="20"/>
              </w:rPr>
              <w:t>FOLFOX</w:t>
            </w:r>
            <w:r w:rsidR="00FD0731" w:rsidRPr="00542ECA">
              <w:rPr>
                <w:rFonts w:ascii="Times New Roman"/>
                <w:sz w:val="20"/>
                <w:szCs w:val="20"/>
              </w:rPr>
              <w:noBreakHyphen/>
            </w:r>
            <w:r w:rsidRPr="00542ECA">
              <w:rPr>
                <w:rFonts w:ascii="Times New Roman"/>
                <w:sz w:val="20"/>
                <w:szCs w:val="20"/>
              </w:rPr>
              <w:t>4 +</w:t>
            </w:r>
          </w:p>
          <w:p w14:paraId="6A4CB36E" w14:textId="77777777" w:rsidR="000A6D0C" w:rsidRPr="00542ECA" w:rsidRDefault="00C210A5" w:rsidP="00233EDC">
            <w:pPr>
              <w:pStyle w:val="TableParagraph"/>
              <w:jc w:val="center"/>
              <w:rPr>
                <w:rFonts w:ascii="Times New Roman" w:eastAsia="Times New Roman" w:hAnsi="Times New Roman" w:cs="Times New Roman"/>
                <w:sz w:val="20"/>
                <w:szCs w:val="20"/>
              </w:rPr>
            </w:pPr>
            <w:r w:rsidRPr="00542ECA">
              <w:rPr>
                <w:rFonts w:ascii="Times New Roman"/>
                <w:sz w:val="20"/>
                <w:szCs w:val="20"/>
              </w:rPr>
              <w:t>Bevacizumab</w:t>
            </w:r>
          </w:p>
        </w:tc>
        <w:tc>
          <w:tcPr>
            <w:tcW w:w="1587" w:type="dxa"/>
            <w:tcBorders>
              <w:top w:val="single" w:sz="8" w:space="0" w:color="000000"/>
              <w:left w:val="single" w:sz="8" w:space="0" w:color="000000"/>
              <w:bottom w:val="single" w:sz="8" w:space="0" w:color="000000"/>
              <w:right w:val="single" w:sz="8" w:space="0" w:color="000000"/>
            </w:tcBorders>
            <w:hideMark/>
          </w:tcPr>
          <w:p w14:paraId="5732890D" w14:textId="77777777" w:rsidR="002D6E74" w:rsidRPr="00542ECA" w:rsidRDefault="00C210A5" w:rsidP="00233EDC">
            <w:pPr>
              <w:pStyle w:val="TableParagraph"/>
              <w:rPr>
                <w:rFonts w:ascii="Times New Roman"/>
                <w:sz w:val="20"/>
                <w:szCs w:val="20"/>
              </w:rPr>
            </w:pPr>
            <w:r w:rsidRPr="00542ECA">
              <w:rPr>
                <w:rFonts w:ascii="Times New Roman"/>
                <w:sz w:val="20"/>
                <w:szCs w:val="20"/>
              </w:rPr>
              <w:t>Oxaliplatin</w:t>
            </w:r>
          </w:p>
          <w:p w14:paraId="43F8BFA5" w14:textId="77777777" w:rsidR="005C43CA" w:rsidRPr="00542ECA" w:rsidRDefault="005C43CA" w:rsidP="00233EDC">
            <w:pPr>
              <w:pStyle w:val="TableParagraph"/>
              <w:rPr>
                <w:rFonts w:ascii="Times New Roman"/>
                <w:sz w:val="20"/>
                <w:szCs w:val="20"/>
              </w:rPr>
            </w:pPr>
          </w:p>
          <w:p w14:paraId="1B8C73CE" w14:textId="7669D499" w:rsidR="000A6D0C" w:rsidRPr="00542ECA" w:rsidRDefault="00C210A5" w:rsidP="00233EDC">
            <w:pPr>
              <w:pStyle w:val="TableParagraph"/>
              <w:rPr>
                <w:rFonts w:ascii="Times New Roman"/>
                <w:sz w:val="20"/>
                <w:szCs w:val="20"/>
              </w:rPr>
            </w:pPr>
            <w:r w:rsidRPr="00542ECA">
              <w:rPr>
                <w:rFonts w:ascii="Times New Roman"/>
                <w:sz w:val="20"/>
                <w:szCs w:val="20"/>
              </w:rPr>
              <w:t>Leucovorin</w:t>
            </w:r>
          </w:p>
          <w:p w14:paraId="12278EFC" w14:textId="77777777" w:rsidR="005C43CA" w:rsidRPr="00542ECA" w:rsidRDefault="005C43CA" w:rsidP="00233EDC">
            <w:pPr>
              <w:pStyle w:val="TableParagraph"/>
              <w:rPr>
                <w:rFonts w:ascii="Times New Roman" w:eastAsia="Times New Roman" w:hAnsi="Times New Roman" w:cs="Times New Roman"/>
                <w:sz w:val="20"/>
                <w:szCs w:val="20"/>
              </w:rPr>
            </w:pPr>
          </w:p>
          <w:p w14:paraId="76436E70" w14:textId="550DE08D"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5</w:t>
            </w:r>
            <w:r w:rsidR="00FD0731" w:rsidRPr="00542ECA">
              <w:rPr>
                <w:rFonts w:ascii="Times New Roman"/>
                <w:sz w:val="20"/>
                <w:szCs w:val="20"/>
              </w:rPr>
              <w:noBreakHyphen/>
            </w:r>
            <w:r w:rsidRPr="00542ECA">
              <w:rPr>
                <w:rFonts w:ascii="Times New Roman"/>
                <w:sz w:val="20"/>
                <w:szCs w:val="20"/>
              </w:rPr>
              <w:t>Fluorouracil</w:t>
            </w:r>
          </w:p>
        </w:tc>
        <w:tc>
          <w:tcPr>
            <w:tcW w:w="2676" w:type="dxa"/>
            <w:tcBorders>
              <w:top w:val="single" w:sz="8" w:space="0" w:color="000000"/>
              <w:left w:val="single" w:sz="8" w:space="0" w:color="000000"/>
              <w:bottom w:val="single" w:sz="8" w:space="0" w:color="000000"/>
              <w:right w:val="single" w:sz="8" w:space="0" w:color="000000"/>
            </w:tcBorders>
            <w:hideMark/>
          </w:tcPr>
          <w:p w14:paraId="13F0BF44" w14:textId="27FF85B6" w:rsidR="000A6D0C" w:rsidRPr="00542ECA" w:rsidRDefault="00C210A5" w:rsidP="00233EDC">
            <w:pPr>
              <w:pStyle w:val="TableParagraph"/>
              <w:rPr>
                <w:rFonts w:ascii="Times New Roman"/>
                <w:sz w:val="20"/>
                <w:szCs w:val="20"/>
              </w:rPr>
            </w:pPr>
            <w:r w:rsidRPr="00542ECA">
              <w:rPr>
                <w:rFonts w:ascii="Times New Roman"/>
                <w:sz w:val="20"/>
                <w:szCs w:val="20"/>
              </w:rPr>
              <w:t>85 mg/m</w:t>
            </w:r>
            <w:r w:rsidR="002D6E74" w:rsidRPr="00542ECA">
              <w:rPr>
                <w:rFonts w:ascii="Times New Roman"/>
                <w:sz w:val="20"/>
                <w:szCs w:val="20"/>
                <w:vertAlign w:val="superscript"/>
              </w:rPr>
              <w:t>2</w:t>
            </w:r>
            <w:r w:rsidRPr="00542ECA">
              <w:rPr>
                <w:rFonts w:ascii="Times New Roman"/>
                <w:position w:val="9"/>
                <w:sz w:val="20"/>
                <w:szCs w:val="20"/>
              </w:rPr>
              <w:t xml:space="preserve"> </w:t>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2 h</w:t>
            </w:r>
          </w:p>
          <w:p w14:paraId="296A903A" w14:textId="77777777" w:rsidR="005C43CA" w:rsidRPr="00542ECA" w:rsidRDefault="005C43CA" w:rsidP="00233EDC">
            <w:pPr>
              <w:pStyle w:val="TableParagraph"/>
              <w:rPr>
                <w:rFonts w:ascii="Times New Roman" w:eastAsia="Times New Roman" w:hAnsi="Times New Roman" w:cs="Times New Roman"/>
                <w:sz w:val="20"/>
                <w:szCs w:val="20"/>
              </w:rPr>
            </w:pPr>
          </w:p>
          <w:p w14:paraId="15E661DB" w14:textId="31696421"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200 mg/m</w:t>
            </w:r>
            <w:r w:rsidR="002D6E74" w:rsidRPr="00542ECA">
              <w:rPr>
                <w:rFonts w:ascii="Times New Roman"/>
                <w:sz w:val="20"/>
                <w:szCs w:val="20"/>
                <w:vertAlign w:val="superscript"/>
              </w:rPr>
              <w:t>2</w:t>
            </w:r>
            <w:r w:rsidRPr="00542ECA">
              <w:rPr>
                <w:rFonts w:ascii="Times New Roman"/>
                <w:position w:val="9"/>
                <w:sz w:val="20"/>
                <w:szCs w:val="20"/>
              </w:rPr>
              <w:t xml:space="preserve"> </w:t>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2 h</w:t>
            </w:r>
          </w:p>
          <w:p w14:paraId="608FB53F" w14:textId="77777777" w:rsidR="005C43CA" w:rsidRPr="00542ECA" w:rsidRDefault="005C43CA" w:rsidP="00233EDC">
            <w:pPr>
              <w:pStyle w:val="TableParagraph"/>
              <w:rPr>
                <w:rFonts w:ascii="Times New Roman"/>
                <w:sz w:val="20"/>
                <w:szCs w:val="20"/>
              </w:rPr>
            </w:pPr>
          </w:p>
          <w:p w14:paraId="4244D358" w14:textId="7D4BA341" w:rsidR="000A6D0C" w:rsidRPr="006B45B7" w:rsidRDefault="00C210A5" w:rsidP="00233EDC">
            <w:pPr>
              <w:pStyle w:val="TableParagraph"/>
              <w:rPr>
                <w:rFonts w:ascii="Times New Roman" w:eastAsia="Times New Roman" w:hAnsi="Times New Roman" w:cs="Times New Roman"/>
                <w:sz w:val="20"/>
                <w:szCs w:val="20"/>
                <w:lang w:val="fr-CA"/>
              </w:rPr>
            </w:pPr>
            <w:r w:rsidRPr="006B45B7">
              <w:rPr>
                <w:rFonts w:ascii="Times New Roman"/>
                <w:sz w:val="20"/>
                <w:szCs w:val="20"/>
                <w:lang w:val="fr-CA"/>
              </w:rPr>
              <w:t>400 mg/m</w:t>
            </w:r>
            <w:r w:rsidR="002D6E74" w:rsidRPr="006B45B7">
              <w:rPr>
                <w:rFonts w:ascii="Times New Roman"/>
                <w:sz w:val="20"/>
                <w:szCs w:val="20"/>
                <w:vertAlign w:val="superscript"/>
                <w:lang w:val="fr-CA"/>
              </w:rPr>
              <w:t>2</w:t>
            </w:r>
            <w:r w:rsidRPr="006B45B7">
              <w:rPr>
                <w:rFonts w:ascii="Times New Roman"/>
                <w:position w:val="9"/>
                <w:sz w:val="20"/>
                <w:szCs w:val="20"/>
                <w:lang w:val="fr-CA"/>
              </w:rPr>
              <w:t xml:space="preserve"> </w:t>
            </w:r>
            <w:r w:rsidR="002D6E74" w:rsidRPr="006B45B7">
              <w:rPr>
                <w:rFonts w:ascii="Times New Roman" w:hAnsi="Times New Roman"/>
                <w:color w:val="000000"/>
                <w:sz w:val="20"/>
                <w:szCs w:val="20"/>
                <w:lang w:val="fr-CA"/>
              </w:rPr>
              <w:t>intravenous</w:t>
            </w:r>
            <w:r w:rsidRPr="006B45B7">
              <w:rPr>
                <w:rFonts w:ascii="Times New Roman"/>
                <w:sz w:val="20"/>
                <w:szCs w:val="20"/>
                <w:lang w:val="fr-CA"/>
              </w:rPr>
              <w:t xml:space="preserve"> bolus, 600 mg/m</w:t>
            </w:r>
            <w:r w:rsidR="002D6E74" w:rsidRPr="006B45B7">
              <w:rPr>
                <w:rFonts w:ascii="Times New Roman"/>
                <w:sz w:val="20"/>
                <w:szCs w:val="20"/>
                <w:vertAlign w:val="superscript"/>
                <w:lang w:val="fr-CA"/>
              </w:rPr>
              <w:t>2</w:t>
            </w:r>
            <w:r w:rsidRPr="006B45B7">
              <w:rPr>
                <w:rFonts w:ascii="Times New Roman"/>
                <w:position w:val="9"/>
                <w:sz w:val="20"/>
                <w:szCs w:val="20"/>
                <w:lang w:val="fr-CA"/>
              </w:rPr>
              <w:t xml:space="preserve"> </w:t>
            </w:r>
            <w:r w:rsidR="002D6E74" w:rsidRPr="006B45B7">
              <w:rPr>
                <w:rFonts w:ascii="Times New Roman" w:hAnsi="Times New Roman"/>
                <w:color w:val="000000"/>
                <w:sz w:val="20"/>
                <w:szCs w:val="20"/>
                <w:lang w:val="fr-CA"/>
              </w:rPr>
              <w:t>intravenous</w:t>
            </w:r>
            <w:r w:rsidRPr="006B45B7">
              <w:rPr>
                <w:rFonts w:ascii="Times New Roman"/>
                <w:sz w:val="20"/>
                <w:szCs w:val="20"/>
                <w:lang w:val="fr-CA"/>
              </w:rPr>
              <w:t xml:space="preserve"> 22 h</w:t>
            </w:r>
          </w:p>
        </w:tc>
        <w:tc>
          <w:tcPr>
            <w:tcW w:w="3420" w:type="dxa"/>
            <w:tcBorders>
              <w:top w:val="single" w:sz="8" w:space="0" w:color="000000"/>
              <w:left w:val="single" w:sz="8" w:space="0" w:color="000000"/>
              <w:bottom w:val="single" w:sz="8" w:space="0" w:color="000000"/>
              <w:right w:val="single" w:sz="8" w:space="0" w:color="000000"/>
            </w:tcBorders>
            <w:hideMark/>
          </w:tcPr>
          <w:p w14:paraId="59147C6B" w14:textId="59C2EC46" w:rsidR="002D6E74" w:rsidRPr="00542ECA" w:rsidRDefault="00C210A5" w:rsidP="00233EDC">
            <w:pPr>
              <w:pStyle w:val="TableParagraph"/>
              <w:rPr>
                <w:rFonts w:ascii="Times New Roman"/>
                <w:sz w:val="20"/>
                <w:szCs w:val="20"/>
              </w:rPr>
            </w:pPr>
            <w:r w:rsidRPr="00542ECA">
              <w:rPr>
                <w:rFonts w:ascii="Times New Roman"/>
                <w:sz w:val="20"/>
                <w:szCs w:val="20"/>
              </w:rPr>
              <w:t>Oxaliplatin on day 1</w:t>
            </w:r>
          </w:p>
          <w:p w14:paraId="396285D3" w14:textId="77777777" w:rsidR="005C43CA" w:rsidRPr="00542ECA" w:rsidRDefault="005C43CA" w:rsidP="00233EDC">
            <w:pPr>
              <w:pStyle w:val="TableParagraph"/>
              <w:rPr>
                <w:rFonts w:ascii="Times New Roman"/>
                <w:sz w:val="20"/>
                <w:szCs w:val="20"/>
              </w:rPr>
            </w:pPr>
          </w:p>
          <w:p w14:paraId="656CA711" w14:textId="13B4C00E" w:rsidR="000A6D0C" w:rsidRPr="00542ECA" w:rsidRDefault="00C210A5" w:rsidP="00233EDC">
            <w:pPr>
              <w:pStyle w:val="TableParagraph"/>
              <w:rPr>
                <w:rFonts w:ascii="Times New Roman"/>
                <w:sz w:val="20"/>
                <w:szCs w:val="20"/>
              </w:rPr>
            </w:pPr>
            <w:r w:rsidRPr="00542ECA">
              <w:rPr>
                <w:rFonts w:ascii="Times New Roman"/>
                <w:sz w:val="20"/>
                <w:szCs w:val="20"/>
              </w:rPr>
              <w:t>Leucovorin on day 1 and 2</w:t>
            </w:r>
          </w:p>
          <w:p w14:paraId="183888BE" w14:textId="77777777" w:rsidR="005C43CA" w:rsidRPr="00542ECA" w:rsidRDefault="005C43CA" w:rsidP="00233EDC">
            <w:pPr>
              <w:pStyle w:val="TableParagraph"/>
              <w:rPr>
                <w:rFonts w:ascii="Times New Roman" w:eastAsia="Times New Roman" w:hAnsi="Times New Roman" w:cs="Times New Roman"/>
                <w:sz w:val="20"/>
                <w:szCs w:val="20"/>
              </w:rPr>
            </w:pPr>
          </w:p>
          <w:p w14:paraId="145217B0" w14:textId="603BCA4E"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5</w:t>
            </w:r>
            <w:r w:rsidR="00FD0731" w:rsidRPr="00542ECA">
              <w:rPr>
                <w:rFonts w:ascii="Times New Roman"/>
                <w:sz w:val="20"/>
                <w:szCs w:val="20"/>
              </w:rPr>
              <w:noBreakHyphen/>
            </w:r>
            <w:r w:rsidRPr="00542ECA">
              <w:rPr>
                <w:rFonts w:ascii="Times New Roman"/>
                <w:sz w:val="20"/>
                <w:szCs w:val="20"/>
              </w:rPr>
              <w:t xml:space="preserve">fluorouracil </w:t>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bolus/infusion, each on days 1 and 2</w:t>
            </w:r>
          </w:p>
        </w:tc>
      </w:tr>
      <w:tr w:rsidR="005A5348" w:rsidRPr="00542ECA" w14:paraId="153B2947" w14:textId="77777777" w:rsidTr="004228B0">
        <w:tc>
          <w:tcPr>
            <w:tcW w:w="1589" w:type="dxa"/>
            <w:vMerge/>
            <w:tcBorders>
              <w:top w:val="single" w:sz="8" w:space="0" w:color="000000"/>
              <w:left w:val="single" w:sz="8" w:space="0" w:color="000000"/>
              <w:bottom w:val="single" w:sz="8" w:space="0" w:color="000000"/>
              <w:right w:val="single" w:sz="8" w:space="0" w:color="000000"/>
            </w:tcBorders>
            <w:vAlign w:val="center"/>
            <w:hideMark/>
          </w:tcPr>
          <w:p w14:paraId="7D4AAD48" w14:textId="77777777" w:rsidR="000A6D0C" w:rsidRPr="00542ECA" w:rsidRDefault="000A6D0C" w:rsidP="00233EDC">
            <w:pPr>
              <w:jc w:val="center"/>
              <w:rPr>
                <w:rFonts w:ascii="Times New Roman" w:eastAsia="Times New Roman" w:hAnsi="Times New Roman" w:cs="Times New Roman"/>
                <w:sz w:val="20"/>
                <w:szCs w:val="20"/>
              </w:rPr>
            </w:pPr>
          </w:p>
        </w:tc>
        <w:tc>
          <w:tcPr>
            <w:tcW w:w="1587" w:type="dxa"/>
            <w:tcBorders>
              <w:top w:val="single" w:sz="8" w:space="0" w:color="000000"/>
              <w:left w:val="single" w:sz="8" w:space="0" w:color="000000"/>
              <w:bottom w:val="single" w:sz="8" w:space="0" w:color="000000"/>
              <w:right w:val="single" w:sz="8" w:space="0" w:color="000000"/>
            </w:tcBorders>
            <w:hideMark/>
          </w:tcPr>
          <w:p w14:paraId="34E692BA" w14:textId="77777777"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Placebo or Bevacizumab</w:t>
            </w:r>
          </w:p>
        </w:tc>
        <w:tc>
          <w:tcPr>
            <w:tcW w:w="2676" w:type="dxa"/>
            <w:tcBorders>
              <w:top w:val="single" w:sz="8" w:space="0" w:color="000000"/>
              <w:left w:val="single" w:sz="8" w:space="0" w:color="000000"/>
              <w:bottom w:val="single" w:sz="8" w:space="0" w:color="000000"/>
              <w:right w:val="single" w:sz="8" w:space="0" w:color="000000"/>
            </w:tcBorders>
            <w:hideMark/>
          </w:tcPr>
          <w:p w14:paraId="0C97AEE2" w14:textId="70CCFE74"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 xml:space="preserve">5 mg/kg </w:t>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30-90 min</w:t>
            </w:r>
          </w:p>
        </w:tc>
        <w:tc>
          <w:tcPr>
            <w:tcW w:w="3420" w:type="dxa"/>
            <w:tcBorders>
              <w:top w:val="single" w:sz="8" w:space="0" w:color="000000"/>
              <w:left w:val="single" w:sz="8" w:space="0" w:color="000000"/>
              <w:bottom w:val="single" w:sz="8" w:space="0" w:color="000000"/>
              <w:right w:val="single" w:sz="8" w:space="0" w:color="000000"/>
            </w:tcBorders>
            <w:hideMark/>
          </w:tcPr>
          <w:p w14:paraId="321CC841" w14:textId="034AAC78"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Day 1, prior to FOLFOX</w:t>
            </w:r>
            <w:r w:rsidR="00FD0731" w:rsidRPr="00542ECA">
              <w:rPr>
                <w:rFonts w:ascii="Times New Roman"/>
                <w:sz w:val="20"/>
                <w:szCs w:val="20"/>
              </w:rPr>
              <w:noBreakHyphen/>
            </w:r>
            <w:r w:rsidRPr="00542ECA">
              <w:rPr>
                <w:rFonts w:ascii="Times New Roman"/>
                <w:sz w:val="20"/>
                <w:szCs w:val="20"/>
              </w:rPr>
              <w:t>4, every 2 weeks</w:t>
            </w:r>
          </w:p>
        </w:tc>
      </w:tr>
      <w:tr w:rsidR="005A5348" w:rsidRPr="00542ECA" w14:paraId="390E2880" w14:textId="77777777" w:rsidTr="004228B0">
        <w:tc>
          <w:tcPr>
            <w:tcW w:w="1589" w:type="dxa"/>
            <w:vMerge w:val="restart"/>
            <w:tcBorders>
              <w:top w:val="single" w:sz="8" w:space="0" w:color="000000"/>
              <w:left w:val="single" w:sz="8" w:space="0" w:color="000000"/>
              <w:bottom w:val="single" w:sz="8" w:space="0" w:color="000000"/>
              <w:right w:val="single" w:sz="8" w:space="0" w:color="000000"/>
            </w:tcBorders>
            <w:hideMark/>
          </w:tcPr>
          <w:p w14:paraId="19AB3D18" w14:textId="77777777" w:rsidR="000A6D0C" w:rsidRPr="00542ECA" w:rsidRDefault="00C210A5" w:rsidP="00233EDC">
            <w:pPr>
              <w:pStyle w:val="TableParagraph"/>
              <w:jc w:val="center"/>
              <w:rPr>
                <w:rFonts w:ascii="Times New Roman" w:eastAsia="Times New Roman" w:hAnsi="Times New Roman" w:cs="Times New Roman"/>
                <w:sz w:val="20"/>
                <w:szCs w:val="20"/>
              </w:rPr>
            </w:pPr>
            <w:r w:rsidRPr="00542ECA">
              <w:rPr>
                <w:rFonts w:ascii="Times New Roman"/>
                <w:sz w:val="20"/>
                <w:szCs w:val="20"/>
              </w:rPr>
              <w:t>XELOX</w:t>
            </w:r>
          </w:p>
          <w:p w14:paraId="59539350" w14:textId="77777777" w:rsidR="000A6D0C" w:rsidRPr="00542ECA" w:rsidRDefault="00C210A5" w:rsidP="00233EDC">
            <w:pPr>
              <w:pStyle w:val="TableParagraph"/>
              <w:ind w:hanging="3"/>
              <w:jc w:val="center"/>
              <w:rPr>
                <w:rFonts w:ascii="Times New Roman" w:eastAsia="Times New Roman" w:hAnsi="Times New Roman" w:cs="Times New Roman"/>
                <w:sz w:val="20"/>
                <w:szCs w:val="20"/>
              </w:rPr>
            </w:pPr>
            <w:r w:rsidRPr="00542ECA">
              <w:rPr>
                <w:rFonts w:ascii="Times New Roman"/>
                <w:sz w:val="20"/>
                <w:szCs w:val="20"/>
              </w:rPr>
              <w:t>or XELOX +</w:t>
            </w:r>
          </w:p>
          <w:p w14:paraId="76475CD8" w14:textId="77777777" w:rsidR="000A6D0C" w:rsidRPr="00542ECA" w:rsidRDefault="00C210A5" w:rsidP="00233EDC">
            <w:pPr>
              <w:pStyle w:val="TableParagraph"/>
              <w:jc w:val="center"/>
              <w:rPr>
                <w:rFonts w:ascii="Times New Roman" w:eastAsia="Times New Roman" w:hAnsi="Times New Roman" w:cs="Times New Roman"/>
                <w:sz w:val="20"/>
                <w:szCs w:val="20"/>
              </w:rPr>
            </w:pPr>
            <w:r w:rsidRPr="00542ECA">
              <w:rPr>
                <w:rFonts w:ascii="Times New Roman"/>
                <w:sz w:val="20"/>
                <w:szCs w:val="20"/>
              </w:rPr>
              <w:t>Bevacizumab</w:t>
            </w:r>
          </w:p>
        </w:tc>
        <w:tc>
          <w:tcPr>
            <w:tcW w:w="1587" w:type="dxa"/>
            <w:tcBorders>
              <w:top w:val="single" w:sz="8" w:space="0" w:color="000000"/>
              <w:left w:val="single" w:sz="8" w:space="0" w:color="000000"/>
              <w:bottom w:val="single" w:sz="8" w:space="0" w:color="000000"/>
              <w:right w:val="single" w:sz="8" w:space="0" w:color="000000"/>
            </w:tcBorders>
            <w:hideMark/>
          </w:tcPr>
          <w:p w14:paraId="2DD4B24B" w14:textId="77777777" w:rsidR="005C43CA" w:rsidRPr="00542ECA" w:rsidRDefault="00C210A5" w:rsidP="00233EDC">
            <w:pPr>
              <w:pStyle w:val="TableParagraph"/>
              <w:rPr>
                <w:rFonts w:ascii="Times New Roman"/>
                <w:sz w:val="20"/>
                <w:szCs w:val="20"/>
              </w:rPr>
            </w:pPr>
            <w:r w:rsidRPr="00542ECA">
              <w:rPr>
                <w:rFonts w:ascii="Times New Roman"/>
                <w:sz w:val="20"/>
                <w:szCs w:val="20"/>
              </w:rPr>
              <w:t xml:space="preserve">Oxaliplatin </w:t>
            </w:r>
          </w:p>
          <w:p w14:paraId="53238E86" w14:textId="77777777" w:rsidR="005C43CA" w:rsidRPr="00542ECA" w:rsidRDefault="005C43CA" w:rsidP="00233EDC">
            <w:pPr>
              <w:pStyle w:val="TableParagraph"/>
              <w:rPr>
                <w:rFonts w:ascii="Times New Roman"/>
                <w:sz w:val="20"/>
                <w:szCs w:val="20"/>
              </w:rPr>
            </w:pPr>
          </w:p>
          <w:p w14:paraId="2AC1C32E" w14:textId="53C8A30A"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Capecitabine</w:t>
            </w:r>
          </w:p>
        </w:tc>
        <w:tc>
          <w:tcPr>
            <w:tcW w:w="2676" w:type="dxa"/>
            <w:tcBorders>
              <w:top w:val="single" w:sz="8" w:space="0" w:color="000000"/>
              <w:left w:val="single" w:sz="8" w:space="0" w:color="000000"/>
              <w:bottom w:val="single" w:sz="8" w:space="0" w:color="000000"/>
              <w:right w:val="single" w:sz="8" w:space="0" w:color="000000"/>
            </w:tcBorders>
            <w:hideMark/>
          </w:tcPr>
          <w:p w14:paraId="516A2183" w14:textId="2CA16B42" w:rsidR="005C43CA" w:rsidRPr="00542ECA" w:rsidRDefault="00C210A5" w:rsidP="00233EDC">
            <w:pPr>
              <w:pStyle w:val="TableParagraph"/>
              <w:rPr>
                <w:rFonts w:ascii="Times New Roman"/>
                <w:sz w:val="20"/>
                <w:szCs w:val="20"/>
              </w:rPr>
            </w:pPr>
            <w:r w:rsidRPr="00542ECA">
              <w:rPr>
                <w:rFonts w:ascii="Times New Roman"/>
                <w:sz w:val="20"/>
                <w:szCs w:val="20"/>
              </w:rPr>
              <w:t>130 mg/m</w:t>
            </w:r>
            <w:r w:rsidR="002D6E74" w:rsidRPr="00542ECA">
              <w:rPr>
                <w:rFonts w:ascii="Times New Roman"/>
                <w:sz w:val="20"/>
                <w:szCs w:val="20"/>
                <w:vertAlign w:val="superscript"/>
              </w:rPr>
              <w:t>2</w:t>
            </w:r>
            <w:r w:rsidRPr="00542ECA">
              <w:rPr>
                <w:rFonts w:ascii="Times New Roman"/>
                <w:position w:val="9"/>
                <w:sz w:val="20"/>
                <w:szCs w:val="20"/>
              </w:rPr>
              <w:t xml:space="preserve"> </w:t>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2 h</w:t>
            </w:r>
          </w:p>
          <w:p w14:paraId="2F021871" w14:textId="77777777" w:rsidR="005C43CA" w:rsidRPr="00542ECA" w:rsidRDefault="005C43CA" w:rsidP="00233EDC">
            <w:pPr>
              <w:pStyle w:val="TableParagraph"/>
              <w:rPr>
                <w:rFonts w:ascii="Times New Roman"/>
                <w:sz w:val="20"/>
                <w:szCs w:val="20"/>
              </w:rPr>
            </w:pPr>
          </w:p>
          <w:p w14:paraId="66698729" w14:textId="479C848A"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1000 mg/m</w:t>
            </w:r>
            <w:r w:rsidR="002D6E74" w:rsidRPr="00542ECA">
              <w:rPr>
                <w:rFonts w:ascii="Times New Roman"/>
                <w:sz w:val="20"/>
                <w:szCs w:val="20"/>
                <w:vertAlign w:val="superscript"/>
              </w:rPr>
              <w:t>2</w:t>
            </w:r>
            <w:r w:rsidRPr="00542ECA">
              <w:rPr>
                <w:rFonts w:ascii="Times New Roman"/>
                <w:position w:val="9"/>
                <w:sz w:val="20"/>
                <w:szCs w:val="20"/>
              </w:rPr>
              <w:t xml:space="preserve"> </w:t>
            </w:r>
            <w:r w:rsidRPr="00542ECA">
              <w:rPr>
                <w:rFonts w:ascii="Times New Roman"/>
                <w:sz w:val="20"/>
                <w:szCs w:val="20"/>
              </w:rPr>
              <w:t>oral bid</w:t>
            </w:r>
          </w:p>
        </w:tc>
        <w:tc>
          <w:tcPr>
            <w:tcW w:w="3420" w:type="dxa"/>
            <w:tcBorders>
              <w:top w:val="single" w:sz="8" w:space="0" w:color="000000"/>
              <w:left w:val="single" w:sz="8" w:space="0" w:color="000000"/>
              <w:bottom w:val="single" w:sz="8" w:space="0" w:color="000000"/>
              <w:right w:val="single" w:sz="8" w:space="0" w:color="000000"/>
            </w:tcBorders>
            <w:hideMark/>
          </w:tcPr>
          <w:p w14:paraId="1A4D283D" w14:textId="77777777" w:rsidR="005C43CA" w:rsidRPr="00542ECA" w:rsidRDefault="00C210A5" w:rsidP="00233EDC">
            <w:pPr>
              <w:pStyle w:val="TableParagraph"/>
              <w:rPr>
                <w:rFonts w:ascii="Times New Roman"/>
                <w:sz w:val="20"/>
                <w:szCs w:val="20"/>
              </w:rPr>
            </w:pPr>
            <w:r w:rsidRPr="00542ECA">
              <w:rPr>
                <w:rFonts w:ascii="Times New Roman"/>
                <w:sz w:val="20"/>
                <w:szCs w:val="20"/>
              </w:rPr>
              <w:t xml:space="preserve">Oxaliplatin on day 1 </w:t>
            </w:r>
          </w:p>
          <w:p w14:paraId="67A63FB8" w14:textId="77777777" w:rsidR="00AE7793" w:rsidRPr="00542ECA" w:rsidRDefault="00AE7793" w:rsidP="00233EDC">
            <w:pPr>
              <w:pStyle w:val="TableParagraph"/>
              <w:rPr>
                <w:rFonts w:ascii="Times New Roman"/>
                <w:sz w:val="20"/>
                <w:szCs w:val="20"/>
              </w:rPr>
            </w:pPr>
          </w:p>
          <w:p w14:paraId="5287A693" w14:textId="766D11FC"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Capecitabine oral bid for 2 weeks (followed by 1 week off</w:t>
            </w:r>
            <w:r w:rsidR="002D6E74" w:rsidRPr="00542ECA">
              <w:rPr>
                <w:rFonts w:ascii="Times New Roman"/>
                <w:sz w:val="20"/>
                <w:szCs w:val="20"/>
              </w:rPr>
              <w:t xml:space="preserve"> </w:t>
            </w:r>
            <w:r w:rsidRPr="00542ECA">
              <w:rPr>
                <w:rFonts w:ascii="Times New Roman"/>
                <w:sz w:val="20"/>
                <w:szCs w:val="20"/>
              </w:rPr>
              <w:t>treatment)</w:t>
            </w:r>
          </w:p>
        </w:tc>
      </w:tr>
      <w:tr w:rsidR="005A5348" w:rsidRPr="00542ECA" w14:paraId="6EA61DB6" w14:textId="77777777" w:rsidTr="004228B0">
        <w:tc>
          <w:tcPr>
            <w:tcW w:w="1589" w:type="dxa"/>
            <w:vMerge/>
            <w:tcBorders>
              <w:top w:val="single" w:sz="8" w:space="0" w:color="000000"/>
              <w:left w:val="single" w:sz="8" w:space="0" w:color="000000"/>
              <w:bottom w:val="single" w:sz="8" w:space="0" w:color="000000"/>
              <w:right w:val="single" w:sz="8" w:space="0" w:color="000000"/>
            </w:tcBorders>
            <w:vAlign w:val="center"/>
            <w:hideMark/>
          </w:tcPr>
          <w:p w14:paraId="6F347AD5" w14:textId="77777777" w:rsidR="000A6D0C" w:rsidRPr="00542ECA" w:rsidRDefault="000A6D0C" w:rsidP="00233EDC">
            <w:pPr>
              <w:rPr>
                <w:rFonts w:ascii="Times New Roman" w:eastAsia="Times New Roman" w:hAnsi="Times New Roman" w:cs="Times New Roman"/>
                <w:sz w:val="20"/>
                <w:szCs w:val="20"/>
              </w:rPr>
            </w:pPr>
          </w:p>
        </w:tc>
        <w:tc>
          <w:tcPr>
            <w:tcW w:w="1587" w:type="dxa"/>
            <w:tcBorders>
              <w:top w:val="single" w:sz="8" w:space="0" w:color="000000"/>
              <w:left w:val="single" w:sz="8" w:space="0" w:color="000000"/>
              <w:bottom w:val="single" w:sz="8" w:space="0" w:color="000000"/>
              <w:right w:val="single" w:sz="8" w:space="0" w:color="000000"/>
            </w:tcBorders>
            <w:hideMark/>
          </w:tcPr>
          <w:p w14:paraId="4B593065" w14:textId="77777777"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t xml:space="preserve">Placebo or </w:t>
            </w:r>
            <w:r w:rsidRPr="00542ECA">
              <w:rPr>
                <w:rFonts w:ascii="Times New Roman"/>
                <w:sz w:val="20"/>
                <w:szCs w:val="20"/>
              </w:rPr>
              <w:lastRenderedPageBreak/>
              <w:t>Bevacizumab</w:t>
            </w:r>
          </w:p>
        </w:tc>
        <w:tc>
          <w:tcPr>
            <w:tcW w:w="2676" w:type="dxa"/>
            <w:tcBorders>
              <w:top w:val="single" w:sz="8" w:space="0" w:color="000000"/>
              <w:left w:val="single" w:sz="8" w:space="0" w:color="000000"/>
              <w:bottom w:val="single" w:sz="8" w:space="0" w:color="000000"/>
              <w:right w:val="single" w:sz="8" w:space="0" w:color="000000"/>
            </w:tcBorders>
            <w:hideMark/>
          </w:tcPr>
          <w:p w14:paraId="37A265A3" w14:textId="3223F0E2"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lastRenderedPageBreak/>
              <w:t>7.5 mg/kg</w:t>
            </w:r>
            <w:r w:rsidR="002D6E74" w:rsidRPr="00542ECA">
              <w:rPr>
                <w:rFonts w:ascii="Times New Roman"/>
                <w:sz w:val="20"/>
                <w:szCs w:val="20"/>
              </w:rPr>
              <w:t xml:space="preserve"> </w:t>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30-90 </w:t>
            </w:r>
            <w:r w:rsidRPr="00542ECA">
              <w:rPr>
                <w:rFonts w:ascii="Times New Roman"/>
                <w:sz w:val="20"/>
                <w:szCs w:val="20"/>
              </w:rPr>
              <w:lastRenderedPageBreak/>
              <w:t>min</w:t>
            </w:r>
          </w:p>
        </w:tc>
        <w:tc>
          <w:tcPr>
            <w:tcW w:w="3420" w:type="dxa"/>
            <w:tcBorders>
              <w:top w:val="single" w:sz="8" w:space="0" w:color="000000"/>
              <w:left w:val="single" w:sz="8" w:space="0" w:color="000000"/>
              <w:bottom w:val="single" w:sz="8" w:space="0" w:color="000000"/>
              <w:right w:val="single" w:sz="8" w:space="0" w:color="000000"/>
            </w:tcBorders>
            <w:hideMark/>
          </w:tcPr>
          <w:p w14:paraId="6C21FAF9" w14:textId="77777777" w:rsidR="000A6D0C" w:rsidRPr="00542ECA" w:rsidRDefault="00C210A5" w:rsidP="00233EDC">
            <w:pPr>
              <w:pStyle w:val="TableParagraph"/>
              <w:rPr>
                <w:rFonts w:ascii="Times New Roman" w:eastAsia="Times New Roman" w:hAnsi="Times New Roman" w:cs="Times New Roman"/>
                <w:sz w:val="20"/>
                <w:szCs w:val="20"/>
              </w:rPr>
            </w:pPr>
            <w:r w:rsidRPr="00542ECA">
              <w:rPr>
                <w:rFonts w:ascii="Times New Roman"/>
                <w:sz w:val="20"/>
                <w:szCs w:val="20"/>
              </w:rPr>
              <w:lastRenderedPageBreak/>
              <w:t>Day 1, prior to XELOX, q 3 weeks</w:t>
            </w:r>
          </w:p>
        </w:tc>
      </w:tr>
      <w:tr w:rsidR="00A27683" w:rsidRPr="00542ECA" w14:paraId="18CF1BBB" w14:textId="77777777" w:rsidTr="004228B0">
        <w:tc>
          <w:tcPr>
            <w:tcW w:w="9270" w:type="dxa"/>
            <w:gridSpan w:val="4"/>
            <w:tcBorders>
              <w:top w:val="single" w:sz="8" w:space="0" w:color="000000"/>
              <w:left w:val="single" w:sz="8" w:space="0" w:color="000000"/>
              <w:bottom w:val="single" w:sz="8" w:space="0" w:color="000000"/>
              <w:right w:val="single" w:sz="8" w:space="0" w:color="000000"/>
            </w:tcBorders>
            <w:hideMark/>
          </w:tcPr>
          <w:p w14:paraId="75CEC7AD" w14:textId="5E1D185B" w:rsidR="000A6D0C" w:rsidRPr="00542ECA" w:rsidRDefault="00C210A5" w:rsidP="00233EDC">
            <w:pPr>
              <w:pStyle w:val="TableParagraph"/>
              <w:tabs>
                <w:tab w:val="left" w:pos="1798"/>
              </w:tabs>
              <w:ind w:left="99"/>
              <w:rPr>
                <w:rFonts w:ascii="Times New Roman" w:eastAsia="Times New Roman" w:hAnsi="Times New Roman" w:cs="Times New Roman"/>
                <w:sz w:val="20"/>
                <w:szCs w:val="20"/>
              </w:rPr>
            </w:pPr>
            <w:r w:rsidRPr="00542ECA">
              <w:rPr>
                <w:rFonts w:ascii="Times New Roman"/>
                <w:sz w:val="20"/>
                <w:szCs w:val="20"/>
              </w:rPr>
              <w:t>5</w:t>
            </w:r>
            <w:r w:rsidR="00FD0731" w:rsidRPr="00542ECA">
              <w:rPr>
                <w:rFonts w:ascii="Times New Roman"/>
                <w:sz w:val="20"/>
                <w:szCs w:val="20"/>
              </w:rPr>
              <w:noBreakHyphen/>
            </w:r>
            <w:r w:rsidRPr="00542ECA">
              <w:rPr>
                <w:rFonts w:ascii="Times New Roman"/>
                <w:sz w:val="20"/>
                <w:szCs w:val="20"/>
              </w:rPr>
              <w:t>Fluorouracil:</w:t>
            </w:r>
            <w:r w:rsidRPr="00542ECA">
              <w:rPr>
                <w:rFonts w:ascii="Times New Roman"/>
                <w:sz w:val="20"/>
                <w:szCs w:val="20"/>
              </w:rPr>
              <w:tab/>
            </w:r>
            <w:r w:rsidR="002D6E74" w:rsidRPr="00542ECA">
              <w:rPr>
                <w:rFonts w:ascii="Times New Roman" w:hAnsi="Times New Roman"/>
                <w:color w:val="000000"/>
                <w:sz w:val="20"/>
                <w:szCs w:val="20"/>
                <w:lang w:val="en-GB"/>
              </w:rPr>
              <w:t>intravenous</w:t>
            </w:r>
            <w:r w:rsidRPr="00542ECA">
              <w:rPr>
                <w:rFonts w:ascii="Times New Roman"/>
                <w:sz w:val="20"/>
                <w:szCs w:val="20"/>
              </w:rPr>
              <w:t xml:space="preserve"> bolus injection immediately after leucovorin</w:t>
            </w:r>
          </w:p>
        </w:tc>
      </w:tr>
    </w:tbl>
    <w:p w14:paraId="0B4EE346" w14:textId="36C42D41" w:rsidR="00047E69" w:rsidRPr="00D93D2E" w:rsidRDefault="00C210A5" w:rsidP="00244E95">
      <w:pPr>
        <w:pStyle w:val="a5"/>
        <w:widowControl/>
        <w:adjustRightInd w:val="0"/>
        <w:snapToGrid w:val="0"/>
      </w:pPr>
      <w:r w:rsidRPr="00D93D2E">
        <w:t xml:space="preserve">The primary efficacy parameter of the trial was the duration of </w:t>
      </w:r>
      <w:r w:rsidR="00A135EE" w:rsidRPr="00D93D2E">
        <w:t>PFS</w:t>
      </w:r>
      <w:r w:rsidRPr="00D93D2E">
        <w:t>. In this trial, there were two primary objectives: to show that XELOX was non</w:t>
      </w:r>
      <w:r w:rsidR="00FD0731" w:rsidRPr="00D93D2E">
        <w:noBreakHyphen/>
      </w:r>
      <w:r w:rsidRPr="00D93D2E">
        <w:t>inferior to FOLFOX</w:t>
      </w:r>
      <w:r w:rsidR="00FD0731" w:rsidRPr="00D93D2E">
        <w:noBreakHyphen/>
      </w:r>
      <w:r w:rsidRPr="00D93D2E">
        <w:t>4 and to show that bevacizumab in combination with FOLFOX</w:t>
      </w:r>
      <w:r w:rsidR="00FD0731" w:rsidRPr="00D93D2E">
        <w:noBreakHyphen/>
      </w:r>
      <w:r w:rsidRPr="00D93D2E">
        <w:t>4 or XELOX chemotherapy was superior to chemotherapy alone. Both co</w:t>
      </w:r>
      <w:r w:rsidR="00FD0731" w:rsidRPr="00D93D2E">
        <w:noBreakHyphen/>
      </w:r>
      <w:r w:rsidRPr="00D93D2E">
        <w:t>primary objectives were met:</w:t>
      </w:r>
    </w:p>
    <w:p w14:paraId="6C71B816" w14:textId="77777777" w:rsidR="00047E69" w:rsidRPr="00D93D2E" w:rsidRDefault="00047E69" w:rsidP="00244E95">
      <w:pPr>
        <w:widowControl/>
        <w:adjustRightInd w:val="0"/>
        <w:snapToGrid w:val="0"/>
        <w:rPr>
          <w:rFonts w:ascii="Times New Roman" w:eastAsia="Times New Roman" w:hAnsi="Times New Roman" w:cs="Times New Roman"/>
        </w:rPr>
      </w:pPr>
    </w:p>
    <w:p w14:paraId="61B02504" w14:textId="7D071D4A" w:rsidR="00047E69" w:rsidRPr="00D93D2E" w:rsidRDefault="00C210A5" w:rsidP="00244E95">
      <w:pPr>
        <w:pStyle w:val="a5"/>
        <w:widowControl/>
        <w:numPr>
          <w:ilvl w:val="0"/>
          <w:numId w:val="10"/>
        </w:numPr>
        <w:tabs>
          <w:tab w:val="left" w:pos="717"/>
        </w:tabs>
        <w:adjustRightInd w:val="0"/>
        <w:snapToGrid w:val="0"/>
        <w:ind w:left="567" w:hanging="567"/>
      </w:pPr>
      <w:r w:rsidRPr="00D93D2E">
        <w:t>Non</w:t>
      </w:r>
      <w:r w:rsidR="00FD0731" w:rsidRPr="00D93D2E">
        <w:noBreakHyphen/>
      </w:r>
      <w:r w:rsidRPr="00D93D2E">
        <w:t>inferiority of the XELOX</w:t>
      </w:r>
      <w:r w:rsidR="00FD0731" w:rsidRPr="00D93D2E">
        <w:noBreakHyphen/>
      </w:r>
      <w:r w:rsidRPr="00D93D2E">
        <w:t>containing arms compared with the FOLFOX</w:t>
      </w:r>
      <w:r w:rsidR="00FD0731" w:rsidRPr="00D93D2E">
        <w:noBreakHyphen/>
      </w:r>
      <w:r w:rsidRPr="00D93D2E">
        <w:t>4</w:t>
      </w:r>
      <w:r w:rsidR="00FD0731" w:rsidRPr="00D93D2E">
        <w:noBreakHyphen/>
      </w:r>
      <w:r w:rsidRPr="00D93D2E">
        <w:t xml:space="preserve">containing arms in the overall comparison was demonstrated in terms of </w:t>
      </w:r>
      <w:r w:rsidR="00A135EE" w:rsidRPr="00D93D2E">
        <w:t xml:space="preserve">PFS </w:t>
      </w:r>
      <w:r w:rsidRPr="00D93D2E">
        <w:t xml:space="preserve">and </w:t>
      </w:r>
      <w:r w:rsidR="00A135EE" w:rsidRPr="00D93D2E">
        <w:t>OS</w:t>
      </w:r>
      <w:r w:rsidRPr="00D93D2E">
        <w:t xml:space="preserve"> in the eligible per</w:t>
      </w:r>
      <w:r w:rsidR="00FD0731" w:rsidRPr="00D93D2E">
        <w:noBreakHyphen/>
      </w:r>
      <w:r w:rsidRPr="00D93D2E">
        <w:t>protocol population.</w:t>
      </w:r>
    </w:p>
    <w:p w14:paraId="3D890290" w14:textId="77777777" w:rsidR="00047E69" w:rsidRPr="00D93D2E" w:rsidRDefault="00047E69" w:rsidP="00244E95">
      <w:pPr>
        <w:widowControl/>
        <w:adjustRightInd w:val="0"/>
        <w:snapToGrid w:val="0"/>
        <w:ind w:left="567" w:hanging="567"/>
        <w:rPr>
          <w:rFonts w:ascii="Times New Roman" w:eastAsia="Times New Roman" w:hAnsi="Times New Roman" w:cs="Times New Roman"/>
        </w:rPr>
      </w:pPr>
    </w:p>
    <w:p w14:paraId="4C342EAB" w14:textId="557003BB" w:rsidR="00047E69" w:rsidRPr="00D93D2E" w:rsidRDefault="00C210A5" w:rsidP="00244E95">
      <w:pPr>
        <w:pStyle w:val="a5"/>
        <w:widowControl/>
        <w:numPr>
          <w:ilvl w:val="0"/>
          <w:numId w:val="10"/>
        </w:numPr>
        <w:tabs>
          <w:tab w:val="left" w:pos="717"/>
        </w:tabs>
        <w:adjustRightInd w:val="0"/>
        <w:snapToGrid w:val="0"/>
        <w:ind w:left="567" w:hanging="567"/>
      </w:pPr>
      <w:r w:rsidRPr="00D93D2E">
        <w:t>Superiority of the bevacizumab</w:t>
      </w:r>
      <w:r w:rsidR="00FD0731" w:rsidRPr="00D93D2E">
        <w:noBreakHyphen/>
      </w:r>
      <w:r w:rsidRPr="00D93D2E">
        <w:t xml:space="preserve">containing arms versus the chemotherapy alone arms in the overall comparison was demonstrated in terms of </w:t>
      </w:r>
      <w:r w:rsidR="00A135EE" w:rsidRPr="00D93D2E">
        <w:t>PFS</w:t>
      </w:r>
      <w:r w:rsidRPr="00D93D2E">
        <w:t xml:space="preserve"> in the ITT population (Table 7).</w:t>
      </w:r>
    </w:p>
    <w:p w14:paraId="08EF4698" w14:textId="77777777" w:rsidR="00047E69" w:rsidRPr="00D93D2E" w:rsidRDefault="00047E69" w:rsidP="00244E95">
      <w:pPr>
        <w:widowControl/>
        <w:adjustRightInd w:val="0"/>
        <w:snapToGrid w:val="0"/>
        <w:rPr>
          <w:rFonts w:ascii="Times New Roman" w:eastAsia="Times New Roman" w:hAnsi="Times New Roman" w:cs="Times New Roman"/>
        </w:rPr>
      </w:pPr>
    </w:p>
    <w:p w14:paraId="5E73DAFB" w14:textId="11F5B130" w:rsidR="00047E69" w:rsidRPr="00D93D2E" w:rsidRDefault="00C210A5" w:rsidP="00244E95">
      <w:pPr>
        <w:pStyle w:val="a5"/>
        <w:widowControl/>
        <w:adjustRightInd w:val="0"/>
        <w:snapToGrid w:val="0"/>
      </w:pPr>
      <w:r w:rsidRPr="00D93D2E">
        <w:t>Secondary PFS analyses, based on ‘on</w:t>
      </w:r>
      <w:r w:rsidR="00FD0731" w:rsidRPr="00D93D2E">
        <w:noBreakHyphen/>
      </w:r>
      <w:r w:rsidRPr="00D93D2E">
        <w:t>treatment’</w:t>
      </w:r>
      <w:r w:rsidR="00FD0731" w:rsidRPr="00D93D2E">
        <w:noBreakHyphen/>
      </w:r>
      <w:r w:rsidRPr="00D93D2E">
        <w:t>based response assessments, confirmed the significantly superior clinical benefit for patients treated with bevacizumab (analyses shown in Table 7), consistent with the statistically significant benefit observed in the pooled analysis.</w:t>
      </w:r>
    </w:p>
    <w:p w14:paraId="28A62504" w14:textId="0774B97D" w:rsidR="005C792A" w:rsidRPr="00D93D2E" w:rsidRDefault="005C792A" w:rsidP="00244E95">
      <w:pPr>
        <w:widowControl/>
        <w:rPr>
          <w:rFonts w:ascii="Times New Roman" w:eastAsia="Times New Roman" w:hAnsi="Times New Roman"/>
          <w:b/>
          <w:bCs/>
        </w:rPr>
      </w:pPr>
    </w:p>
    <w:p w14:paraId="5419F8A4" w14:textId="65F5FADF"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7</w:t>
      </w:r>
      <w:r w:rsidRPr="00536B4F">
        <w:rPr>
          <w:rFonts w:ascii="Times New Roman" w:hAnsi="Times New Roman" w:cs="Times New Roman"/>
          <w:b/>
          <w:bCs/>
        </w:rPr>
        <w:tab/>
        <w:t>Key efficacy results for the superiority analysis (ITT population, trial NO16966)</w:t>
      </w:r>
    </w:p>
    <w:p w14:paraId="2B3F12A1" w14:textId="77777777" w:rsidR="00AF607F" w:rsidRPr="00D93D2E" w:rsidRDefault="00AF607F" w:rsidP="005E4476">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3283"/>
        <w:gridCol w:w="2088"/>
        <w:gridCol w:w="2117"/>
        <w:gridCol w:w="1574"/>
      </w:tblGrid>
      <w:tr w:rsidR="00A27683" w:rsidRPr="00D93D2E" w14:paraId="020A11B9"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41DAF17E"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Endpoint (months)</w:t>
            </w:r>
          </w:p>
        </w:tc>
        <w:tc>
          <w:tcPr>
            <w:tcW w:w="2088" w:type="dxa"/>
            <w:tcBorders>
              <w:top w:val="single" w:sz="5" w:space="0" w:color="000000"/>
              <w:left w:val="single" w:sz="5" w:space="0" w:color="000000"/>
              <w:bottom w:val="single" w:sz="5" w:space="0" w:color="000000"/>
              <w:right w:val="single" w:sz="5" w:space="0" w:color="000000"/>
            </w:tcBorders>
          </w:tcPr>
          <w:p w14:paraId="076F45EB" w14:textId="5836141D" w:rsidR="00047E69" w:rsidRPr="00D93D2E" w:rsidRDefault="00C210A5" w:rsidP="00244E95">
            <w:pPr>
              <w:pStyle w:val="TableParagraph"/>
              <w:widowControl/>
              <w:jc w:val="center"/>
              <w:rPr>
                <w:rFonts w:ascii="Times New Roman" w:eastAsia="Times New Roman" w:hAnsi="Times New Roman" w:cs="Times New Roman"/>
                <w:b/>
                <w:bCs/>
              </w:rPr>
            </w:pPr>
            <w:r w:rsidRPr="00D93D2E">
              <w:rPr>
                <w:rFonts w:ascii="Times New Roman"/>
                <w:b/>
                <w:bCs/>
              </w:rPr>
              <w:t>FOLFOX</w:t>
            </w:r>
            <w:r w:rsidR="00FD0731" w:rsidRPr="00D93D2E">
              <w:rPr>
                <w:rFonts w:ascii="Times New Roman"/>
                <w:b/>
                <w:bCs/>
              </w:rPr>
              <w:noBreakHyphen/>
            </w:r>
            <w:r w:rsidRPr="00D93D2E">
              <w:rPr>
                <w:rFonts w:ascii="Times New Roman"/>
                <w:b/>
                <w:bCs/>
              </w:rPr>
              <w:t>4 or XELOX</w:t>
            </w:r>
          </w:p>
          <w:p w14:paraId="3F53B076" w14:textId="77777777" w:rsidR="00BB4096" w:rsidRPr="00D93D2E" w:rsidRDefault="00C210A5" w:rsidP="00244E95">
            <w:pPr>
              <w:pStyle w:val="TableParagraph"/>
              <w:widowControl/>
              <w:jc w:val="center"/>
              <w:rPr>
                <w:rFonts w:ascii="Times New Roman"/>
                <w:b/>
                <w:bCs/>
              </w:rPr>
            </w:pPr>
            <w:r w:rsidRPr="00D93D2E">
              <w:rPr>
                <w:rFonts w:ascii="Times New Roman"/>
                <w:b/>
                <w:bCs/>
              </w:rPr>
              <w:t xml:space="preserve">+ placebo </w:t>
            </w:r>
          </w:p>
          <w:p w14:paraId="52DA055D" w14:textId="64F5A8A5" w:rsidR="00047E69" w:rsidRPr="00D93D2E" w:rsidRDefault="00C210A5" w:rsidP="00244E95">
            <w:pPr>
              <w:pStyle w:val="TableParagraph"/>
              <w:widowControl/>
              <w:jc w:val="center"/>
              <w:rPr>
                <w:rFonts w:ascii="Times New Roman" w:eastAsia="Times New Roman" w:hAnsi="Times New Roman" w:cs="Times New Roman"/>
                <w:b/>
                <w:bCs/>
              </w:rPr>
            </w:pPr>
            <w:r w:rsidRPr="00D93D2E">
              <w:rPr>
                <w:rFonts w:ascii="Times New Roman"/>
                <w:b/>
                <w:bCs/>
              </w:rPr>
              <w:t>(n=701)</w:t>
            </w:r>
          </w:p>
        </w:tc>
        <w:tc>
          <w:tcPr>
            <w:tcW w:w="2117" w:type="dxa"/>
            <w:tcBorders>
              <w:top w:val="single" w:sz="5" w:space="0" w:color="000000"/>
              <w:left w:val="single" w:sz="5" w:space="0" w:color="000000"/>
              <w:bottom w:val="single" w:sz="5" w:space="0" w:color="000000"/>
              <w:right w:val="single" w:sz="5" w:space="0" w:color="000000"/>
            </w:tcBorders>
          </w:tcPr>
          <w:p w14:paraId="110C9515" w14:textId="2DAE7E51" w:rsidR="00047E69" w:rsidRPr="00D93D2E" w:rsidRDefault="00C210A5" w:rsidP="00244E95">
            <w:pPr>
              <w:pStyle w:val="TableParagraph"/>
              <w:widowControl/>
              <w:jc w:val="center"/>
              <w:rPr>
                <w:rFonts w:ascii="Times New Roman" w:eastAsia="Times New Roman" w:hAnsi="Times New Roman" w:cs="Times New Roman"/>
                <w:b/>
                <w:bCs/>
              </w:rPr>
            </w:pPr>
            <w:r w:rsidRPr="00D93D2E">
              <w:rPr>
                <w:rFonts w:ascii="Times New Roman"/>
                <w:b/>
                <w:bCs/>
              </w:rPr>
              <w:t>FOLFOX</w:t>
            </w:r>
            <w:r w:rsidR="00FD0731" w:rsidRPr="00D93D2E">
              <w:rPr>
                <w:rFonts w:ascii="Times New Roman"/>
                <w:b/>
                <w:bCs/>
              </w:rPr>
              <w:noBreakHyphen/>
            </w:r>
            <w:r w:rsidRPr="00D93D2E">
              <w:rPr>
                <w:rFonts w:ascii="Times New Roman"/>
                <w:b/>
                <w:bCs/>
              </w:rPr>
              <w:t>4 or XELOX</w:t>
            </w:r>
          </w:p>
          <w:p w14:paraId="2AC0075E" w14:textId="1A30C4D7" w:rsidR="00047E69" w:rsidRPr="00D93D2E" w:rsidRDefault="00C210A5" w:rsidP="00244E95">
            <w:pPr>
              <w:pStyle w:val="TableParagraph"/>
              <w:widowControl/>
              <w:jc w:val="center"/>
              <w:rPr>
                <w:rFonts w:ascii="Times New Roman" w:eastAsia="Times New Roman" w:hAnsi="Times New Roman" w:cs="Times New Roman"/>
                <w:b/>
                <w:bCs/>
              </w:rPr>
            </w:pPr>
            <w:r w:rsidRPr="00D93D2E">
              <w:rPr>
                <w:rFonts w:ascii="Times New Roman"/>
                <w:b/>
                <w:bCs/>
              </w:rPr>
              <w:t xml:space="preserve">+ </w:t>
            </w:r>
            <w:r w:rsidR="00897126" w:rsidRPr="00D93D2E">
              <w:rPr>
                <w:rFonts w:ascii="Times New Roman"/>
                <w:b/>
                <w:bCs/>
              </w:rPr>
              <w:t>B</w:t>
            </w:r>
            <w:r w:rsidRPr="00D93D2E">
              <w:rPr>
                <w:rFonts w:ascii="Times New Roman"/>
                <w:b/>
                <w:bCs/>
              </w:rPr>
              <w:t>evacizumab (n=699)</w:t>
            </w:r>
          </w:p>
        </w:tc>
        <w:tc>
          <w:tcPr>
            <w:tcW w:w="1574" w:type="dxa"/>
            <w:tcBorders>
              <w:top w:val="single" w:sz="5" w:space="0" w:color="000000"/>
              <w:left w:val="single" w:sz="5" w:space="0" w:color="000000"/>
              <w:bottom w:val="single" w:sz="5" w:space="0" w:color="000000"/>
              <w:right w:val="single" w:sz="5" w:space="0" w:color="000000"/>
            </w:tcBorders>
          </w:tcPr>
          <w:p w14:paraId="23E77897" w14:textId="5BFC36A8" w:rsidR="00047E69" w:rsidRPr="00D93D2E" w:rsidRDefault="00C210A5" w:rsidP="00244E95">
            <w:pPr>
              <w:pStyle w:val="TableParagraph"/>
              <w:widowControl/>
              <w:jc w:val="center"/>
              <w:rPr>
                <w:rFonts w:ascii="Times New Roman" w:eastAsia="Times New Roman" w:hAnsi="Times New Roman" w:cs="Times New Roman"/>
                <w:b/>
                <w:bCs/>
              </w:rPr>
            </w:pPr>
            <w:r w:rsidRPr="00D93D2E">
              <w:rPr>
                <w:rFonts w:ascii="Times New Roman"/>
                <w:b/>
                <w:bCs/>
              </w:rPr>
              <w:t>P</w:t>
            </w:r>
            <w:r w:rsidR="00FD0731" w:rsidRPr="00D93D2E">
              <w:rPr>
                <w:rFonts w:ascii="Times New Roman"/>
                <w:b/>
                <w:bCs/>
              </w:rPr>
              <w:noBreakHyphen/>
            </w:r>
            <w:r w:rsidRPr="00D93D2E">
              <w:rPr>
                <w:rFonts w:ascii="Times New Roman"/>
                <w:b/>
                <w:bCs/>
              </w:rPr>
              <w:t>value</w:t>
            </w:r>
          </w:p>
        </w:tc>
      </w:tr>
      <w:tr w:rsidR="00A27683" w:rsidRPr="00D93D2E" w14:paraId="32C5440E" w14:textId="77777777" w:rsidTr="004228B0">
        <w:tc>
          <w:tcPr>
            <w:tcW w:w="9062" w:type="dxa"/>
            <w:gridSpan w:val="4"/>
            <w:tcBorders>
              <w:top w:val="single" w:sz="5" w:space="0" w:color="000000"/>
              <w:left w:val="single" w:sz="5" w:space="0" w:color="000000"/>
              <w:bottom w:val="single" w:sz="5" w:space="0" w:color="000000"/>
              <w:right w:val="single" w:sz="5" w:space="0" w:color="000000"/>
            </w:tcBorders>
          </w:tcPr>
          <w:p w14:paraId="5756AA04"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Primary endpoint</w:t>
            </w:r>
          </w:p>
        </w:tc>
      </w:tr>
      <w:tr w:rsidR="00A27683" w:rsidRPr="00D93D2E" w14:paraId="1E9F224B"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54D0AD71"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Median PFS**</w:t>
            </w:r>
          </w:p>
        </w:tc>
        <w:tc>
          <w:tcPr>
            <w:tcW w:w="2088" w:type="dxa"/>
            <w:tcBorders>
              <w:top w:val="single" w:sz="5" w:space="0" w:color="000000"/>
              <w:left w:val="single" w:sz="5" w:space="0" w:color="000000"/>
              <w:bottom w:val="single" w:sz="5" w:space="0" w:color="000000"/>
              <w:right w:val="single" w:sz="5" w:space="0" w:color="000000"/>
            </w:tcBorders>
          </w:tcPr>
          <w:p w14:paraId="649AB884"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8.0</w:t>
            </w:r>
          </w:p>
        </w:tc>
        <w:tc>
          <w:tcPr>
            <w:tcW w:w="2117" w:type="dxa"/>
            <w:tcBorders>
              <w:top w:val="single" w:sz="5" w:space="0" w:color="000000"/>
              <w:left w:val="single" w:sz="5" w:space="0" w:color="000000"/>
              <w:bottom w:val="single" w:sz="5" w:space="0" w:color="000000"/>
              <w:right w:val="single" w:sz="5" w:space="0" w:color="000000"/>
            </w:tcBorders>
          </w:tcPr>
          <w:p w14:paraId="1EA59272"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9.4</w:t>
            </w:r>
          </w:p>
        </w:tc>
        <w:tc>
          <w:tcPr>
            <w:tcW w:w="1574" w:type="dxa"/>
            <w:tcBorders>
              <w:top w:val="single" w:sz="5" w:space="0" w:color="000000"/>
              <w:left w:val="single" w:sz="5" w:space="0" w:color="000000"/>
              <w:bottom w:val="single" w:sz="5" w:space="0" w:color="000000"/>
              <w:right w:val="single" w:sz="5" w:space="0" w:color="000000"/>
            </w:tcBorders>
          </w:tcPr>
          <w:p w14:paraId="50EFE7DE"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0.0023</w:t>
            </w:r>
          </w:p>
        </w:tc>
      </w:tr>
      <w:tr w:rsidR="00A27683" w:rsidRPr="00D93D2E" w14:paraId="5512CFE3"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59F34746"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 xml:space="preserve">Hazard ratio (97.5% CI) </w:t>
            </w:r>
            <w:r w:rsidRPr="00D93D2E">
              <w:rPr>
                <w:rFonts w:ascii="Times New Roman"/>
                <w:position w:val="7"/>
              </w:rPr>
              <w:t>a</w:t>
            </w:r>
          </w:p>
        </w:tc>
        <w:tc>
          <w:tcPr>
            <w:tcW w:w="4205" w:type="dxa"/>
            <w:gridSpan w:val="2"/>
            <w:tcBorders>
              <w:top w:val="single" w:sz="5" w:space="0" w:color="000000"/>
              <w:left w:val="single" w:sz="5" w:space="0" w:color="000000"/>
              <w:bottom w:val="single" w:sz="5" w:space="0" w:color="000000"/>
              <w:right w:val="single" w:sz="5" w:space="0" w:color="000000"/>
            </w:tcBorders>
          </w:tcPr>
          <w:p w14:paraId="650232D3"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eastAsia="Times New Roman" w:hAnsi="Times New Roman" w:cs="Times New Roman"/>
              </w:rPr>
              <w:t>0.83 (0.72–0.95)</w:t>
            </w:r>
          </w:p>
        </w:tc>
        <w:tc>
          <w:tcPr>
            <w:tcW w:w="1574" w:type="dxa"/>
            <w:tcBorders>
              <w:top w:val="single" w:sz="5" w:space="0" w:color="000000"/>
              <w:left w:val="single" w:sz="5" w:space="0" w:color="000000"/>
              <w:bottom w:val="single" w:sz="5" w:space="0" w:color="000000"/>
              <w:right w:val="single" w:sz="5" w:space="0" w:color="000000"/>
            </w:tcBorders>
          </w:tcPr>
          <w:p w14:paraId="2064C629" w14:textId="77777777" w:rsidR="00047E69" w:rsidRPr="00D93D2E" w:rsidRDefault="00047E69" w:rsidP="00244E95">
            <w:pPr>
              <w:widowControl/>
              <w:jc w:val="center"/>
            </w:pPr>
          </w:p>
        </w:tc>
      </w:tr>
      <w:tr w:rsidR="00A27683" w:rsidRPr="00D93D2E" w14:paraId="0ED5F895" w14:textId="77777777" w:rsidTr="004228B0">
        <w:tc>
          <w:tcPr>
            <w:tcW w:w="9062" w:type="dxa"/>
            <w:gridSpan w:val="4"/>
            <w:tcBorders>
              <w:top w:val="single" w:sz="5" w:space="0" w:color="000000"/>
              <w:left w:val="single" w:sz="5" w:space="0" w:color="000000"/>
              <w:bottom w:val="single" w:sz="5" w:space="0" w:color="000000"/>
              <w:right w:val="single" w:sz="5" w:space="0" w:color="000000"/>
            </w:tcBorders>
          </w:tcPr>
          <w:p w14:paraId="4DBE0BC2"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Secondary endpoints</w:t>
            </w:r>
          </w:p>
        </w:tc>
      </w:tr>
      <w:tr w:rsidR="00A27683" w:rsidRPr="00D93D2E" w14:paraId="42F88D6F"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41AE1D35"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Median PFS (on treatment)**</w:t>
            </w:r>
          </w:p>
        </w:tc>
        <w:tc>
          <w:tcPr>
            <w:tcW w:w="2088" w:type="dxa"/>
            <w:tcBorders>
              <w:top w:val="single" w:sz="5" w:space="0" w:color="000000"/>
              <w:left w:val="single" w:sz="5" w:space="0" w:color="000000"/>
              <w:bottom w:val="single" w:sz="5" w:space="0" w:color="000000"/>
              <w:right w:val="single" w:sz="5" w:space="0" w:color="000000"/>
            </w:tcBorders>
          </w:tcPr>
          <w:p w14:paraId="4FA3531E"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7.9</w:t>
            </w:r>
          </w:p>
        </w:tc>
        <w:tc>
          <w:tcPr>
            <w:tcW w:w="2117" w:type="dxa"/>
            <w:tcBorders>
              <w:top w:val="single" w:sz="5" w:space="0" w:color="000000"/>
              <w:left w:val="single" w:sz="5" w:space="0" w:color="000000"/>
              <w:bottom w:val="single" w:sz="5" w:space="0" w:color="000000"/>
              <w:right w:val="single" w:sz="5" w:space="0" w:color="000000"/>
            </w:tcBorders>
          </w:tcPr>
          <w:p w14:paraId="47B89012"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10.4</w:t>
            </w:r>
          </w:p>
        </w:tc>
        <w:tc>
          <w:tcPr>
            <w:tcW w:w="1574" w:type="dxa"/>
            <w:tcBorders>
              <w:top w:val="single" w:sz="5" w:space="0" w:color="000000"/>
              <w:left w:val="single" w:sz="5" w:space="0" w:color="000000"/>
              <w:bottom w:val="single" w:sz="5" w:space="0" w:color="000000"/>
              <w:right w:val="single" w:sz="5" w:space="0" w:color="000000"/>
            </w:tcBorders>
          </w:tcPr>
          <w:p w14:paraId="0E7BEB24"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&lt; 0.0001</w:t>
            </w:r>
          </w:p>
        </w:tc>
      </w:tr>
      <w:tr w:rsidR="00A27683" w:rsidRPr="00D93D2E" w14:paraId="5D7DB35F"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5456AE7E"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Hazard ratio (97.5% CI)</w:t>
            </w:r>
          </w:p>
        </w:tc>
        <w:tc>
          <w:tcPr>
            <w:tcW w:w="4205" w:type="dxa"/>
            <w:gridSpan w:val="2"/>
            <w:tcBorders>
              <w:top w:val="single" w:sz="5" w:space="0" w:color="000000"/>
              <w:left w:val="single" w:sz="5" w:space="0" w:color="000000"/>
              <w:bottom w:val="single" w:sz="5" w:space="0" w:color="000000"/>
              <w:right w:val="single" w:sz="5" w:space="0" w:color="000000"/>
            </w:tcBorders>
          </w:tcPr>
          <w:p w14:paraId="1C710971"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0.63 (0.52-0.75)</w:t>
            </w:r>
          </w:p>
        </w:tc>
        <w:tc>
          <w:tcPr>
            <w:tcW w:w="1574" w:type="dxa"/>
            <w:tcBorders>
              <w:top w:val="single" w:sz="5" w:space="0" w:color="000000"/>
              <w:left w:val="single" w:sz="5" w:space="0" w:color="000000"/>
              <w:bottom w:val="single" w:sz="5" w:space="0" w:color="000000"/>
              <w:right w:val="single" w:sz="5" w:space="0" w:color="000000"/>
            </w:tcBorders>
          </w:tcPr>
          <w:p w14:paraId="3783FC95" w14:textId="77777777" w:rsidR="00047E69" w:rsidRPr="00D93D2E" w:rsidRDefault="00047E69" w:rsidP="00244E95">
            <w:pPr>
              <w:widowControl/>
              <w:jc w:val="center"/>
            </w:pPr>
          </w:p>
        </w:tc>
      </w:tr>
      <w:tr w:rsidR="00A27683" w:rsidRPr="00D93D2E" w14:paraId="3ABC3FD5"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2E8E51DC" w14:textId="75C9C0F7" w:rsidR="005C792A" w:rsidRPr="00D93D2E" w:rsidRDefault="00C210A5" w:rsidP="00244E95">
            <w:pPr>
              <w:pStyle w:val="TableParagraph"/>
              <w:widowControl/>
              <w:rPr>
                <w:rFonts w:ascii="Times New Roman"/>
              </w:rPr>
            </w:pPr>
            <w:r w:rsidRPr="00D93D2E">
              <w:rPr>
                <w:rFonts w:ascii="Times New Roman"/>
              </w:rPr>
              <w:t>Overall response rate</w:t>
            </w:r>
          </w:p>
          <w:p w14:paraId="3A573C26" w14:textId="5F85E425"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(invest. assessment)**</w:t>
            </w:r>
          </w:p>
        </w:tc>
        <w:tc>
          <w:tcPr>
            <w:tcW w:w="2088" w:type="dxa"/>
            <w:tcBorders>
              <w:top w:val="single" w:sz="5" w:space="0" w:color="000000"/>
              <w:left w:val="single" w:sz="5" w:space="0" w:color="000000"/>
              <w:bottom w:val="single" w:sz="5" w:space="0" w:color="000000"/>
              <w:right w:val="single" w:sz="5" w:space="0" w:color="000000"/>
            </w:tcBorders>
          </w:tcPr>
          <w:p w14:paraId="3FAB4237"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49.2 %</w:t>
            </w:r>
          </w:p>
        </w:tc>
        <w:tc>
          <w:tcPr>
            <w:tcW w:w="2117" w:type="dxa"/>
            <w:tcBorders>
              <w:top w:val="single" w:sz="5" w:space="0" w:color="000000"/>
              <w:left w:val="single" w:sz="5" w:space="0" w:color="000000"/>
              <w:bottom w:val="single" w:sz="5" w:space="0" w:color="000000"/>
              <w:right w:val="single" w:sz="5" w:space="0" w:color="000000"/>
            </w:tcBorders>
          </w:tcPr>
          <w:p w14:paraId="28180B9A"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46.5 %</w:t>
            </w:r>
          </w:p>
        </w:tc>
        <w:tc>
          <w:tcPr>
            <w:tcW w:w="1574" w:type="dxa"/>
            <w:tcBorders>
              <w:top w:val="single" w:sz="5" w:space="0" w:color="000000"/>
              <w:left w:val="single" w:sz="5" w:space="0" w:color="000000"/>
              <w:bottom w:val="single" w:sz="5" w:space="0" w:color="000000"/>
              <w:right w:val="single" w:sz="5" w:space="0" w:color="000000"/>
            </w:tcBorders>
          </w:tcPr>
          <w:p w14:paraId="3D81E1B2" w14:textId="77777777" w:rsidR="00047E69" w:rsidRPr="00D93D2E" w:rsidRDefault="00047E69" w:rsidP="00244E95">
            <w:pPr>
              <w:widowControl/>
              <w:jc w:val="center"/>
            </w:pPr>
          </w:p>
        </w:tc>
      </w:tr>
      <w:tr w:rsidR="00A27683" w:rsidRPr="00D93D2E" w14:paraId="46546104"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62E9A3DF"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Median overall survival*</w:t>
            </w:r>
          </w:p>
        </w:tc>
        <w:tc>
          <w:tcPr>
            <w:tcW w:w="2088" w:type="dxa"/>
            <w:tcBorders>
              <w:top w:val="single" w:sz="5" w:space="0" w:color="000000"/>
              <w:left w:val="single" w:sz="5" w:space="0" w:color="000000"/>
              <w:bottom w:val="single" w:sz="5" w:space="0" w:color="000000"/>
              <w:right w:val="single" w:sz="5" w:space="0" w:color="000000"/>
            </w:tcBorders>
          </w:tcPr>
          <w:p w14:paraId="38408584"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19.9</w:t>
            </w:r>
          </w:p>
        </w:tc>
        <w:tc>
          <w:tcPr>
            <w:tcW w:w="2117" w:type="dxa"/>
            <w:tcBorders>
              <w:top w:val="single" w:sz="5" w:space="0" w:color="000000"/>
              <w:left w:val="single" w:sz="5" w:space="0" w:color="000000"/>
              <w:bottom w:val="single" w:sz="5" w:space="0" w:color="000000"/>
              <w:right w:val="single" w:sz="5" w:space="0" w:color="000000"/>
            </w:tcBorders>
          </w:tcPr>
          <w:p w14:paraId="1E4EFB30"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21.2</w:t>
            </w:r>
          </w:p>
        </w:tc>
        <w:tc>
          <w:tcPr>
            <w:tcW w:w="1574" w:type="dxa"/>
            <w:tcBorders>
              <w:top w:val="single" w:sz="5" w:space="0" w:color="000000"/>
              <w:left w:val="single" w:sz="5" w:space="0" w:color="000000"/>
              <w:bottom w:val="single" w:sz="5" w:space="0" w:color="000000"/>
              <w:right w:val="single" w:sz="5" w:space="0" w:color="000000"/>
            </w:tcBorders>
          </w:tcPr>
          <w:p w14:paraId="570718EF"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0.0769</w:t>
            </w:r>
          </w:p>
        </w:tc>
      </w:tr>
      <w:tr w:rsidR="00A27683" w:rsidRPr="00D93D2E" w14:paraId="0758BF5F" w14:textId="77777777" w:rsidTr="004228B0">
        <w:tc>
          <w:tcPr>
            <w:tcW w:w="3283" w:type="dxa"/>
            <w:tcBorders>
              <w:top w:val="single" w:sz="5" w:space="0" w:color="000000"/>
              <w:left w:val="single" w:sz="5" w:space="0" w:color="000000"/>
              <w:bottom w:val="single" w:sz="5" w:space="0" w:color="000000"/>
              <w:right w:val="single" w:sz="5" w:space="0" w:color="000000"/>
            </w:tcBorders>
          </w:tcPr>
          <w:p w14:paraId="2E1AA847" w14:textId="77777777" w:rsidR="00047E69" w:rsidRPr="00D93D2E" w:rsidRDefault="00C210A5" w:rsidP="00244E95">
            <w:pPr>
              <w:pStyle w:val="TableParagraph"/>
              <w:widowControl/>
              <w:rPr>
                <w:rFonts w:ascii="Times New Roman" w:eastAsia="Times New Roman" w:hAnsi="Times New Roman" w:cs="Times New Roman"/>
              </w:rPr>
            </w:pPr>
            <w:r w:rsidRPr="00D93D2E">
              <w:rPr>
                <w:rFonts w:ascii="Times New Roman"/>
              </w:rPr>
              <w:t>Hazard ratio (97.5% CI)</w:t>
            </w:r>
          </w:p>
        </w:tc>
        <w:tc>
          <w:tcPr>
            <w:tcW w:w="4205" w:type="dxa"/>
            <w:gridSpan w:val="2"/>
            <w:tcBorders>
              <w:top w:val="single" w:sz="5" w:space="0" w:color="000000"/>
              <w:left w:val="single" w:sz="5" w:space="0" w:color="000000"/>
              <w:bottom w:val="single" w:sz="5" w:space="0" w:color="000000"/>
              <w:right w:val="single" w:sz="5" w:space="0" w:color="000000"/>
            </w:tcBorders>
          </w:tcPr>
          <w:p w14:paraId="4FB66CC1" w14:textId="77777777" w:rsidR="00047E69" w:rsidRPr="00D93D2E" w:rsidRDefault="00C210A5" w:rsidP="00244E95">
            <w:pPr>
              <w:pStyle w:val="TableParagraph"/>
              <w:widowControl/>
              <w:jc w:val="center"/>
              <w:rPr>
                <w:rFonts w:ascii="Times New Roman" w:eastAsia="Times New Roman" w:hAnsi="Times New Roman" w:cs="Times New Roman"/>
              </w:rPr>
            </w:pPr>
            <w:r w:rsidRPr="00D93D2E">
              <w:rPr>
                <w:rFonts w:ascii="Times New Roman"/>
              </w:rPr>
              <w:t>0.89 (0.76-1.03)</w:t>
            </w:r>
          </w:p>
        </w:tc>
        <w:tc>
          <w:tcPr>
            <w:tcW w:w="1574" w:type="dxa"/>
            <w:tcBorders>
              <w:top w:val="single" w:sz="5" w:space="0" w:color="000000"/>
              <w:left w:val="single" w:sz="5" w:space="0" w:color="000000"/>
              <w:bottom w:val="single" w:sz="5" w:space="0" w:color="000000"/>
              <w:right w:val="single" w:sz="5" w:space="0" w:color="000000"/>
            </w:tcBorders>
          </w:tcPr>
          <w:p w14:paraId="24771476" w14:textId="77777777" w:rsidR="00047E69" w:rsidRPr="00D93D2E" w:rsidRDefault="00047E69" w:rsidP="00244E95">
            <w:pPr>
              <w:widowControl/>
              <w:jc w:val="center"/>
            </w:pPr>
          </w:p>
        </w:tc>
      </w:tr>
    </w:tbl>
    <w:p w14:paraId="72B26471" w14:textId="1665C00A" w:rsidR="00047E69" w:rsidRPr="00D93D2E" w:rsidRDefault="00C210A5" w:rsidP="00244E95">
      <w:pPr>
        <w:widowControl/>
        <w:adjustRightInd w:val="0"/>
        <w:snapToGrid w:val="0"/>
        <w:rPr>
          <w:rFonts w:ascii="Times New Roman"/>
          <w:sz w:val="20"/>
        </w:rPr>
      </w:pPr>
      <w:r w:rsidRPr="00D93D2E">
        <w:rPr>
          <w:rFonts w:ascii="Times New Roman"/>
          <w:sz w:val="20"/>
        </w:rPr>
        <w:t>*</w:t>
      </w:r>
      <w:r w:rsidR="00410031" w:rsidRPr="00D93D2E">
        <w:rPr>
          <w:rFonts w:ascii="Times New Roman"/>
          <w:sz w:val="20"/>
        </w:rPr>
        <w:t>OS</w:t>
      </w:r>
      <w:r w:rsidRPr="00D93D2E">
        <w:rPr>
          <w:rFonts w:ascii="Times New Roman"/>
          <w:sz w:val="20"/>
        </w:rPr>
        <w:t xml:space="preserve"> analysis at clinical cut</w:t>
      </w:r>
      <w:r w:rsidR="00FD0731" w:rsidRPr="00D93D2E">
        <w:rPr>
          <w:rFonts w:ascii="Times New Roman"/>
          <w:sz w:val="20"/>
        </w:rPr>
        <w:noBreakHyphen/>
      </w:r>
      <w:r w:rsidRPr="00D93D2E">
        <w:rPr>
          <w:rFonts w:ascii="Times New Roman"/>
          <w:sz w:val="20"/>
        </w:rPr>
        <w:t>off 31 January 2007</w:t>
      </w:r>
    </w:p>
    <w:p w14:paraId="40C44773" w14:textId="588507DD" w:rsidR="00047E69" w:rsidRPr="00D93D2E" w:rsidRDefault="00C210A5" w:rsidP="00244E95">
      <w:pPr>
        <w:widowControl/>
        <w:adjustRightInd w:val="0"/>
        <w:snapToGrid w:val="0"/>
        <w:rPr>
          <w:rFonts w:ascii="Times New Roman" w:eastAsia="Times New Roman" w:hAnsi="Times New Roman" w:cs="Times New Roman"/>
          <w:sz w:val="20"/>
          <w:szCs w:val="20"/>
        </w:rPr>
      </w:pPr>
      <w:r w:rsidRPr="00D93D2E">
        <w:rPr>
          <w:rFonts w:ascii="Times New Roman"/>
          <w:sz w:val="20"/>
        </w:rPr>
        <w:t>** Primary analysis at clinical cut</w:t>
      </w:r>
      <w:r w:rsidR="00FD0731" w:rsidRPr="00D93D2E">
        <w:rPr>
          <w:rFonts w:ascii="Times New Roman"/>
          <w:sz w:val="20"/>
        </w:rPr>
        <w:noBreakHyphen/>
      </w:r>
      <w:r w:rsidRPr="00D93D2E">
        <w:rPr>
          <w:rFonts w:ascii="Times New Roman"/>
          <w:sz w:val="20"/>
        </w:rPr>
        <w:t>off 31 January 2006</w:t>
      </w:r>
    </w:p>
    <w:p w14:paraId="44F5DF1E" w14:textId="77777777" w:rsidR="00047E69" w:rsidRPr="00D93D2E" w:rsidRDefault="00C210A5" w:rsidP="00244E95">
      <w:pPr>
        <w:widowControl/>
        <w:adjustRightInd w:val="0"/>
        <w:snapToGrid w:val="0"/>
        <w:rPr>
          <w:rFonts w:ascii="Times New Roman" w:eastAsia="Times New Roman" w:hAnsi="Times New Roman" w:cs="Times New Roman"/>
          <w:sz w:val="20"/>
          <w:szCs w:val="20"/>
        </w:rPr>
      </w:pPr>
      <w:r w:rsidRPr="00D93D2E">
        <w:rPr>
          <w:rFonts w:ascii="Times New Roman"/>
          <w:position w:val="7"/>
          <w:sz w:val="13"/>
        </w:rPr>
        <w:t xml:space="preserve">a </w:t>
      </w:r>
      <w:r w:rsidRPr="00D93D2E">
        <w:rPr>
          <w:rFonts w:ascii="Times New Roman"/>
          <w:sz w:val="20"/>
        </w:rPr>
        <w:t>relative to control arm</w:t>
      </w:r>
    </w:p>
    <w:p w14:paraId="277D61A9" w14:textId="77777777" w:rsidR="00047E69" w:rsidRDefault="00047E69" w:rsidP="00244E95">
      <w:pPr>
        <w:widowControl/>
        <w:adjustRightInd w:val="0"/>
        <w:snapToGrid w:val="0"/>
        <w:rPr>
          <w:rFonts w:ascii="Times New Roman" w:eastAsia="Times New Roman" w:hAnsi="Times New Roman" w:cs="Times New Roman"/>
          <w:sz w:val="21"/>
          <w:szCs w:val="21"/>
        </w:rPr>
      </w:pPr>
    </w:p>
    <w:p w14:paraId="1018491E" w14:textId="3DC7AD93" w:rsidR="00047E69" w:rsidRPr="000B2B22" w:rsidRDefault="00C210A5" w:rsidP="00244E95">
      <w:pPr>
        <w:pStyle w:val="a5"/>
        <w:widowControl/>
        <w:adjustRightInd w:val="0"/>
        <w:snapToGrid w:val="0"/>
      </w:pPr>
      <w:r w:rsidRPr="000B2B22">
        <w:t xml:space="preserve">In the FOLFOX treatment subgroup, the median PFS was 8.6 months in placebo and 9.4 months in bevacizumab treated patients, HR = 0.89, 97.5% CI </w:t>
      </w:r>
      <w:r w:rsidRPr="000B2B22">
        <w:rPr>
          <w:rFonts w:ascii="Arial"/>
          <w:sz w:val="20"/>
        </w:rPr>
        <w:t>= [</w:t>
      </w:r>
      <w:r w:rsidRPr="000B2B22">
        <w:t>0.73</w:t>
      </w:r>
      <w:r w:rsidRPr="000B2B22">
        <w:rPr>
          <w:rFonts w:ascii="Arial"/>
          <w:sz w:val="20"/>
        </w:rPr>
        <w:t xml:space="preserve">; </w:t>
      </w:r>
      <w:r w:rsidRPr="000B2B22">
        <w:t>1.08</w:t>
      </w:r>
      <w:r w:rsidRPr="000B2B22">
        <w:rPr>
          <w:rFonts w:ascii="Arial"/>
          <w:sz w:val="20"/>
        </w:rPr>
        <w:t>]</w:t>
      </w:r>
      <w:r w:rsidRPr="000B2B22">
        <w:t>; p</w:t>
      </w:r>
      <w:r w:rsidR="00FD0731" w:rsidRPr="000B2B22">
        <w:noBreakHyphen/>
      </w:r>
      <w:r w:rsidRPr="000B2B22">
        <w:t xml:space="preserve">value </w:t>
      </w:r>
      <w:r w:rsidRPr="000B2B22">
        <w:rPr>
          <w:rFonts w:ascii="Arial"/>
          <w:sz w:val="20"/>
        </w:rPr>
        <w:t xml:space="preserve">= </w:t>
      </w:r>
      <w:r w:rsidRPr="000B2B22">
        <w:t xml:space="preserve">0.1871, the corresponding results in the XELOX treatment subgroup being 7.4 vs. 9.3 months, HR = 0.77, 97.5% CI = </w:t>
      </w:r>
      <w:r w:rsidRPr="000B2B22">
        <w:rPr>
          <w:rFonts w:ascii="Arial"/>
          <w:sz w:val="20"/>
        </w:rPr>
        <w:t>[</w:t>
      </w:r>
      <w:r w:rsidRPr="000B2B22">
        <w:t>0.63</w:t>
      </w:r>
      <w:r w:rsidRPr="000B2B22">
        <w:rPr>
          <w:rFonts w:ascii="Arial"/>
          <w:sz w:val="20"/>
        </w:rPr>
        <w:t xml:space="preserve">; </w:t>
      </w:r>
      <w:r w:rsidRPr="000B2B22">
        <w:t>0.94</w:t>
      </w:r>
      <w:r w:rsidRPr="000B2B22">
        <w:rPr>
          <w:rFonts w:ascii="Arial"/>
          <w:sz w:val="20"/>
        </w:rPr>
        <w:t>]</w:t>
      </w:r>
      <w:r w:rsidRPr="000B2B22">
        <w:t>; p</w:t>
      </w:r>
      <w:r w:rsidR="00FD0731" w:rsidRPr="000B2B22">
        <w:noBreakHyphen/>
      </w:r>
      <w:r w:rsidRPr="000B2B22">
        <w:t xml:space="preserve">value </w:t>
      </w:r>
      <w:r w:rsidRPr="000B2B22">
        <w:rPr>
          <w:rFonts w:ascii="Arial"/>
          <w:sz w:val="20"/>
        </w:rPr>
        <w:t xml:space="preserve">= </w:t>
      </w:r>
      <w:r w:rsidRPr="000B2B22">
        <w:t>0.0026.</w:t>
      </w:r>
    </w:p>
    <w:p w14:paraId="0EB9CAA2" w14:textId="77777777" w:rsidR="00047E69" w:rsidRPr="000B2B22" w:rsidRDefault="00047E69" w:rsidP="00244E95">
      <w:pPr>
        <w:widowControl/>
        <w:adjustRightInd w:val="0"/>
        <w:snapToGrid w:val="0"/>
        <w:rPr>
          <w:rFonts w:ascii="Times New Roman" w:eastAsia="Times New Roman" w:hAnsi="Times New Roman" w:cs="Times New Roman"/>
          <w:sz w:val="21"/>
          <w:szCs w:val="21"/>
        </w:rPr>
      </w:pPr>
    </w:p>
    <w:p w14:paraId="089F6E50" w14:textId="5A580CA6" w:rsidR="00047E69" w:rsidRPr="000B2B22" w:rsidRDefault="00C210A5" w:rsidP="00244E95">
      <w:pPr>
        <w:pStyle w:val="a5"/>
        <w:widowControl/>
        <w:adjustRightInd w:val="0"/>
        <w:snapToGrid w:val="0"/>
      </w:pPr>
      <w:r w:rsidRPr="000B2B22">
        <w:t xml:space="preserve">The median </w:t>
      </w:r>
      <w:r w:rsidR="00410031" w:rsidRPr="000B2B22">
        <w:t>OS</w:t>
      </w:r>
      <w:r w:rsidRPr="000B2B22">
        <w:t xml:space="preserve"> was 20.3 months in placebo and 21.2 months in bevacizumab treated patients in the FOLFOX treatment subgroup, HR=0.94, 97.5% CI </w:t>
      </w:r>
      <w:r w:rsidRPr="000B2B22">
        <w:rPr>
          <w:rFonts w:ascii="Arial"/>
          <w:sz w:val="20"/>
        </w:rPr>
        <w:t>= [</w:t>
      </w:r>
      <w:r w:rsidRPr="000B2B22">
        <w:t>0.75</w:t>
      </w:r>
      <w:r w:rsidRPr="000B2B22">
        <w:rPr>
          <w:rFonts w:ascii="Arial"/>
          <w:sz w:val="20"/>
        </w:rPr>
        <w:t xml:space="preserve">; </w:t>
      </w:r>
      <w:r w:rsidRPr="000B2B22">
        <w:t>1.16]; p</w:t>
      </w:r>
      <w:r w:rsidR="00FD0731" w:rsidRPr="000B2B22">
        <w:noBreakHyphen/>
      </w:r>
      <w:r w:rsidRPr="000B2B22">
        <w:t xml:space="preserve">value = 0.4937, the corresponding results in the XELOX, treatment subgroup being 19.2 vs. 21.4 months, HR = 0.84, 97.5% CI </w:t>
      </w:r>
      <w:r w:rsidRPr="000B2B22">
        <w:rPr>
          <w:rFonts w:ascii="Arial"/>
          <w:sz w:val="20"/>
        </w:rPr>
        <w:t>= [</w:t>
      </w:r>
      <w:r w:rsidRPr="000B2B22">
        <w:t>0.68</w:t>
      </w:r>
      <w:r w:rsidRPr="000B2B22">
        <w:rPr>
          <w:rFonts w:ascii="Arial"/>
          <w:sz w:val="20"/>
        </w:rPr>
        <w:t xml:space="preserve">; </w:t>
      </w:r>
      <w:r w:rsidRPr="000B2B22">
        <w:t>1.04</w:t>
      </w:r>
      <w:r w:rsidRPr="000B2B22">
        <w:rPr>
          <w:rFonts w:ascii="Arial"/>
          <w:sz w:val="20"/>
        </w:rPr>
        <w:t>]</w:t>
      </w:r>
      <w:r w:rsidRPr="000B2B22">
        <w:t>; p</w:t>
      </w:r>
      <w:r w:rsidR="00FD0731" w:rsidRPr="000B2B22">
        <w:noBreakHyphen/>
      </w:r>
      <w:r w:rsidRPr="000B2B22">
        <w:t xml:space="preserve">value </w:t>
      </w:r>
      <w:r w:rsidRPr="000B2B22">
        <w:rPr>
          <w:rFonts w:ascii="Arial"/>
          <w:sz w:val="20"/>
        </w:rPr>
        <w:t xml:space="preserve">= </w:t>
      </w:r>
      <w:r w:rsidRPr="000B2B22">
        <w:t>0.0698.</w:t>
      </w:r>
    </w:p>
    <w:p w14:paraId="6757B526" w14:textId="77777777" w:rsidR="00047E69" w:rsidRPr="000B2B22" w:rsidRDefault="00047E69" w:rsidP="00244E95">
      <w:pPr>
        <w:widowControl/>
        <w:adjustRightInd w:val="0"/>
        <w:snapToGrid w:val="0"/>
        <w:rPr>
          <w:rFonts w:ascii="Times New Roman" w:eastAsia="Times New Roman" w:hAnsi="Times New Roman" w:cs="Times New Roman"/>
          <w:sz w:val="21"/>
          <w:szCs w:val="21"/>
        </w:rPr>
      </w:pPr>
    </w:p>
    <w:p w14:paraId="2ACD5496" w14:textId="77777777" w:rsidR="00047E69" w:rsidRPr="000B2B22" w:rsidRDefault="00C210A5" w:rsidP="00244E95">
      <w:pPr>
        <w:widowControl/>
        <w:adjustRightInd w:val="0"/>
        <w:snapToGrid w:val="0"/>
        <w:rPr>
          <w:rFonts w:ascii="Times New Roman" w:eastAsia="Times New Roman" w:hAnsi="Times New Roman" w:cs="Times New Roman"/>
        </w:rPr>
      </w:pPr>
      <w:r w:rsidRPr="000B2B22">
        <w:rPr>
          <w:rFonts w:ascii="Times New Roman"/>
          <w:i/>
        </w:rPr>
        <w:t>ECOG E3200</w:t>
      </w:r>
    </w:p>
    <w:p w14:paraId="2232D9E8" w14:textId="7A0C254F" w:rsidR="00047E69" w:rsidRPr="000B2B22" w:rsidRDefault="00C210A5" w:rsidP="00244E95">
      <w:pPr>
        <w:pStyle w:val="a5"/>
        <w:widowControl/>
        <w:adjustRightInd w:val="0"/>
        <w:snapToGrid w:val="0"/>
      </w:pPr>
      <w:r w:rsidRPr="000B2B22">
        <w:t>This was a phase III randomised, active</w:t>
      </w:r>
      <w:r w:rsidR="00FD0731" w:rsidRPr="000B2B22">
        <w:noBreakHyphen/>
      </w:r>
      <w:r w:rsidRPr="000B2B22">
        <w:t>controlled, open</w:t>
      </w:r>
      <w:r w:rsidR="00FD0731" w:rsidRPr="000B2B22">
        <w:noBreakHyphen/>
      </w:r>
      <w:r w:rsidRPr="000B2B22">
        <w:t xml:space="preserve">label trial investigating bevacizumab </w:t>
      </w:r>
    </w:p>
    <w:p w14:paraId="13DE63D7" w14:textId="455418CE" w:rsidR="00047E69" w:rsidRPr="000B2B22" w:rsidRDefault="00C210A5" w:rsidP="00244E95">
      <w:pPr>
        <w:pStyle w:val="a5"/>
        <w:widowControl/>
        <w:adjustRightInd w:val="0"/>
        <w:snapToGrid w:val="0"/>
      </w:pPr>
      <w:r w:rsidRPr="000B2B22">
        <w:t>10 mg/kg in combination with leucovorin with 5</w:t>
      </w:r>
      <w:r w:rsidR="00FD0731" w:rsidRPr="000B2B22">
        <w:noBreakHyphen/>
      </w:r>
      <w:r w:rsidRPr="000B2B22">
        <w:t>fluorouracil bolus and then 5</w:t>
      </w:r>
      <w:r w:rsidR="00FD0731" w:rsidRPr="000B2B22">
        <w:noBreakHyphen/>
      </w:r>
      <w:r w:rsidRPr="000B2B22">
        <w:t xml:space="preserve">fluorouracil infusional, with </w:t>
      </w:r>
      <w:r w:rsidR="005603A9" w:rsidRPr="000B2B22">
        <w:t>intravenous</w:t>
      </w:r>
      <w:r w:rsidRPr="000B2B22">
        <w:t xml:space="preserve"> oxaliplatin (FOLFOX</w:t>
      </w:r>
      <w:r w:rsidR="00FD0731" w:rsidRPr="000B2B22">
        <w:noBreakHyphen/>
      </w:r>
      <w:r w:rsidRPr="000B2B22">
        <w:t>4), administered on a 2</w:t>
      </w:r>
      <w:r w:rsidR="00FD0731" w:rsidRPr="000B2B22">
        <w:noBreakHyphen/>
      </w:r>
      <w:r w:rsidRPr="000B2B22">
        <w:t>weekly schedule in previously</w:t>
      </w:r>
      <w:r w:rsidR="00FD0731" w:rsidRPr="000B2B22">
        <w:noBreakHyphen/>
      </w:r>
      <w:r w:rsidRPr="000B2B22">
        <w:t>treated patients (second line) with advanced colorectal cancer. In the chemotherapy arms, the FOLFOX</w:t>
      </w:r>
      <w:r w:rsidR="00FD0731" w:rsidRPr="000B2B22">
        <w:noBreakHyphen/>
      </w:r>
      <w:r w:rsidRPr="000B2B22">
        <w:t>4 regimen used the same doses and schedule as shown in Table 6 for trial NO16966.</w:t>
      </w:r>
    </w:p>
    <w:p w14:paraId="55A8D851" w14:textId="77777777" w:rsidR="00047E69" w:rsidRPr="000B2B22" w:rsidRDefault="00047E69" w:rsidP="00244E95">
      <w:pPr>
        <w:widowControl/>
        <w:adjustRightInd w:val="0"/>
        <w:snapToGrid w:val="0"/>
        <w:rPr>
          <w:rFonts w:ascii="Times New Roman" w:eastAsia="Times New Roman" w:hAnsi="Times New Roman" w:cs="Times New Roman"/>
        </w:rPr>
      </w:pPr>
    </w:p>
    <w:p w14:paraId="03EFB149" w14:textId="534FBF0D" w:rsidR="00373D33" w:rsidRPr="000B2B22" w:rsidRDefault="00C210A5" w:rsidP="00244E95">
      <w:pPr>
        <w:pStyle w:val="a5"/>
        <w:widowControl/>
        <w:adjustRightInd w:val="0"/>
        <w:snapToGrid w:val="0"/>
      </w:pPr>
      <w:r w:rsidRPr="000B2B22">
        <w:lastRenderedPageBreak/>
        <w:t xml:space="preserve">The primary efficacy parameter of the trial was </w:t>
      </w:r>
      <w:r w:rsidR="00410031" w:rsidRPr="000B2B22">
        <w:t>OS</w:t>
      </w:r>
      <w:r w:rsidRPr="000B2B22">
        <w:t>, defined as the time from randomisation to death from any cause. Eight hundred and twenty</w:t>
      </w:r>
      <w:r w:rsidR="00FD0731" w:rsidRPr="000B2B22">
        <w:noBreakHyphen/>
      </w:r>
      <w:r w:rsidRPr="000B2B22">
        <w:t>nine patients were randomised (292 FOLFOX</w:t>
      </w:r>
      <w:r w:rsidR="00FD0731" w:rsidRPr="000B2B22">
        <w:noBreakHyphen/>
      </w:r>
      <w:r w:rsidRPr="000B2B22">
        <w:t>4, 293 bevacizumab + FOLFOX</w:t>
      </w:r>
      <w:r w:rsidR="00FD0731" w:rsidRPr="000B2B22">
        <w:noBreakHyphen/>
      </w:r>
      <w:r w:rsidRPr="000B2B22">
        <w:t>4 and 244 bevacizumab monotherapy). The addition of bevacizumab to FOLFOX</w:t>
      </w:r>
      <w:r w:rsidR="00FD0731" w:rsidRPr="000B2B22">
        <w:noBreakHyphen/>
      </w:r>
      <w:r w:rsidRPr="000B2B22">
        <w:t xml:space="preserve">4 resulted in a statistically significant prolongation of survival. Statistically significant improvements in </w:t>
      </w:r>
      <w:r w:rsidR="00A135EE" w:rsidRPr="000B2B22">
        <w:t xml:space="preserve">PFS </w:t>
      </w:r>
      <w:r w:rsidRPr="000B2B22">
        <w:t>and objective response rate were also observed (see Table 8).</w:t>
      </w:r>
    </w:p>
    <w:p w14:paraId="6001026F" w14:textId="356128F8" w:rsidR="005C792A" w:rsidRPr="000B2B22" w:rsidRDefault="005C792A" w:rsidP="00244E95">
      <w:pPr>
        <w:widowControl/>
        <w:rPr>
          <w:rFonts w:ascii="Times New Roman" w:eastAsia="Times New Roman" w:hAnsi="Times New Roman"/>
          <w:b/>
          <w:bCs/>
        </w:rPr>
      </w:pPr>
    </w:p>
    <w:p w14:paraId="6C7624BB" w14:textId="7AC12DA5"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8</w:t>
      </w:r>
      <w:r w:rsidRPr="00536B4F">
        <w:rPr>
          <w:rFonts w:ascii="Times New Roman" w:hAnsi="Times New Roman" w:cs="Times New Roman"/>
          <w:b/>
          <w:bCs/>
        </w:rPr>
        <w:tab/>
        <w:t>Efficacy results for trial E3200</w:t>
      </w:r>
    </w:p>
    <w:p w14:paraId="66316AAC" w14:textId="77777777" w:rsidR="00AF607F" w:rsidRPr="000B2B22" w:rsidRDefault="00AF607F" w:rsidP="005E4476">
      <w:pPr>
        <w:rPr>
          <w:b/>
          <w:bCs/>
        </w:rPr>
      </w:pPr>
    </w:p>
    <w:tbl>
      <w:tblPr>
        <w:tblStyle w:val="TableNormal0"/>
        <w:tblW w:w="5000" w:type="pct"/>
        <w:tblCellMar>
          <w:left w:w="108" w:type="dxa"/>
          <w:right w:w="108" w:type="dxa"/>
        </w:tblCellMar>
        <w:tblLook w:val="01E0" w:firstRow="1" w:lastRow="1" w:firstColumn="1" w:lastColumn="1" w:noHBand="0" w:noVBand="0"/>
      </w:tblPr>
      <w:tblGrid>
        <w:gridCol w:w="3823"/>
        <w:gridCol w:w="2665"/>
        <w:gridCol w:w="2576"/>
      </w:tblGrid>
      <w:tr w:rsidR="00A27683" w:rsidRPr="000B2B22" w14:paraId="56BE2360" w14:textId="77777777" w:rsidTr="004228B0">
        <w:trPr>
          <w:trHeight w:val="20"/>
        </w:trPr>
        <w:tc>
          <w:tcPr>
            <w:tcW w:w="2109" w:type="pct"/>
            <w:vMerge w:val="restart"/>
            <w:tcBorders>
              <w:top w:val="single" w:sz="4" w:space="0" w:color="auto"/>
              <w:left w:val="single" w:sz="4" w:space="0" w:color="auto"/>
              <w:bottom w:val="single" w:sz="4" w:space="0" w:color="auto"/>
              <w:right w:val="single" w:sz="4" w:space="0" w:color="auto"/>
            </w:tcBorders>
          </w:tcPr>
          <w:p w14:paraId="0B6BFBCB" w14:textId="77777777" w:rsidR="00047E69" w:rsidRPr="000B2B22" w:rsidRDefault="00047E69" w:rsidP="00244E95">
            <w:pPr>
              <w:pStyle w:val="a5"/>
              <w:widowControl/>
              <w:rPr>
                <w:rFonts w:cs="Times New Roman"/>
              </w:rPr>
            </w:pPr>
          </w:p>
        </w:tc>
        <w:tc>
          <w:tcPr>
            <w:tcW w:w="2891" w:type="pct"/>
            <w:gridSpan w:val="2"/>
            <w:tcBorders>
              <w:top w:val="single" w:sz="4" w:space="0" w:color="auto"/>
              <w:left w:val="single" w:sz="4" w:space="0" w:color="auto"/>
              <w:bottom w:val="single" w:sz="4" w:space="0" w:color="auto"/>
              <w:right w:val="single" w:sz="4" w:space="0" w:color="auto"/>
            </w:tcBorders>
            <w:vAlign w:val="center"/>
          </w:tcPr>
          <w:p w14:paraId="48A756EA" w14:textId="77777777" w:rsidR="00047E69" w:rsidRPr="000B2B22" w:rsidRDefault="00C210A5" w:rsidP="00244E95">
            <w:pPr>
              <w:pStyle w:val="a5"/>
              <w:widowControl/>
              <w:jc w:val="center"/>
              <w:rPr>
                <w:rFonts w:cs="Times New Roman"/>
                <w:b/>
                <w:bCs/>
              </w:rPr>
            </w:pPr>
            <w:r w:rsidRPr="000B2B22">
              <w:rPr>
                <w:rFonts w:cs="Times New Roman"/>
                <w:b/>
                <w:bCs/>
              </w:rPr>
              <w:t>E3200</w:t>
            </w:r>
          </w:p>
        </w:tc>
      </w:tr>
      <w:tr w:rsidR="00A27683" w:rsidRPr="000B2B22" w14:paraId="6FC58CEB" w14:textId="77777777" w:rsidTr="004228B0">
        <w:trPr>
          <w:trHeight w:val="20"/>
        </w:trPr>
        <w:tc>
          <w:tcPr>
            <w:tcW w:w="2109" w:type="pct"/>
            <w:vMerge/>
            <w:tcBorders>
              <w:top w:val="single" w:sz="4" w:space="0" w:color="auto"/>
              <w:left w:val="single" w:sz="4" w:space="0" w:color="auto"/>
              <w:bottom w:val="single" w:sz="4" w:space="0" w:color="auto"/>
              <w:right w:val="single" w:sz="4" w:space="0" w:color="auto"/>
            </w:tcBorders>
          </w:tcPr>
          <w:p w14:paraId="576007F2" w14:textId="77777777" w:rsidR="00047E69" w:rsidRPr="000B2B22" w:rsidRDefault="00047E69" w:rsidP="00244E95">
            <w:pPr>
              <w:pStyle w:val="a5"/>
              <w:widowControl/>
              <w:rPr>
                <w:rFonts w:cs="Times New Roman"/>
              </w:rPr>
            </w:pPr>
          </w:p>
        </w:tc>
        <w:tc>
          <w:tcPr>
            <w:tcW w:w="1445" w:type="pct"/>
            <w:tcBorders>
              <w:top w:val="single" w:sz="4" w:space="0" w:color="auto"/>
              <w:left w:val="single" w:sz="4" w:space="0" w:color="auto"/>
              <w:bottom w:val="single" w:sz="4" w:space="0" w:color="auto"/>
              <w:right w:val="single" w:sz="4" w:space="0" w:color="auto"/>
            </w:tcBorders>
            <w:vAlign w:val="center"/>
          </w:tcPr>
          <w:p w14:paraId="1A1DA23D" w14:textId="7D853E03" w:rsidR="00047E69" w:rsidRPr="000B2B22" w:rsidRDefault="00C210A5" w:rsidP="00244E95">
            <w:pPr>
              <w:pStyle w:val="a5"/>
              <w:widowControl/>
              <w:jc w:val="center"/>
              <w:rPr>
                <w:rFonts w:cs="Times New Roman"/>
                <w:b/>
                <w:bCs/>
              </w:rPr>
            </w:pPr>
            <w:r w:rsidRPr="000B2B22">
              <w:rPr>
                <w:rFonts w:cs="Times New Roman"/>
                <w:b/>
                <w:bCs/>
              </w:rPr>
              <w:t>FOLFOX</w:t>
            </w:r>
            <w:r w:rsidR="00FD0731" w:rsidRPr="000B2B22">
              <w:rPr>
                <w:rFonts w:cs="Times New Roman"/>
                <w:b/>
                <w:bCs/>
              </w:rPr>
              <w:noBreakHyphen/>
            </w:r>
            <w:r w:rsidRPr="000B2B22">
              <w:rPr>
                <w:rFonts w:cs="Times New Roman"/>
                <w:b/>
                <w:bCs/>
              </w:rPr>
              <w:t>4</w:t>
            </w:r>
          </w:p>
        </w:tc>
        <w:tc>
          <w:tcPr>
            <w:tcW w:w="1446" w:type="pct"/>
            <w:tcBorders>
              <w:top w:val="single" w:sz="4" w:space="0" w:color="auto"/>
              <w:left w:val="single" w:sz="4" w:space="0" w:color="auto"/>
              <w:bottom w:val="single" w:sz="4" w:space="0" w:color="auto"/>
              <w:right w:val="single" w:sz="4" w:space="0" w:color="auto"/>
            </w:tcBorders>
            <w:vAlign w:val="center"/>
          </w:tcPr>
          <w:p w14:paraId="7DE5B108" w14:textId="7BA8E9B4" w:rsidR="00047E69" w:rsidRPr="000B2B22" w:rsidRDefault="00C210A5" w:rsidP="00244E95">
            <w:pPr>
              <w:pStyle w:val="a5"/>
              <w:widowControl/>
              <w:jc w:val="center"/>
              <w:rPr>
                <w:rFonts w:cs="Times New Roman"/>
                <w:b/>
                <w:bCs/>
              </w:rPr>
            </w:pPr>
            <w:r w:rsidRPr="000B2B22">
              <w:rPr>
                <w:rFonts w:cs="Times New Roman"/>
                <w:b/>
                <w:bCs/>
              </w:rPr>
              <w:t>FOLFOX</w:t>
            </w:r>
            <w:r w:rsidR="00FD0731" w:rsidRPr="000B2B22">
              <w:rPr>
                <w:rFonts w:cs="Times New Roman"/>
                <w:b/>
                <w:bCs/>
              </w:rPr>
              <w:noBreakHyphen/>
            </w:r>
            <w:r w:rsidRPr="000B2B22">
              <w:rPr>
                <w:rFonts w:cs="Times New Roman"/>
                <w:b/>
                <w:bCs/>
              </w:rPr>
              <w:t>4 + Bevacizumab</w:t>
            </w:r>
            <w:r w:rsidRPr="000B2B22">
              <w:rPr>
                <w:rFonts w:cs="Times New Roman"/>
                <w:b/>
                <w:bCs/>
                <w:vertAlign w:val="superscript"/>
              </w:rPr>
              <w:t>a</w:t>
            </w:r>
          </w:p>
        </w:tc>
      </w:tr>
      <w:tr w:rsidR="00A27683" w:rsidRPr="000B2B22" w14:paraId="6AEC0FF3"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08BC0DE2" w14:textId="77777777" w:rsidR="00047E69" w:rsidRPr="000B2B22" w:rsidRDefault="00C210A5" w:rsidP="00244E95">
            <w:pPr>
              <w:pStyle w:val="a5"/>
              <w:widowControl/>
              <w:rPr>
                <w:rFonts w:cs="Times New Roman"/>
              </w:rPr>
            </w:pPr>
            <w:r w:rsidRPr="000B2B22">
              <w:rPr>
                <w:rFonts w:cs="Times New Roman"/>
              </w:rPr>
              <w:t>Number of patients</w:t>
            </w:r>
          </w:p>
        </w:tc>
        <w:tc>
          <w:tcPr>
            <w:tcW w:w="1445" w:type="pct"/>
            <w:tcBorders>
              <w:top w:val="single" w:sz="4" w:space="0" w:color="auto"/>
              <w:left w:val="single" w:sz="4" w:space="0" w:color="auto"/>
              <w:bottom w:val="single" w:sz="4" w:space="0" w:color="auto"/>
              <w:right w:val="single" w:sz="4" w:space="0" w:color="auto"/>
            </w:tcBorders>
            <w:vAlign w:val="center"/>
          </w:tcPr>
          <w:p w14:paraId="316D49FB" w14:textId="77777777" w:rsidR="00047E69" w:rsidRPr="000B2B22" w:rsidRDefault="00C210A5" w:rsidP="00244E95">
            <w:pPr>
              <w:pStyle w:val="a5"/>
              <w:widowControl/>
              <w:jc w:val="center"/>
              <w:rPr>
                <w:rFonts w:cs="Times New Roman"/>
              </w:rPr>
            </w:pPr>
            <w:r w:rsidRPr="000B2B22">
              <w:rPr>
                <w:rFonts w:cs="Times New Roman"/>
              </w:rPr>
              <w:t>292</w:t>
            </w:r>
          </w:p>
        </w:tc>
        <w:tc>
          <w:tcPr>
            <w:tcW w:w="1446" w:type="pct"/>
            <w:tcBorders>
              <w:top w:val="single" w:sz="4" w:space="0" w:color="auto"/>
              <w:left w:val="single" w:sz="4" w:space="0" w:color="auto"/>
              <w:bottom w:val="single" w:sz="4" w:space="0" w:color="auto"/>
              <w:right w:val="single" w:sz="4" w:space="0" w:color="auto"/>
            </w:tcBorders>
            <w:vAlign w:val="center"/>
          </w:tcPr>
          <w:p w14:paraId="48BBE279" w14:textId="77777777" w:rsidR="00047E69" w:rsidRPr="000B2B22" w:rsidRDefault="00C210A5" w:rsidP="00244E95">
            <w:pPr>
              <w:pStyle w:val="a5"/>
              <w:widowControl/>
              <w:jc w:val="center"/>
              <w:rPr>
                <w:rFonts w:cs="Times New Roman"/>
              </w:rPr>
            </w:pPr>
            <w:r w:rsidRPr="000B2B22">
              <w:rPr>
                <w:rFonts w:cs="Times New Roman"/>
              </w:rPr>
              <w:t>293</w:t>
            </w:r>
          </w:p>
        </w:tc>
      </w:tr>
      <w:tr w:rsidR="00A27683" w:rsidRPr="000B2B22" w14:paraId="3B090293" w14:textId="77777777" w:rsidTr="004228B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D2CCEDD" w14:textId="77777777" w:rsidR="00047E69" w:rsidRPr="000B2B22" w:rsidRDefault="00C210A5" w:rsidP="00244E95">
            <w:pPr>
              <w:pStyle w:val="a5"/>
              <w:widowControl/>
              <w:rPr>
                <w:rFonts w:cs="Times New Roman"/>
              </w:rPr>
            </w:pPr>
            <w:r w:rsidRPr="000B2B22">
              <w:rPr>
                <w:rFonts w:cs="Times New Roman"/>
              </w:rPr>
              <w:t>Overall survival</w:t>
            </w:r>
          </w:p>
        </w:tc>
      </w:tr>
      <w:tr w:rsidR="00A27683" w:rsidRPr="000B2B22" w14:paraId="548CAD52"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63B498D8" w14:textId="77777777" w:rsidR="00047E69" w:rsidRPr="000B2B22" w:rsidRDefault="00C210A5" w:rsidP="00244E95">
            <w:pPr>
              <w:pStyle w:val="a5"/>
              <w:widowControl/>
              <w:ind w:leftChars="154" w:left="339"/>
              <w:rPr>
                <w:rFonts w:cs="Times New Roman"/>
              </w:rPr>
            </w:pPr>
            <w:r w:rsidRPr="000B2B22">
              <w:rPr>
                <w:rFonts w:cs="Times New Roman"/>
              </w:rPr>
              <w:t>Median (months)</w:t>
            </w:r>
          </w:p>
        </w:tc>
        <w:tc>
          <w:tcPr>
            <w:tcW w:w="1445" w:type="pct"/>
            <w:tcBorders>
              <w:top w:val="single" w:sz="4" w:space="0" w:color="auto"/>
              <w:left w:val="single" w:sz="4" w:space="0" w:color="auto"/>
              <w:bottom w:val="single" w:sz="4" w:space="0" w:color="auto"/>
              <w:right w:val="single" w:sz="4" w:space="0" w:color="auto"/>
            </w:tcBorders>
            <w:vAlign w:val="center"/>
          </w:tcPr>
          <w:p w14:paraId="22586F56" w14:textId="77777777" w:rsidR="00047E69" w:rsidRPr="000B2B22" w:rsidRDefault="00C210A5" w:rsidP="00244E95">
            <w:pPr>
              <w:pStyle w:val="a5"/>
              <w:widowControl/>
              <w:jc w:val="center"/>
              <w:rPr>
                <w:rFonts w:cs="Times New Roman"/>
              </w:rPr>
            </w:pPr>
            <w:r w:rsidRPr="000B2B22">
              <w:rPr>
                <w:rFonts w:cs="Times New Roman"/>
              </w:rPr>
              <w:t>10.8</w:t>
            </w:r>
          </w:p>
        </w:tc>
        <w:tc>
          <w:tcPr>
            <w:tcW w:w="1446" w:type="pct"/>
            <w:tcBorders>
              <w:top w:val="single" w:sz="4" w:space="0" w:color="auto"/>
              <w:left w:val="single" w:sz="4" w:space="0" w:color="auto"/>
              <w:bottom w:val="single" w:sz="4" w:space="0" w:color="auto"/>
              <w:right w:val="single" w:sz="4" w:space="0" w:color="auto"/>
            </w:tcBorders>
            <w:vAlign w:val="center"/>
          </w:tcPr>
          <w:p w14:paraId="35B3FA0E" w14:textId="77777777" w:rsidR="00047E69" w:rsidRPr="000B2B22" w:rsidRDefault="00C210A5" w:rsidP="00244E95">
            <w:pPr>
              <w:pStyle w:val="a5"/>
              <w:widowControl/>
              <w:jc w:val="center"/>
              <w:rPr>
                <w:rFonts w:cs="Times New Roman"/>
              </w:rPr>
            </w:pPr>
            <w:r w:rsidRPr="000B2B22">
              <w:rPr>
                <w:rFonts w:cs="Times New Roman"/>
              </w:rPr>
              <w:t>13.0</w:t>
            </w:r>
          </w:p>
        </w:tc>
      </w:tr>
      <w:tr w:rsidR="00A27683" w:rsidRPr="000B2B22" w14:paraId="6EB36DF4"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33E21282" w14:textId="77777777" w:rsidR="00047E69" w:rsidRPr="000B2B22" w:rsidRDefault="00C210A5" w:rsidP="00244E95">
            <w:pPr>
              <w:pStyle w:val="a5"/>
              <w:widowControl/>
              <w:ind w:leftChars="154" w:left="339"/>
              <w:rPr>
                <w:rFonts w:cs="Times New Roman"/>
              </w:rPr>
            </w:pPr>
            <w:r w:rsidRPr="000B2B22">
              <w:rPr>
                <w:rFonts w:cs="Times New Roman"/>
              </w:rPr>
              <w:t>95% CI</w:t>
            </w:r>
          </w:p>
        </w:tc>
        <w:tc>
          <w:tcPr>
            <w:tcW w:w="1445" w:type="pct"/>
            <w:tcBorders>
              <w:top w:val="single" w:sz="4" w:space="0" w:color="auto"/>
              <w:left w:val="single" w:sz="4" w:space="0" w:color="auto"/>
              <w:bottom w:val="single" w:sz="4" w:space="0" w:color="auto"/>
              <w:right w:val="single" w:sz="4" w:space="0" w:color="auto"/>
            </w:tcBorders>
            <w:vAlign w:val="center"/>
          </w:tcPr>
          <w:p w14:paraId="02ECD867" w14:textId="77777777" w:rsidR="00047E69" w:rsidRPr="000B2B22" w:rsidRDefault="00C210A5" w:rsidP="00244E95">
            <w:pPr>
              <w:pStyle w:val="a5"/>
              <w:widowControl/>
              <w:jc w:val="center"/>
              <w:rPr>
                <w:rFonts w:cs="Times New Roman"/>
              </w:rPr>
            </w:pPr>
            <w:r w:rsidRPr="000B2B22">
              <w:rPr>
                <w:rFonts w:cs="Times New Roman"/>
              </w:rPr>
              <w:t>10.12 – 11.86</w:t>
            </w:r>
          </w:p>
        </w:tc>
        <w:tc>
          <w:tcPr>
            <w:tcW w:w="1446" w:type="pct"/>
            <w:tcBorders>
              <w:top w:val="single" w:sz="4" w:space="0" w:color="auto"/>
              <w:left w:val="single" w:sz="4" w:space="0" w:color="auto"/>
              <w:bottom w:val="single" w:sz="4" w:space="0" w:color="auto"/>
              <w:right w:val="single" w:sz="4" w:space="0" w:color="auto"/>
            </w:tcBorders>
            <w:vAlign w:val="center"/>
          </w:tcPr>
          <w:p w14:paraId="53368C5B" w14:textId="77777777" w:rsidR="00047E69" w:rsidRPr="000B2B22" w:rsidRDefault="00C210A5" w:rsidP="00244E95">
            <w:pPr>
              <w:pStyle w:val="a5"/>
              <w:widowControl/>
              <w:jc w:val="center"/>
              <w:rPr>
                <w:rFonts w:cs="Times New Roman"/>
              </w:rPr>
            </w:pPr>
            <w:r w:rsidRPr="000B2B22">
              <w:rPr>
                <w:rFonts w:cs="Times New Roman"/>
              </w:rPr>
              <w:t>12.09 – 14.03</w:t>
            </w:r>
          </w:p>
        </w:tc>
      </w:tr>
      <w:tr w:rsidR="00A27683" w:rsidRPr="000B2B22" w14:paraId="60E4B50F"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748E13E3" w14:textId="77777777" w:rsidR="00047E69" w:rsidRPr="000B2B22" w:rsidRDefault="00C210A5" w:rsidP="00244E95">
            <w:pPr>
              <w:pStyle w:val="a5"/>
              <w:widowControl/>
              <w:ind w:leftChars="154" w:left="339"/>
              <w:rPr>
                <w:rFonts w:cs="Times New Roman"/>
              </w:rPr>
            </w:pPr>
            <w:r w:rsidRPr="000B2B22">
              <w:rPr>
                <w:rFonts w:cs="Times New Roman"/>
              </w:rPr>
              <w:t>Hazard ratio</w:t>
            </w:r>
            <w:r w:rsidRPr="000B2B22">
              <w:rPr>
                <w:rFonts w:cs="Times New Roman"/>
                <w:vertAlign w:val="superscript"/>
              </w:rPr>
              <w:t>b</w:t>
            </w:r>
          </w:p>
        </w:tc>
        <w:tc>
          <w:tcPr>
            <w:tcW w:w="2891" w:type="pct"/>
            <w:gridSpan w:val="2"/>
            <w:tcBorders>
              <w:top w:val="single" w:sz="4" w:space="0" w:color="auto"/>
              <w:left w:val="single" w:sz="4" w:space="0" w:color="auto"/>
              <w:bottom w:val="single" w:sz="4" w:space="0" w:color="auto"/>
              <w:right w:val="single" w:sz="4" w:space="0" w:color="auto"/>
            </w:tcBorders>
            <w:vAlign w:val="center"/>
          </w:tcPr>
          <w:p w14:paraId="099DDB30" w14:textId="77777777" w:rsidR="00047E69" w:rsidRPr="000B2B22" w:rsidRDefault="00C210A5" w:rsidP="00244E95">
            <w:pPr>
              <w:pStyle w:val="a5"/>
              <w:widowControl/>
              <w:jc w:val="center"/>
              <w:rPr>
                <w:rFonts w:cs="Times New Roman"/>
              </w:rPr>
            </w:pPr>
            <w:r w:rsidRPr="000B2B22">
              <w:rPr>
                <w:rFonts w:cs="Times New Roman"/>
              </w:rPr>
              <w:t>0.751</w:t>
            </w:r>
          </w:p>
          <w:p w14:paraId="07EE6D53" w14:textId="1A1A9EE5" w:rsidR="00047E69" w:rsidRPr="000B2B22" w:rsidRDefault="00C210A5" w:rsidP="00244E95">
            <w:pPr>
              <w:pStyle w:val="a5"/>
              <w:widowControl/>
              <w:jc w:val="center"/>
              <w:rPr>
                <w:rFonts w:cs="Times New Roman"/>
              </w:rPr>
            </w:pPr>
            <w:r w:rsidRPr="000B2B22">
              <w:rPr>
                <w:rFonts w:cs="Times New Roman"/>
              </w:rPr>
              <w:t>(p</w:t>
            </w:r>
            <w:r w:rsidR="00FD0731" w:rsidRPr="000B2B22">
              <w:rPr>
                <w:rFonts w:cs="Times New Roman"/>
              </w:rPr>
              <w:noBreakHyphen/>
            </w:r>
            <w:r w:rsidRPr="000B2B22">
              <w:rPr>
                <w:rFonts w:cs="Times New Roman"/>
              </w:rPr>
              <w:t>value = 0.0012)</w:t>
            </w:r>
          </w:p>
        </w:tc>
      </w:tr>
      <w:tr w:rsidR="00A27683" w:rsidRPr="000B2B22" w14:paraId="2806BD54" w14:textId="77777777" w:rsidTr="004228B0">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102EB39" w14:textId="0A4E7E74" w:rsidR="00047E69" w:rsidRPr="000B2B22" w:rsidRDefault="00C210A5" w:rsidP="00244E95">
            <w:pPr>
              <w:pStyle w:val="a5"/>
              <w:widowControl/>
              <w:rPr>
                <w:rFonts w:cs="Times New Roman"/>
              </w:rPr>
            </w:pPr>
            <w:r w:rsidRPr="000B2B22">
              <w:rPr>
                <w:rFonts w:cs="Times New Roman"/>
              </w:rPr>
              <w:t>Progression</w:t>
            </w:r>
            <w:r w:rsidR="00FD0731" w:rsidRPr="000B2B22">
              <w:rPr>
                <w:rFonts w:cs="Times New Roman"/>
              </w:rPr>
              <w:noBreakHyphen/>
            </w:r>
            <w:r w:rsidRPr="000B2B22">
              <w:rPr>
                <w:rFonts w:cs="Times New Roman"/>
              </w:rPr>
              <w:t>free survival</w:t>
            </w:r>
          </w:p>
        </w:tc>
      </w:tr>
      <w:tr w:rsidR="00A27683" w:rsidRPr="000B2B22" w14:paraId="37E1745E"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259A0E44" w14:textId="77777777" w:rsidR="00047E69" w:rsidRPr="000B2B22" w:rsidRDefault="00C210A5" w:rsidP="00244E95">
            <w:pPr>
              <w:pStyle w:val="a5"/>
              <w:widowControl/>
              <w:ind w:leftChars="154" w:left="339"/>
              <w:rPr>
                <w:rFonts w:cs="Times New Roman"/>
              </w:rPr>
            </w:pPr>
            <w:r w:rsidRPr="000B2B22">
              <w:rPr>
                <w:rFonts w:cs="Times New Roman"/>
              </w:rPr>
              <w:t>Median (months)</w:t>
            </w:r>
          </w:p>
        </w:tc>
        <w:tc>
          <w:tcPr>
            <w:tcW w:w="1445" w:type="pct"/>
            <w:tcBorders>
              <w:top w:val="single" w:sz="4" w:space="0" w:color="auto"/>
              <w:left w:val="single" w:sz="4" w:space="0" w:color="auto"/>
              <w:bottom w:val="single" w:sz="4" w:space="0" w:color="auto"/>
              <w:right w:val="single" w:sz="4" w:space="0" w:color="auto"/>
            </w:tcBorders>
            <w:vAlign w:val="center"/>
          </w:tcPr>
          <w:p w14:paraId="22221CDF" w14:textId="77777777" w:rsidR="00047E69" w:rsidRPr="000B2B22" w:rsidRDefault="00C210A5" w:rsidP="00244E95">
            <w:pPr>
              <w:pStyle w:val="a5"/>
              <w:widowControl/>
              <w:jc w:val="center"/>
              <w:rPr>
                <w:rFonts w:cs="Times New Roman"/>
              </w:rPr>
            </w:pPr>
            <w:r w:rsidRPr="000B2B22">
              <w:rPr>
                <w:rFonts w:cs="Times New Roman"/>
              </w:rPr>
              <w:t>4.5</w:t>
            </w:r>
          </w:p>
        </w:tc>
        <w:tc>
          <w:tcPr>
            <w:tcW w:w="1445" w:type="pct"/>
            <w:tcBorders>
              <w:top w:val="single" w:sz="4" w:space="0" w:color="auto"/>
              <w:left w:val="single" w:sz="4" w:space="0" w:color="auto"/>
              <w:bottom w:val="single" w:sz="4" w:space="0" w:color="auto"/>
              <w:right w:val="single" w:sz="4" w:space="0" w:color="auto"/>
            </w:tcBorders>
            <w:vAlign w:val="center"/>
          </w:tcPr>
          <w:p w14:paraId="11BA6C82" w14:textId="77777777" w:rsidR="00047E69" w:rsidRPr="000B2B22" w:rsidRDefault="00C210A5" w:rsidP="00244E95">
            <w:pPr>
              <w:pStyle w:val="a5"/>
              <w:widowControl/>
              <w:jc w:val="center"/>
              <w:rPr>
                <w:rFonts w:cs="Times New Roman"/>
              </w:rPr>
            </w:pPr>
            <w:r w:rsidRPr="000B2B22">
              <w:rPr>
                <w:rFonts w:cs="Times New Roman"/>
              </w:rPr>
              <w:t>7.5</w:t>
            </w:r>
          </w:p>
        </w:tc>
      </w:tr>
      <w:tr w:rsidR="00A27683" w:rsidRPr="000B2B22" w14:paraId="58D75E40"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5F3A1C61" w14:textId="77777777" w:rsidR="00047E69" w:rsidRPr="000B2B22" w:rsidRDefault="00C210A5" w:rsidP="00244E95">
            <w:pPr>
              <w:pStyle w:val="a5"/>
              <w:widowControl/>
              <w:ind w:leftChars="154" w:left="339"/>
              <w:rPr>
                <w:rFonts w:cs="Times New Roman"/>
              </w:rPr>
            </w:pPr>
            <w:r w:rsidRPr="000B2B22">
              <w:rPr>
                <w:rFonts w:cs="Times New Roman"/>
              </w:rPr>
              <w:t>Hazard ratio</w:t>
            </w:r>
          </w:p>
        </w:tc>
        <w:tc>
          <w:tcPr>
            <w:tcW w:w="2891" w:type="pct"/>
            <w:gridSpan w:val="2"/>
            <w:tcBorders>
              <w:top w:val="single" w:sz="4" w:space="0" w:color="auto"/>
              <w:left w:val="single" w:sz="4" w:space="0" w:color="auto"/>
              <w:bottom w:val="single" w:sz="4" w:space="0" w:color="auto"/>
              <w:right w:val="single" w:sz="4" w:space="0" w:color="auto"/>
            </w:tcBorders>
            <w:vAlign w:val="center"/>
          </w:tcPr>
          <w:p w14:paraId="535F9419" w14:textId="77777777" w:rsidR="00047E69" w:rsidRPr="000B2B22" w:rsidRDefault="00C210A5" w:rsidP="00244E95">
            <w:pPr>
              <w:pStyle w:val="a5"/>
              <w:widowControl/>
              <w:jc w:val="center"/>
              <w:rPr>
                <w:rFonts w:cs="Times New Roman"/>
              </w:rPr>
            </w:pPr>
            <w:r w:rsidRPr="000B2B22">
              <w:rPr>
                <w:rFonts w:cs="Times New Roman"/>
              </w:rPr>
              <w:t>0.518</w:t>
            </w:r>
          </w:p>
          <w:p w14:paraId="14C15B47" w14:textId="0055D1A8" w:rsidR="00047E69" w:rsidRPr="000B2B22" w:rsidRDefault="00C210A5" w:rsidP="00244E95">
            <w:pPr>
              <w:pStyle w:val="a5"/>
              <w:widowControl/>
              <w:jc w:val="center"/>
              <w:rPr>
                <w:rFonts w:cs="Times New Roman"/>
              </w:rPr>
            </w:pPr>
            <w:r w:rsidRPr="000B2B22">
              <w:rPr>
                <w:rFonts w:cs="Times New Roman"/>
              </w:rPr>
              <w:t>(p</w:t>
            </w:r>
            <w:r w:rsidR="00FD0731" w:rsidRPr="000B2B22">
              <w:rPr>
                <w:rFonts w:cs="Times New Roman"/>
              </w:rPr>
              <w:noBreakHyphen/>
            </w:r>
            <w:r w:rsidRPr="000B2B22">
              <w:rPr>
                <w:rFonts w:cs="Times New Roman"/>
              </w:rPr>
              <w:t>value &lt; 0.0001)</w:t>
            </w:r>
          </w:p>
        </w:tc>
      </w:tr>
      <w:tr w:rsidR="00A27683" w:rsidRPr="000B2B22" w14:paraId="2C8187C0" w14:textId="77777777" w:rsidTr="004228B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5947A493" w14:textId="77777777" w:rsidR="00047E69" w:rsidRPr="000B2B22" w:rsidRDefault="00C210A5" w:rsidP="00244E95">
            <w:pPr>
              <w:pStyle w:val="a5"/>
              <w:widowControl/>
              <w:rPr>
                <w:rFonts w:cs="Times New Roman"/>
              </w:rPr>
            </w:pPr>
            <w:r w:rsidRPr="000B2B22">
              <w:rPr>
                <w:rFonts w:cs="Times New Roman"/>
              </w:rPr>
              <w:t>Objective response rate</w:t>
            </w:r>
          </w:p>
        </w:tc>
      </w:tr>
      <w:tr w:rsidR="00A27683" w:rsidRPr="000B2B22" w14:paraId="0820D2EC"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00419D42" w14:textId="77777777" w:rsidR="00047E69" w:rsidRPr="000B2B22" w:rsidRDefault="00C210A5" w:rsidP="00244E95">
            <w:pPr>
              <w:pStyle w:val="a5"/>
              <w:widowControl/>
              <w:ind w:leftChars="154" w:left="339"/>
              <w:rPr>
                <w:rFonts w:cs="Times New Roman"/>
              </w:rPr>
            </w:pPr>
            <w:r w:rsidRPr="000B2B22">
              <w:rPr>
                <w:rFonts w:cs="Times New Roman"/>
              </w:rPr>
              <w:t>Rate</w:t>
            </w:r>
          </w:p>
        </w:tc>
        <w:tc>
          <w:tcPr>
            <w:tcW w:w="1470" w:type="pct"/>
            <w:tcBorders>
              <w:top w:val="single" w:sz="4" w:space="0" w:color="auto"/>
              <w:left w:val="single" w:sz="4" w:space="0" w:color="auto"/>
              <w:bottom w:val="single" w:sz="4" w:space="0" w:color="auto"/>
              <w:right w:val="single" w:sz="4" w:space="0" w:color="auto"/>
            </w:tcBorders>
            <w:vAlign w:val="center"/>
          </w:tcPr>
          <w:p w14:paraId="703A8B8B" w14:textId="77777777" w:rsidR="00047E69" w:rsidRPr="000B2B22" w:rsidRDefault="00C210A5" w:rsidP="00244E95">
            <w:pPr>
              <w:pStyle w:val="a5"/>
              <w:widowControl/>
              <w:jc w:val="center"/>
              <w:rPr>
                <w:rFonts w:cs="Times New Roman"/>
              </w:rPr>
            </w:pPr>
            <w:r w:rsidRPr="000B2B22">
              <w:rPr>
                <w:rFonts w:cs="Times New Roman"/>
              </w:rPr>
              <w:t>8.6%</w:t>
            </w:r>
          </w:p>
        </w:tc>
        <w:tc>
          <w:tcPr>
            <w:tcW w:w="1421" w:type="pct"/>
            <w:tcBorders>
              <w:top w:val="single" w:sz="4" w:space="0" w:color="auto"/>
              <w:left w:val="single" w:sz="4" w:space="0" w:color="auto"/>
              <w:bottom w:val="single" w:sz="4" w:space="0" w:color="auto"/>
              <w:right w:val="single" w:sz="4" w:space="0" w:color="auto"/>
            </w:tcBorders>
            <w:vAlign w:val="center"/>
          </w:tcPr>
          <w:p w14:paraId="110857E6" w14:textId="77777777" w:rsidR="00047E69" w:rsidRPr="000B2B22" w:rsidRDefault="00C210A5" w:rsidP="00244E95">
            <w:pPr>
              <w:pStyle w:val="a5"/>
              <w:widowControl/>
              <w:jc w:val="center"/>
              <w:rPr>
                <w:rFonts w:cs="Times New Roman"/>
              </w:rPr>
            </w:pPr>
            <w:r w:rsidRPr="000B2B22">
              <w:rPr>
                <w:rFonts w:cs="Times New Roman"/>
              </w:rPr>
              <w:t>22.2%</w:t>
            </w:r>
          </w:p>
        </w:tc>
      </w:tr>
      <w:tr w:rsidR="00A27683" w:rsidRPr="000B2B22" w14:paraId="69653CB4" w14:textId="77777777" w:rsidTr="004228B0">
        <w:trPr>
          <w:trHeight w:val="20"/>
        </w:trPr>
        <w:tc>
          <w:tcPr>
            <w:tcW w:w="2109" w:type="pct"/>
            <w:tcBorders>
              <w:top w:val="single" w:sz="4" w:space="0" w:color="auto"/>
              <w:left w:val="single" w:sz="4" w:space="0" w:color="auto"/>
              <w:bottom w:val="single" w:sz="4" w:space="0" w:color="auto"/>
              <w:right w:val="single" w:sz="4" w:space="0" w:color="auto"/>
            </w:tcBorders>
          </w:tcPr>
          <w:p w14:paraId="6E485C55" w14:textId="77777777" w:rsidR="00047E69" w:rsidRPr="000B2B22" w:rsidRDefault="00047E69" w:rsidP="00244E95">
            <w:pPr>
              <w:pStyle w:val="a5"/>
              <w:widowControl/>
              <w:rPr>
                <w:rFonts w:cs="Times New Roman"/>
              </w:rPr>
            </w:pPr>
          </w:p>
        </w:tc>
        <w:tc>
          <w:tcPr>
            <w:tcW w:w="2891" w:type="pct"/>
            <w:gridSpan w:val="2"/>
            <w:tcBorders>
              <w:top w:val="single" w:sz="4" w:space="0" w:color="auto"/>
              <w:left w:val="single" w:sz="4" w:space="0" w:color="auto"/>
              <w:bottom w:val="single" w:sz="4" w:space="0" w:color="auto"/>
              <w:right w:val="single" w:sz="4" w:space="0" w:color="auto"/>
            </w:tcBorders>
            <w:vAlign w:val="center"/>
          </w:tcPr>
          <w:p w14:paraId="690B1659" w14:textId="7758BF44" w:rsidR="00047E69" w:rsidRPr="000B2B22" w:rsidRDefault="00C210A5" w:rsidP="00244E95">
            <w:pPr>
              <w:pStyle w:val="a5"/>
              <w:widowControl/>
              <w:jc w:val="center"/>
              <w:rPr>
                <w:rFonts w:cs="Times New Roman"/>
              </w:rPr>
            </w:pPr>
            <w:r w:rsidRPr="000B2B22">
              <w:rPr>
                <w:rFonts w:cs="Times New Roman"/>
              </w:rPr>
              <w:t>(p</w:t>
            </w:r>
            <w:r w:rsidR="00FD0731" w:rsidRPr="000B2B22">
              <w:rPr>
                <w:rFonts w:cs="Times New Roman"/>
              </w:rPr>
              <w:noBreakHyphen/>
            </w:r>
            <w:r w:rsidRPr="000B2B22">
              <w:rPr>
                <w:rFonts w:cs="Times New Roman"/>
              </w:rPr>
              <w:t>value &lt; 0.0001)</w:t>
            </w:r>
          </w:p>
        </w:tc>
      </w:tr>
    </w:tbl>
    <w:p w14:paraId="6BD6C691" w14:textId="77777777" w:rsidR="00047E69" w:rsidRPr="000B2B22" w:rsidRDefault="00C210A5" w:rsidP="00244E95">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a </w:t>
      </w:r>
      <w:r w:rsidRPr="000B2B22">
        <w:rPr>
          <w:rFonts w:ascii="Times New Roman"/>
          <w:sz w:val="20"/>
        </w:rPr>
        <w:t>10 mg/kg every 2 weeks</w:t>
      </w:r>
    </w:p>
    <w:p w14:paraId="298C8836" w14:textId="77777777" w:rsidR="00047E69" w:rsidRPr="000B2B22" w:rsidRDefault="00C210A5" w:rsidP="00244E95">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b </w:t>
      </w:r>
      <w:r w:rsidRPr="000B2B22">
        <w:rPr>
          <w:rFonts w:ascii="Times New Roman"/>
          <w:sz w:val="20"/>
        </w:rPr>
        <w:t>Relative to control arm</w:t>
      </w:r>
    </w:p>
    <w:p w14:paraId="0F5249E0" w14:textId="77777777" w:rsidR="00047E69" w:rsidRPr="000B2B22" w:rsidRDefault="00047E69" w:rsidP="00244E95">
      <w:pPr>
        <w:widowControl/>
        <w:adjustRightInd w:val="0"/>
        <w:snapToGrid w:val="0"/>
        <w:rPr>
          <w:rFonts w:ascii="Times New Roman" w:eastAsia="Times New Roman" w:hAnsi="Times New Roman" w:cs="Times New Roman"/>
          <w:sz w:val="18"/>
          <w:szCs w:val="18"/>
        </w:rPr>
      </w:pPr>
    </w:p>
    <w:p w14:paraId="62E8CA13" w14:textId="2D74FF45" w:rsidR="00047E69" w:rsidRPr="000B2B22" w:rsidRDefault="00C210A5" w:rsidP="00244E95">
      <w:pPr>
        <w:pStyle w:val="a5"/>
        <w:widowControl/>
        <w:adjustRightInd w:val="0"/>
        <w:snapToGrid w:val="0"/>
      </w:pPr>
      <w:r w:rsidRPr="000B2B22">
        <w:t xml:space="preserve">No significant difference was observed in the duration of </w:t>
      </w:r>
      <w:r w:rsidR="00410031" w:rsidRPr="000B2B22">
        <w:t>OS</w:t>
      </w:r>
      <w:r w:rsidRPr="000B2B22">
        <w:t xml:space="preserve"> between patients who received bevacizumab monotherapy compared to patients treated with FOLFOX</w:t>
      </w:r>
      <w:r w:rsidR="00FD0731" w:rsidRPr="000B2B22">
        <w:noBreakHyphen/>
      </w:r>
      <w:r w:rsidRPr="000B2B22">
        <w:t xml:space="preserve">4. </w:t>
      </w:r>
      <w:r w:rsidR="00A135EE" w:rsidRPr="000B2B22">
        <w:t>PFS</w:t>
      </w:r>
      <w:r w:rsidRPr="000B2B22">
        <w:t xml:space="preserve"> and objective response rate were inferior in the bevacizumab monotherapy arm compared to the FOLFOX</w:t>
      </w:r>
      <w:r w:rsidR="00FD0731" w:rsidRPr="000B2B22">
        <w:noBreakHyphen/>
      </w:r>
      <w:r w:rsidRPr="000B2B22">
        <w:t>4 arm.</w:t>
      </w:r>
    </w:p>
    <w:p w14:paraId="179D217B" w14:textId="77777777" w:rsidR="00047E69" w:rsidRPr="000B2B22" w:rsidRDefault="00047E69" w:rsidP="00F1460D">
      <w:pPr>
        <w:widowControl/>
        <w:adjustRightInd w:val="0"/>
        <w:snapToGrid w:val="0"/>
        <w:rPr>
          <w:rFonts w:ascii="Times New Roman" w:eastAsia="Times New Roman" w:hAnsi="Times New Roman" w:cs="Times New Roman"/>
        </w:rPr>
      </w:pPr>
    </w:p>
    <w:p w14:paraId="021A38B7"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ML18147</w:t>
      </w:r>
    </w:p>
    <w:p w14:paraId="42FE6D77" w14:textId="245C7FB2" w:rsidR="00047E69" w:rsidRPr="000B2B22" w:rsidRDefault="00C210A5" w:rsidP="00F1460D">
      <w:pPr>
        <w:pStyle w:val="a5"/>
        <w:widowControl/>
        <w:adjustRightInd w:val="0"/>
        <w:snapToGrid w:val="0"/>
        <w:ind w:hanging="1"/>
      </w:pPr>
      <w:r w:rsidRPr="000B2B22">
        <w:t>This was a Phase III randomised, controlled, open</w:t>
      </w:r>
      <w:r w:rsidR="00FD0731" w:rsidRPr="000B2B22">
        <w:noBreakHyphen/>
      </w:r>
      <w:r w:rsidRPr="000B2B22">
        <w:t>label trial investigating bevacizumab 5.0 mg/kg every 2 weeks or 7.5 mg/kg every 3 weeks in combination with fluoropyrimidine</w:t>
      </w:r>
      <w:r w:rsidR="00FD0731" w:rsidRPr="000B2B22">
        <w:noBreakHyphen/>
      </w:r>
      <w:r w:rsidRPr="000B2B22">
        <w:t>based chemotherapy versus fluoropyrimidine</w:t>
      </w:r>
      <w:r w:rsidR="00FD0731" w:rsidRPr="000B2B22">
        <w:noBreakHyphen/>
      </w:r>
      <w:r w:rsidRPr="000B2B22">
        <w:t>based chemotherapy alone in patients with mCRC who have progressed on a first</w:t>
      </w:r>
      <w:r w:rsidR="00FD0731" w:rsidRPr="000B2B22">
        <w:noBreakHyphen/>
      </w:r>
      <w:r w:rsidRPr="000B2B22">
        <w:t>line bevacizumab</w:t>
      </w:r>
      <w:r w:rsidR="00FD0731" w:rsidRPr="000B2B22">
        <w:noBreakHyphen/>
      </w:r>
      <w:r w:rsidRPr="000B2B22">
        <w:t>containing regimen.</w:t>
      </w:r>
    </w:p>
    <w:p w14:paraId="35BA55C9"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4879CB8C" w14:textId="7FC03550" w:rsidR="00047E69" w:rsidRPr="000B2B22" w:rsidRDefault="00C210A5" w:rsidP="00F1460D">
      <w:pPr>
        <w:pStyle w:val="a5"/>
        <w:widowControl/>
        <w:adjustRightInd w:val="0"/>
        <w:snapToGrid w:val="0"/>
      </w:pPr>
      <w:r w:rsidRPr="000B2B22">
        <w:t>Patients with histologically confirmed mCRC and disease progression were randomised 1:1 within 3 months after discontinuation of bevacizumab first</w:t>
      </w:r>
      <w:r w:rsidR="00FD0731" w:rsidRPr="000B2B22">
        <w:noBreakHyphen/>
      </w:r>
      <w:r w:rsidRPr="000B2B22">
        <w:t>line therapy to receive fluoropyrimidine/oxaliplatin- or fluoropyrimidine/irinotecan</w:t>
      </w:r>
      <w:r w:rsidR="00FD0731" w:rsidRPr="000B2B22">
        <w:noBreakHyphen/>
      </w:r>
      <w:r w:rsidRPr="000B2B22">
        <w:t>based chemotherapy (chemotherapy switched depending on first</w:t>
      </w:r>
      <w:r w:rsidR="00FD0731" w:rsidRPr="000B2B22">
        <w:noBreakHyphen/>
      </w:r>
      <w:r w:rsidRPr="000B2B22">
        <w:t xml:space="preserve">line chemotherapy) with or without bevacizumab. Treatment was given until progressive disease or unacceptable toxicity. The primary outcome measure was </w:t>
      </w:r>
      <w:r w:rsidR="00410031" w:rsidRPr="000B2B22">
        <w:t>OS</w:t>
      </w:r>
      <w:r w:rsidRPr="000B2B22">
        <w:t xml:space="preserve"> defined as the time from randomisation until death from any cause.</w:t>
      </w:r>
    </w:p>
    <w:p w14:paraId="0382974D"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7D9D9C6E" w14:textId="77777777" w:rsidR="007F6201" w:rsidRPr="000B2B22" w:rsidRDefault="00C210A5" w:rsidP="00F1460D">
      <w:pPr>
        <w:pStyle w:val="a5"/>
        <w:widowControl/>
        <w:adjustRightInd w:val="0"/>
        <w:snapToGrid w:val="0"/>
      </w:pPr>
      <w:r w:rsidRPr="000B2B22">
        <w:t>A total of 820 patients were randomised. The addition of bevacizumab to fluoropyrimidine</w:t>
      </w:r>
      <w:r w:rsidR="00FD0731" w:rsidRPr="000B2B22">
        <w:noBreakHyphen/>
      </w:r>
      <w:r w:rsidRPr="000B2B22">
        <w:t>based chemotherapy resulted in a statistically significant prolongation of survival in patients with mCRC who have progressed on a first</w:t>
      </w:r>
      <w:r w:rsidR="00FD0731" w:rsidRPr="000B2B22">
        <w:noBreakHyphen/>
      </w:r>
      <w:r w:rsidRPr="000B2B22">
        <w:t>line bevacizumab</w:t>
      </w:r>
      <w:r w:rsidR="00FD0731" w:rsidRPr="000B2B22">
        <w:noBreakHyphen/>
      </w:r>
      <w:r w:rsidRPr="000B2B22">
        <w:t>containing regimen (ITT = 819) (see Table 9).</w:t>
      </w:r>
    </w:p>
    <w:p w14:paraId="326CAC66" w14:textId="22873175" w:rsidR="005C792A" w:rsidRPr="000B2B22" w:rsidRDefault="005C792A" w:rsidP="00F1460D">
      <w:pPr>
        <w:pStyle w:val="a5"/>
        <w:widowControl/>
        <w:adjustRightInd w:val="0"/>
        <w:snapToGrid w:val="0"/>
        <w:rPr>
          <w:b/>
          <w:bCs/>
        </w:rPr>
      </w:pPr>
    </w:p>
    <w:p w14:paraId="020C5A89" w14:textId="560B53B9" w:rsidR="00AF607F"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9</w:t>
      </w:r>
      <w:r w:rsidRPr="00536B4F">
        <w:rPr>
          <w:rFonts w:ascii="Times New Roman" w:hAnsi="Times New Roman" w:cs="Times New Roman"/>
          <w:b/>
          <w:bCs/>
        </w:rPr>
        <w:tab/>
        <w:t xml:space="preserve">Efficacy </w:t>
      </w:r>
      <w:r w:rsidR="00AF607F" w:rsidRPr="00536B4F">
        <w:rPr>
          <w:rFonts w:ascii="Times New Roman" w:hAnsi="Times New Roman" w:cs="Times New Roman"/>
          <w:b/>
          <w:bCs/>
        </w:rPr>
        <w:t>r</w:t>
      </w:r>
      <w:r w:rsidRPr="00536B4F">
        <w:rPr>
          <w:rFonts w:ascii="Times New Roman" w:hAnsi="Times New Roman" w:cs="Times New Roman"/>
          <w:b/>
          <w:bCs/>
        </w:rPr>
        <w:t xml:space="preserve">esults for </w:t>
      </w:r>
      <w:r w:rsidR="00AF607F" w:rsidRPr="00536B4F">
        <w:rPr>
          <w:rFonts w:ascii="Times New Roman" w:hAnsi="Times New Roman" w:cs="Times New Roman"/>
          <w:b/>
          <w:bCs/>
        </w:rPr>
        <w:t>s</w:t>
      </w:r>
      <w:r w:rsidRPr="00536B4F">
        <w:rPr>
          <w:rFonts w:ascii="Times New Roman" w:hAnsi="Times New Roman" w:cs="Times New Roman"/>
          <w:b/>
          <w:bCs/>
        </w:rPr>
        <w:t>tudy ML18147 (ITT population)</w:t>
      </w:r>
    </w:p>
    <w:p w14:paraId="5D644A8B" w14:textId="77777777" w:rsidR="00047E69" w:rsidRPr="00536B4F" w:rsidRDefault="00047E69" w:rsidP="00536B4F">
      <w:pPr>
        <w:ind w:left="1134" w:hanging="1134"/>
        <w:rPr>
          <w:rFonts w:ascii="Times New Roman" w:hAnsi="Times New Roman" w:cs="Times New Roman"/>
          <w:b/>
          <w:bCs/>
        </w:rPr>
      </w:pPr>
    </w:p>
    <w:tbl>
      <w:tblPr>
        <w:tblStyle w:val="TableNormal0"/>
        <w:tblW w:w="5000" w:type="pct"/>
        <w:tblCellMar>
          <w:left w:w="108" w:type="dxa"/>
          <w:right w:w="108" w:type="dxa"/>
        </w:tblCellMar>
        <w:tblLook w:val="01E0" w:firstRow="1" w:lastRow="1" w:firstColumn="1" w:lastColumn="1" w:noHBand="0" w:noVBand="0"/>
      </w:tblPr>
      <w:tblGrid>
        <w:gridCol w:w="2631"/>
        <w:gridCol w:w="3192"/>
        <w:gridCol w:w="3239"/>
      </w:tblGrid>
      <w:tr w:rsidR="00A27683" w:rsidRPr="000B2B22" w14:paraId="6771A62A" w14:textId="77777777" w:rsidTr="00A87658">
        <w:trPr>
          <w:tblHeader/>
        </w:trPr>
        <w:tc>
          <w:tcPr>
            <w:tcW w:w="1452" w:type="pct"/>
            <w:tcBorders>
              <w:top w:val="single" w:sz="5" w:space="0" w:color="000000"/>
              <w:left w:val="single" w:sz="5" w:space="0" w:color="000000"/>
              <w:bottom w:val="single" w:sz="4" w:space="0" w:color="auto"/>
              <w:right w:val="single" w:sz="5" w:space="0" w:color="000000"/>
            </w:tcBorders>
          </w:tcPr>
          <w:p w14:paraId="6B8CB13A" w14:textId="77777777" w:rsidR="00DF569D" w:rsidRPr="000B2B22" w:rsidRDefault="00DF569D" w:rsidP="00F1460D">
            <w:pPr>
              <w:widowControl/>
              <w:rPr>
                <w:rFonts w:ascii="Times New Roman" w:hAnsi="Times New Roman" w:cs="Times New Roman"/>
              </w:rPr>
            </w:pPr>
          </w:p>
        </w:tc>
        <w:tc>
          <w:tcPr>
            <w:tcW w:w="3548" w:type="pct"/>
            <w:gridSpan w:val="2"/>
            <w:tcBorders>
              <w:top w:val="single" w:sz="5" w:space="0" w:color="000000"/>
              <w:left w:val="single" w:sz="5" w:space="0" w:color="000000"/>
              <w:bottom w:val="single" w:sz="5" w:space="0" w:color="000000"/>
              <w:right w:val="single" w:sz="5" w:space="0" w:color="000000"/>
            </w:tcBorders>
          </w:tcPr>
          <w:p w14:paraId="06AAF47A" w14:textId="77777777" w:rsidR="00DF569D"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hAnsi="Times New Roman" w:cs="Times New Roman"/>
                <w:b/>
                <w:bCs/>
              </w:rPr>
              <w:t>ML18147</w:t>
            </w:r>
          </w:p>
        </w:tc>
      </w:tr>
      <w:tr w:rsidR="005A5348" w:rsidRPr="000B2B22" w14:paraId="0582EBEA" w14:textId="77777777" w:rsidTr="00A87658">
        <w:trPr>
          <w:tblHeader/>
        </w:trPr>
        <w:tc>
          <w:tcPr>
            <w:tcW w:w="1452" w:type="pct"/>
            <w:tcBorders>
              <w:top w:val="single" w:sz="4" w:space="0" w:color="auto"/>
              <w:left w:val="single" w:sz="4" w:space="0" w:color="auto"/>
              <w:bottom w:val="single" w:sz="4" w:space="0" w:color="auto"/>
              <w:right w:val="single" w:sz="4" w:space="0" w:color="auto"/>
            </w:tcBorders>
          </w:tcPr>
          <w:p w14:paraId="0E007BCB" w14:textId="77777777" w:rsidR="00047E69" w:rsidRPr="000B2B22" w:rsidRDefault="00047E69" w:rsidP="00F1460D">
            <w:pPr>
              <w:widowControl/>
              <w:rPr>
                <w:rFonts w:ascii="Times New Roman" w:hAnsi="Times New Roman" w:cs="Times New Roman"/>
              </w:rPr>
            </w:pPr>
          </w:p>
        </w:tc>
        <w:tc>
          <w:tcPr>
            <w:tcW w:w="1761" w:type="pct"/>
            <w:tcBorders>
              <w:top w:val="single" w:sz="5" w:space="0" w:color="000000"/>
              <w:left w:val="single" w:sz="4" w:space="0" w:color="auto"/>
              <w:bottom w:val="single" w:sz="5" w:space="0" w:color="000000"/>
              <w:right w:val="single" w:sz="5" w:space="0" w:color="000000"/>
            </w:tcBorders>
          </w:tcPr>
          <w:p w14:paraId="4399C8C1" w14:textId="2F3D5F5B"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hAnsi="Times New Roman" w:cs="Times New Roman"/>
              </w:rPr>
              <w:t>F</w:t>
            </w:r>
            <w:r w:rsidR="002700BA" w:rsidRPr="000B2B22">
              <w:rPr>
                <w:rFonts w:ascii="Times New Roman" w:hAnsi="Times New Roman" w:cs="Times New Roman"/>
              </w:rPr>
              <w:t>luoropyrimidine/</w:t>
            </w:r>
            <w:r w:rsidRPr="000B2B22">
              <w:rPr>
                <w:rFonts w:ascii="Times New Roman" w:hAnsi="Times New Roman" w:cs="Times New Roman"/>
              </w:rPr>
              <w:t xml:space="preserve">Irinotecan </w:t>
            </w:r>
            <w:r w:rsidR="002700BA" w:rsidRPr="000B2B22">
              <w:rPr>
                <w:rFonts w:ascii="Times New Roman" w:hAnsi="Times New Roman" w:cs="Times New Roman"/>
              </w:rPr>
              <w:t xml:space="preserve">or </w:t>
            </w:r>
            <w:r w:rsidRPr="000B2B22">
              <w:rPr>
                <w:rFonts w:ascii="Times New Roman" w:hAnsi="Times New Roman" w:cs="Times New Roman"/>
              </w:rPr>
              <w:t>F</w:t>
            </w:r>
            <w:r w:rsidR="002700BA" w:rsidRPr="000B2B22">
              <w:rPr>
                <w:rFonts w:ascii="Times New Roman" w:hAnsi="Times New Roman" w:cs="Times New Roman"/>
              </w:rPr>
              <w:t>luoropyrimidine/</w:t>
            </w:r>
            <w:r w:rsidRPr="000B2B22">
              <w:rPr>
                <w:rFonts w:ascii="Times New Roman" w:hAnsi="Times New Roman" w:cs="Times New Roman"/>
              </w:rPr>
              <w:t xml:space="preserve">Oxaliplatin </w:t>
            </w:r>
            <w:r w:rsidR="002700BA" w:rsidRPr="000B2B22">
              <w:rPr>
                <w:rFonts w:ascii="Times New Roman" w:hAnsi="Times New Roman" w:cs="Times New Roman"/>
              </w:rPr>
              <w:t>based chemotherapy</w:t>
            </w:r>
          </w:p>
        </w:tc>
        <w:tc>
          <w:tcPr>
            <w:tcW w:w="1787" w:type="pct"/>
            <w:tcBorders>
              <w:top w:val="single" w:sz="5" w:space="0" w:color="000000"/>
              <w:left w:val="single" w:sz="5" w:space="0" w:color="000000"/>
              <w:bottom w:val="single" w:sz="5" w:space="0" w:color="000000"/>
              <w:right w:val="single" w:sz="5" w:space="0" w:color="000000"/>
            </w:tcBorders>
          </w:tcPr>
          <w:p w14:paraId="7DB75BD1" w14:textId="491A91E9"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hAnsi="Times New Roman" w:cs="Times New Roman"/>
              </w:rPr>
              <w:t>F</w:t>
            </w:r>
            <w:r w:rsidR="002700BA" w:rsidRPr="000B2B22">
              <w:rPr>
                <w:rFonts w:ascii="Times New Roman" w:hAnsi="Times New Roman" w:cs="Times New Roman"/>
              </w:rPr>
              <w:t>luoropyrimidine/</w:t>
            </w:r>
            <w:r w:rsidRPr="000B2B22">
              <w:rPr>
                <w:rFonts w:ascii="Times New Roman" w:hAnsi="Times New Roman" w:cs="Times New Roman"/>
              </w:rPr>
              <w:t>I</w:t>
            </w:r>
            <w:r w:rsidR="002700BA" w:rsidRPr="000B2B22">
              <w:rPr>
                <w:rFonts w:ascii="Times New Roman" w:hAnsi="Times New Roman" w:cs="Times New Roman"/>
              </w:rPr>
              <w:t xml:space="preserve">rinotecan or </w:t>
            </w:r>
            <w:r w:rsidRPr="000B2B22">
              <w:rPr>
                <w:rFonts w:ascii="Times New Roman" w:hAnsi="Times New Roman" w:cs="Times New Roman"/>
              </w:rPr>
              <w:t>F</w:t>
            </w:r>
            <w:r w:rsidR="002700BA" w:rsidRPr="000B2B22">
              <w:rPr>
                <w:rFonts w:ascii="Times New Roman" w:hAnsi="Times New Roman" w:cs="Times New Roman"/>
              </w:rPr>
              <w:t>luoropyrimidine/</w:t>
            </w:r>
            <w:r w:rsidRPr="000B2B22">
              <w:rPr>
                <w:rFonts w:ascii="Times New Roman" w:hAnsi="Times New Roman" w:cs="Times New Roman"/>
              </w:rPr>
              <w:t>O</w:t>
            </w:r>
            <w:r w:rsidR="002700BA" w:rsidRPr="000B2B22">
              <w:rPr>
                <w:rFonts w:ascii="Times New Roman" w:hAnsi="Times New Roman" w:cs="Times New Roman"/>
              </w:rPr>
              <w:t>xaliplatin based chemotherapy</w:t>
            </w:r>
          </w:p>
          <w:p w14:paraId="7E4A5A9B"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hAnsi="Times New Roman" w:cs="Times New Roman"/>
              </w:rPr>
              <w:t>+ Bevacizumab</w:t>
            </w:r>
            <w:r w:rsidRPr="000B2B22">
              <w:rPr>
                <w:rFonts w:ascii="Times New Roman" w:hAnsi="Times New Roman" w:cs="Times New Roman"/>
                <w:position w:val="9"/>
              </w:rPr>
              <w:t>a</w:t>
            </w:r>
          </w:p>
        </w:tc>
      </w:tr>
      <w:tr w:rsidR="005A5348" w:rsidRPr="000B2B22" w14:paraId="13C159ED" w14:textId="77777777" w:rsidTr="004228B0">
        <w:tc>
          <w:tcPr>
            <w:tcW w:w="1452" w:type="pct"/>
            <w:tcBorders>
              <w:top w:val="single" w:sz="4" w:space="0" w:color="auto"/>
              <w:left w:val="single" w:sz="4" w:space="0" w:color="auto"/>
              <w:bottom w:val="single" w:sz="4" w:space="0" w:color="auto"/>
              <w:right w:val="single" w:sz="4" w:space="0" w:color="auto"/>
            </w:tcBorders>
          </w:tcPr>
          <w:p w14:paraId="0AA13060" w14:textId="1B5C856B" w:rsidR="00DF569D" w:rsidRPr="000B2B22" w:rsidRDefault="00C210A5" w:rsidP="00F1460D">
            <w:pPr>
              <w:pStyle w:val="TableParagraph"/>
              <w:widowControl/>
              <w:rPr>
                <w:rFonts w:ascii="Times New Roman" w:eastAsia="Times New Roman" w:hAnsi="Times New Roman" w:cs="Times New Roman"/>
              </w:rPr>
            </w:pPr>
            <w:r w:rsidRPr="000B2B22">
              <w:rPr>
                <w:rFonts w:ascii="Times New Roman" w:hAnsi="Times New Roman" w:cs="Times New Roman"/>
              </w:rPr>
              <w:t>Number of patients</w:t>
            </w:r>
          </w:p>
        </w:tc>
        <w:tc>
          <w:tcPr>
            <w:tcW w:w="1761" w:type="pct"/>
            <w:tcBorders>
              <w:top w:val="single" w:sz="5" w:space="0" w:color="000000"/>
              <w:left w:val="single" w:sz="4" w:space="0" w:color="auto"/>
              <w:bottom w:val="single" w:sz="5" w:space="0" w:color="000000"/>
              <w:right w:val="single" w:sz="5" w:space="0" w:color="000000"/>
            </w:tcBorders>
          </w:tcPr>
          <w:p w14:paraId="225F1A6E" w14:textId="59E21729" w:rsidR="00DF569D" w:rsidRPr="000B2B22" w:rsidRDefault="00C210A5" w:rsidP="00F1460D">
            <w:pPr>
              <w:widowControl/>
              <w:jc w:val="center"/>
              <w:rPr>
                <w:rFonts w:ascii="Times New Roman" w:hAnsi="Times New Roman" w:cs="Times New Roman"/>
              </w:rPr>
            </w:pPr>
            <w:r w:rsidRPr="000B2B22">
              <w:rPr>
                <w:rFonts w:ascii="Times New Roman" w:hAnsi="Times New Roman" w:cs="Times New Roman"/>
              </w:rPr>
              <w:t>410</w:t>
            </w:r>
          </w:p>
        </w:tc>
        <w:tc>
          <w:tcPr>
            <w:tcW w:w="1787" w:type="pct"/>
            <w:tcBorders>
              <w:top w:val="single" w:sz="5" w:space="0" w:color="000000"/>
              <w:left w:val="single" w:sz="5" w:space="0" w:color="000000"/>
              <w:bottom w:val="single" w:sz="5" w:space="0" w:color="000000"/>
              <w:right w:val="single" w:sz="5" w:space="0" w:color="000000"/>
            </w:tcBorders>
          </w:tcPr>
          <w:p w14:paraId="4995D2B6" w14:textId="77777777" w:rsidR="00DF569D"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hAnsi="Times New Roman" w:cs="Times New Roman"/>
              </w:rPr>
              <w:t>409</w:t>
            </w:r>
          </w:p>
        </w:tc>
      </w:tr>
      <w:tr w:rsidR="005A5348" w:rsidRPr="000B2B22" w14:paraId="398C39A0" w14:textId="77777777" w:rsidTr="004228B0">
        <w:tc>
          <w:tcPr>
            <w:tcW w:w="1452" w:type="pct"/>
            <w:tcBorders>
              <w:top w:val="single" w:sz="4" w:space="0" w:color="auto"/>
              <w:left w:val="single" w:sz="4" w:space="0" w:color="auto"/>
              <w:bottom w:val="single" w:sz="4" w:space="0" w:color="auto"/>
              <w:right w:val="single" w:sz="4" w:space="0" w:color="auto"/>
            </w:tcBorders>
          </w:tcPr>
          <w:p w14:paraId="7BA38959" w14:textId="47771151"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hAnsi="Times New Roman" w:cs="Times New Roman"/>
                <w:b/>
                <w:u w:val="thick" w:color="000000"/>
              </w:rPr>
              <w:lastRenderedPageBreak/>
              <w:t xml:space="preserve">Overall </w:t>
            </w:r>
            <w:r w:rsidR="001323E7" w:rsidRPr="000B2B22">
              <w:rPr>
                <w:rFonts w:ascii="Times New Roman" w:hAnsi="Times New Roman" w:cs="Times New Roman"/>
                <w:b/>
                <w:u w:val="thick" w:color="000000"/>
              </w:rPr>
              <w:t>s</w:t>
            </w:r>
            <w:r w:rsidRPr="000B2B22">
              <w:rPr>
                <w:rFonts w:ascii="Times New Roman" w:hAnsi="Times New Roman" w:cs="Times New Roman"/>
                <w:b/>
                <w:u w:val="thick" w:color="000000"/>
              </w:rPr>
              <w:t>urvival</w:t>
            </w:r>
          </w:p>
        </w:tc>
        <w:tc>
          <w:tcPr>
            <w:tcW w:w="1761" w:type="pct"/>
            <w:tcBorders>
              <w:top w:val="single" w:sz="5" w:space="0" w:color="000000"/>
              <w:left w:val="single" w:sz="4" w:space="0" w:color="auto"/>
              <w:bottom w:val="single" w:sz="5" w:space="0" w:color="000000"/>
              <w:right w:val="nil"/>
            </w:tcBorders>
          </w:tcPr>
          <w:p w14:paraId="4BD91AA3" w14:textId="77777777" w:rsidR="00047E69" w:rsidRPr="000B2B22" w:rsidRDefault="00047E69" w:rsidP="00F1460D">
            <w:pPr>
              <w:widowControl/>
              <w:jc w:val="center"/>
              <w:rPr>
                <w:rFonts w:ascii="Times New Roman" w:hAnsi="Times New Roman" w:cs="Times New Roman"/>
              </w:rPr>
            </w:pPr>
          </w:p>
        </w:tc>
        <w:tc>
          <w:tcPr>
            <w:tcW w:w="1787" w:type="pct"/>
            <w:tcBorders>
              <w:top w:val="single" w:sz="5" w:space="0" w:color="000000"/>
              <w:left w:val="nil"/>
              <w:bottom w:val="single" w:sz="5" w:space="0" w:color="000000"/>
              <w:right w:val="single" w:sz="5" w:space="0" w:color="000000"/>
            </w:tcBorders>
          </w:tcPr>
          <w:p w14:paraId="62DFAA11" w14:textId="77777777" w:rsidR="00047E69" w:rsidRPr="000B2B22" w:rsidRDefault="00047E69" w:rsidP="00F1460D">
            <w:pPr>
              <w:widowControl/>
              <w:jc w:val="center"/>
              <w:rPr>
                <w:rFonts w:ascii="Times New Roman" w:hAnsi="Times New Roman" w:cs="Times New Roman"/>
              </w:rPr>
            </w:pPr>
          </w:p>
        </w:tc>
      </w:tr>
      <w:tr w:rsidR="005A5348" w:rsidRPr="000B2B22" w14:paraId="602F4E88" w14:textId="77777777" w:rsidTr="004228B0">
        <w:tc>
          <w:tcPr>
            <w:tcW w:w="1452" w:type="pct"/>
            <w:tcBorders>
              <w:top w:val="single" w:sz="4" w:space="0" w:color="auto"/>
              <w:left w:val="single" w:sz="4" w:space="0" w:color="auto"/>
              <w:bottom w:val="single" w:sz="4" w:space="0" w:color="auto"/>
              <w:right w:val="single" w:sz="4" w:space="0" w:color="auto"/>
            </w:tcBorders>
          </w:tcPr>
          <w:p w14:paraId="538B74BC" w14:textId="77777777" w:rsidR="00DF569D" w:rsidRPr="000B2B22" w:rsidRDefault="00C210A5" w:rsidP="00F1460D">
            <w:pPr>
              <w:pStyle w:val="TableParagraph"/>
              <w:widowControl/>
              <w:rPr>
                <w:rFonts w:ascii="Times New Roman" w:eastAsia="Times New Roman" w:hAnsi="Times New Roman" w:cs="Times New Roman"/>
              </w:rPr>
            </w:pPr>
            <w:r w:rsidRPr="000B2B22">
              <w:rPr>
                <w:rFonts w:ascii="Times New Roman" w:hAnsi="Times New Roman" w:cs="Times New Roman"/>
              </w:rPr>
              <w:t>Median (months)</w:t>
            </w:r>
          </w:p>
        </w:tc>
        <w:tc>
          <w:tcPr>
            <w:tcW w:w="1761" w:type="pct"/>
            <w:tcBorders>
              <w:top w:val="single" w:sz="5" w:space="0" w:color="000000"/>
              <w:left w:val="single" w:sz="4" w:space="0" w:color="auto"/>
              <w:bottom w:val="single" w:sz="5" w:space="0" w:color="000000"/>
              <w:right w:val="single" w:sz="5" w:space="0" w:color="000000"/>
            </w:tcBorders>
          </w:tcPr>
          <w:p w14:paraId="2786C355" w14:textId="75729467" w:rsidR="00DF569D" w:rsidRPr="000B2B22" w:rsidRDefault="00C210A5" w:rsidP="00F1460D">
            <w:pPr>
              <w:widowControl/>
              <w:jc w:val="center"/>
              <w:rPr>
                <w:rFonts w:ascii="Times New Roman" w:hAnsi="Times New Roman" w:cs="Times New Roman"/>
              </w:rPr>
            </w:pPr>
            <w:r w:rsidRPr="000B2B22">
              <w:rPr>
                <w:rFonts w:ascii="Times New Roman" w:hAnsi="Times New Roman" w:cs="Times New Roman"/>
              </w:rPr>
              <w:t>9.8</w:t>
            </w:r>
          </w:p>
        </w:tc>
        <w:tc>
          <w:tcPr>
            <w:tcW w:w="1787" w:type="pct"/>
            <w:tcBorders>
              <w:top w:val="single" w:sz="5" w:space="0" w:color="000000"/>
              <w:left w:val="single" w:sz="5" w:space="0" w:color="000000"/>
              <w:bottom w:val="single" w:sz="5" w:space="0" w:color="000000"/>
              <w:right w:val="single" w:sz="5" w:space="0" w:color="000000"/>
            </w:tcBorders>
          </w:tcPr>
          <w:p w14:paraId="21269503" w14:textId="77777777" w:rsidR="00DF569D"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hAnsi="Times New Roman" w:cs="Times New Roman"/>
              </w:rPr>
              <w:t>11.2</w:t>
            </w:r>
          </w:p>
        </w:tc>
      </w:tr>
      <w:tr w:rsidR="00A27683" w:rsidRPr="000B2B22" w14:paraId="6464008A" w14:textId="77777777" w:rsidTr="004228B0">
        <w:tc>
          <w:tcPr>
            <w:tcW w:w="1452" w:type="pct"/>
            <w:tcBorders>
              <w:top w:val="single" w:sz="4" w:space="0" w:color="auto"/>
              <w:left w:val="single" w:sz="4" w:space="0" w:color="auto"/>
              <w:bottom w:val="single" w:sz="4" w:space="0" w:color="auto"/>
              <w:right w:val="single" w:sz="4" w:space="0" w:color="auto"/>
            </w:tcBorders>
          </w:tcPr>
          <w:p w14:paraId="652F1D5A" w14:textId="77777777" w:rsidR="00DF569D" w:rsidRPr="000B2B22" w:rsidRDefault="00C210A5" w:rsidP="00F1460D">
            <w:pPr>
              <w:pStyle w:val="TableParagraph"/>
              <w:tabs>
                <w:tab w:val="left" w:pos="1026"/>
                <w:tab w:val="left" w:pos="1712"/>
                <w:tab w:val="left" w:pos="2475"/>
              </w:tabs>
              <w:rPr>
                <w:rFonts w:ascii="Times New Roman" w:hAnsi="Times New Roman" w:cs="Times New Roman"/>
              </w:rPr>
            </w:pPr>
            <w:r w:rsidRPr="000B2B22">
              <w:rPr>
                <w:rFonts w:ascii="Times New Roman" w:hAnsi="Times New Roman" w:cs="Times New Roman"/>
              </w:rPr>
              <w:t>Hazard</w:t>
            </w:r>
            <w:r w:rsidRPr="000B2B22">
              <w:rPr>
                <w:rFonts w:ascii="Times New Roman" w:hAnsi="Times New Roman" w:cs="Times New Roman"/>
              </w:rPr>
              <w:tab/>
              <w:t>ratio</w:t>
            </w:r>
          </w:p>
          <w:p w14:paraId="11E4AB53" w14:textId="3DE03A26" w:rsidR="00DF569D" w:rsidRPr="000B2B22" w:rsidRDefault="00C210A5" w:rsidP="00F1460D">
            <w:pPr>
              <w:pStyle w:val="TableParagraph"/>
              <w:tabs>
                <w:tab w:val="left" w:pos="1026"/>
                <w:tab w:val="left" w:pos="1712"/>
                <w:tab w:val="left" w:pos="2475"/>
              </w:tabs>
              <w:rPr>
                <w:rFonts w:ascii="Times New Roman" w:eastAsia="Times New Roman" w:hAnsi="Times New Roman" w:cs="Times New Roman"/>
              </w:rPr>
            </w:pPr>
            <w:r w:rsidRPr="000B2B22">
              <w:rPr>
                <w:rFonts w:ascii="Times New Roman" w:hAnsi="Times New Roman" w:cs="Times New Roman"/>
              </w:rPr>
              <w:t>(95%</w:t>
            </w:r>
            <w:r w:rsidRPr="000B2B22">
              <w:rPr>
                <w:rFonts w:ascii="Times New Roman" w:hAnsi="Times New Roman" w:cs="Times New Roman"/>
              </w:rPr>
              <w:tab/>
              <w:t>confidence interval)</w:t>
            </w:r>
          </w:p>
        </w:tc>
        <w:tc>
          <w:tcPr>
            <w:tcW w:w="3548" w:type="pct"/>
            <w:gridSpan w:val="2"/>
            <w:tcBorders>
              <w:top w:val="single" w:sz="5" w:space="0" w:color="000000"/>
              <w:left w:val="single" w:sz="4" w:space="0" w:color="auto"/>
              <w:bottom w:val="single" w:sz="5" w:space="0" w:color="000000"/>
              <w:right w:val="single" w:sz="5" w:space="0" w:color="000000"/>
            </w:tcBorders>
          </w:tcPr>
          <w:p w14:paraId="223F0C4B" w14:textId="77777777"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0.81 (0.69, 0.94)</w:t>
            </w:r>
          </w:p>
          <w:p w14:paraId="67C75064" w14:textId="5E23A8F5"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(p</w:t>
            </w:r>
            <w:r w:rsidR="00FD0731" w:rsidRPr="000B2B22">
              <w:rPr>
                <w:rFonts w:ascii="Times New Roman" w:hAnsi="Times New Roman" w:cs="Times New Roman"/>
              </w:rPr>
              <w:noBreakHyphen/>
            </w:r>
            <w:r w:rsidRPr="000B2B22">
              <w:rPr>
                <w:rFonts w:ascii="Times New Roman" w:hAnsi="Times New Roman" w:cs="Times New Roman"/>
              </w:rPr>
              <w:t>value = 0.0062)</w:t>
            </w:r>
          </w:p>
        </w:tc>
      </w:tr>
      <w:tr w:rsidR="005A5348" w:rsidRPr="000B2B22" w14:paraId="4789868F" w14:textId="77777777" w:rsidTr="004228B0">
        <w:tc>
          <w:tcPr>
            <w:tcW w:w="1452" w:type="pct"/>
            <w:tcBorders>
              <w:top w:val="single" w:sz="4" w:space="0" w:color="auto"/>
              <w:left w:val="single" w:sz="4" w:space="0" w:color="auto"/>
              <w:bottom w:val="single" w:sz="4" w:space="0" w:color="auto"/>
              <w:right w:val="single" w:sz="4" w:space="0" w:color="auto"/>
            </w:tcBorders>
          </w:tcPr>
          <w:p w14:paraId="6B75A3C5" w14:textId="1D0A8671" w:rsidR="00047E69" w:rsidRPr="000B2B22" w:rsidRDefault="00C210A5" w:rsidP="00F1460D">
            <w:pPr>
              <w:pStyle w:val="TableParagraph"/>
              <w:rPr>
                <w:rFonts w:ascii="Times New Roman" w:eastAsia="Times New Roman" w:hAnsi="Times New Roman" w:cs="Times New Roman"/>
                <w:u w:val="single"/>
              </w:rPr>
            </w:pPr>
            <w:r w:rsidRPr="000B2B22">
              <w:rPr>
                <w:rFonts w:ascii="Times New Roman" w:hAnsi="Times New Roman" w:cs="Times New Roman"/>
                <w:b/>
                <w:u w:val="single"/>
              </w:rPr>
              <w:t>Progression</w:t>
            </w:r>
            <w:r w:rsidR="00FD0731" w:rsidRPr="000B2B22">
              <w:rPr>
                <w:rFonts w:ascii="Times New Roman" w:hAnsi="Times New Roman" w:cs="Times New Roman"/>
                <w:b/>
                <w:u w:val="single"/>
              </w:rPr>
              <w:noBreakHyphen/>
            </w:r>
            <w:r w:rsidR="002D6E74" w:rsidRPr="000B2B22">
              <w:rPr>
                <w:rFonts w:ascii="Times New Roman" w:hAnsi="Times New Roman" w:cs="Times New Roman"/>
                <w:b/>
                <w:u w:val="single"/>
              </w:rPr>
              <w:t>f</w:t>
            </w:r>
            <w:r w:rsidRPr="000B2B22">
              <w:rPr>
                <w:rFonts w:ascii="Times New Roman" w:hAnsi="Times New Roman" w:cs="Times New Roman"/>
                <w:b/>
                <w:u w:val="single"/>
              </w:rPr>
              <w:t xml:space="preserve">ree </w:t>
            </w:r>
            <w:r w:rsidR="002D6E74" w:rsidRPr="000B2B22">
              <w:rPr>
                <w:rFonts w:ascii="Times New Roman" w:hAnsi="Times New Roman" w:cs="Times New Roman"/>
                <w:b/>
                <w:u w:val="single"/>
              </w:rPr>
              <w:t>s</w:t>
            </w:r>
            <w:r w:rsidRPr="000B2B22">
              <w:rPr>
                <w:rFonts w:ascii="Times New Roman" w:hAnsi="Times New Roman" w:cs="Times New Roman"/>
                <w:b/>
                <w:u w:val="single"/>
              </w:rPr>
              <w:t>urvival</w:t>
            </w:r>
          </w:p>
        </w:tc>
        <w:tc>
          <w:tcPr>
            <w:tcW w:w="1761" w:type="pct"/>
            <w:tcBorders>
              <w:top w:val="single" w:sz="5" w:space="0" w:color="000000"/>
              <w:left w:val="single" w:sz="4" w:space="0" w:color="auto"/>
              <w:bottom w:val="single" w:sz="5" w:space="0" w:color="000000"/>
              <w:right w:val="nil"/>
            </w:tcBorders>
          </w:tcPr>
          <w:p w14:paraId="1B189D27" w14:textId="77777777" w:rsidR="00047E69" w:rsidRPr="000B2B22" w:rsidRDefault="00047E69" w:rsidP="00F1460D">
            <w:pPr>
              <w:jc w:val="center"/>
              <w:rPr>
                <w:rFonts w:ascii="Times New Roman" w:hAnsi="Times New Roman" w:cs="Times New Roman"/>
              </w:rPr>
            </w:pPr>
          </w:p>
        </w:tc>
        <w:tc>
          <w:tcPr>
            <w:tcW w:w="1787" w:type="pct"/>
            <w:tcBorders>
              <w:top w:val="single" w:sz="5" w:space="0" w:color="000000"/>
              <w:left w:val="nil"/>
              <w:bottom w:val="single" w:sz="5" w:space="0" w:color="000000"/>
              <w:right w:val="single" w:sz="5" w:space="0" w:color="000000"/>
            </w:tcBorders>
          </w:tcPr>
          <w:p w14:paraId="1A5199E4" w14:textId="77777777" w:rsidR="00047E69" w:rsidRPr="000B2B22" w:rsidRDefault="00047E69" w:rsidP="00F1460D">
            <w:pPr>
              <w:jc w:val="center"/>
              <w:rPr>
                <w:rFonts w:ascii="Times New Roman" w:hAnsi="Times New Roman" w:cs="Times New Roman"/>
              </w:rPr>
            </w:pPr>
          </w:p>
        </w:tc>
      </w:tr>
      <w:tr w:rsidR="005A5348" w:rsidRPr="000B2B22" w14:paraId="170C7C4B" w14:textId="77777777" w:rsidTr="004228B0">
        <w:tc>
          <w:tcPr>
            <w:tcW w:w="1452" w:type="pct"/>
            <w:tcBorders>
              <w:top w:val="single" w:sz="4" w:space="0" w:color="auto"/>
              <w:left w:val="single" w:sz="4" w:space="0" w:color="auto"/>
              <w:bottom w:val="single" w:sz="4" w:space="0" w:color="auto"/>
              <w:right w:val="single" w:sz="4" w:space="0" w:color="auto"/>
            </w:tcBorders>
          </w:tcPr>
          <w:p w14:paraId="01FC07C6" w14:textId="77777777" w:rsidR="00DF569D" w:rsidRPr="000B2B22" w:rsidRDefault="00C210A5" w:rsidP="00F1460D">
            <w:pPr>
              <w:pStyle w:val="TableParagraph"/>
              <w:rPr>
                <w:rFonts w:ascii="Times New Roman" w:eastAsia="Times New Roman" w:hAnsi="Times New Roman" w:cs="Times New Roman"/>
              </w:rPr>
            </w:pPr>
            <w:r w:rsidRPr="000B2B22">
              <w:rPr>
                <w:rFonts w:ascii="Times New Roman" w:hAnsi="Times New Roman" w:cs="Times New Roman"/>
              </w:rPr>
              <w:t>Median (months)</w:t>
            </w:r>
          </w:p>
        </w:tc>
        <w:tc>
          <w:tcPr>
            <w:tcW w:w="1761" w:type="pct"/>
            <w:tcBorders>
              <w:top w:val="single" w:sz="5" w:space="0" w:color="000000"/>
              <w:left w:val="single" w:sz="4" w:space="0" w:color="auto"/>
              <w:bottom w:val="single" w:sz="5" w:space="0" w:color="000000"/>
              <w:right w:val="single" w:sz="5" w:space="0" w:color="000000"/>
            </w:tcBorders>
          </w:tcPr>
          <w:p w14:paraId="1ED7F03D" w14:textId="75EFCCC0" w:rsidR="00DF569D" w:rsidRPr="000B2B22" w:rsidRDefault="00C210A5" w:rsidP="00F1460D">
            <w:pPr>
              <w:jc w:val="center"/>
              <w:rPr>
                <w:rFonts w:ascii="Times New Roman" w:hAnsi="Times New Roman" w:cs="Times New Roman"/>
              </w:rPr>
            </w:pPr>
            <w:r w:rsidRPr="000B2B22">
              <w:rPr>
                <w:rFonts w:ascii="Times New Roman" w:hAnsi="Times New Roman" w:cs="Times New Roman"/>
              </w:rPr>
              <w:t>4.1</w:t>
            </w:r>
          </w:p>
        </w:tc>
        <w:tc>
          <w:tcPr>
            <w:tcW w:w="1787" w:type="pct"/>
            <w:tcBorders>
              <w:top w:val="single" w:sz="5" w:space="0" w:color="000000"/>
              <w:left w:val="single" w:sz="5" w:space="0" w:color="000000"/>
              <w:bottom w:val="single" w:sz="5" w:space="0" w:color="000000"/>
              <w:right w:val="single" w:sz="5" w:space="0" w:color="000000"/>
            </w:tcBorders>
          </w:tcPr>
          <w:p w14:paraId="33BA8EFE" w14:textId="77777777"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5.7</w:t>
            </w:r>
          </w:p>
        </w:tc>
      </w:tr>
      <w:tr w:rsidR="00A27683" w:rsidRPr="000B2B22" w14:paraId="665A879F" w14:textId="77777777" w:rsidTr="004228B0">
        <w:tc>
          <w:tcPr>
            <w:tcW w:w="1452" w:type="pct"/>
            <w:tcBorders>
              <w:top w:val="single" w:sz="4" w:space="0" w:color="auto"/>
              <w:left w:val="single" w:sz="4" w:space="0" w:color="auto"/>
              <w:bottom w:val="single" w:sz="4" w:space="0" w:color="auto"/>
              <w:right w:val="single" w:sz="4" w:space="0" w:color="auto"/>
            </w:tcBorders>
          </w:tcPr>
          <w:p w14:paraId="1747F95A" w14:textId="37D46E33" w:rsidR="00DF569D" w:rsidRPr="000B2B22" w:rsidRDefault="00C210A5" w:rsidP="00F1460D">
            <w:pPr>
              <w:pStyle w:val="TableParagraph"/>
              <w:tabs>
                <w:tab w:val="left" w:pos="1026"/>
                <w:tab w:val="left" w:pos="2475"/>
              </w:tabs>
              <w:rPr>
                <w:rFonts w:ascii="Times New Roman" w:hAnsi="Times New Roman" w:cs="Times New Roman"/>
              </w:rPr>
            </w:pPr>
            <w:r w:rsidRPr="000B2B22">
              <w:rPr>
                <w:rFonts w:ascii="Times New Roman" w:hAnsi="Times New Roman" w:cs="Times New Roman"/>
              </w:rPr>
              <w:t>Hazard</w:t>
            </w:r>
            <w:r w:rsidRPr="000B2B22">
              <w:rPr>
                <w:rFonts w:ascii="Times New Roman" w:hAnsi="Times New Roman" w:cs="Times New Roman"/>
              </w:rPr>
              <w:tab/>
              <w:t>ratio</w:t>
            </w:r>
          </w:p>
          <w:p w14:paraId="550910CD" w14:textId="32558E7C" w:rsidR="00DF569D" w:rsidRPr="000B2B22" w:rsidRDefault="00C210A5" w:rsidP="00F1460D">
            <w:pPr>
              <w:pStyle w:val="TableParagraph"/>
              <w:tabs>
                <w:tab w:val="left" w:pos="591"/>
                <w:tab w:val="left" w:pos="1712"/>
                <w:tab w:val="left" w:pos="2475"/>
              </w:tabs>
              <w:rPr>
                <w:rFonts w:ascii="Times New Roman" w:eastAsia="Times New Roman" w:hAnsi="Times New Roman" w:cs="Times New Roman"/>
              </w:rPr>
            </w:pPr>
            <w:r w:rsidRPr="000B2B22">
              <w:rPr>
                <w:rFonts w:ascii="Times New Roman" w:hAnsi="Times New Roman" w:cs="Times New Roman"/>
              </w:rPr>
              <w:t>(95%</w:t>
            </w:r>
            <w:r w:rsidRPr="000B2B22">
              <w:rPr>
                <w:rFonts w:ascii="Times New Roman" w:hAnsi="Times New Roman" w:cs="Times New Roman"/>
              </w:rPr>
              <w:tab/>
              <w:t>confidence interval)</w:t>
            </w:r>
          </w:p>
        </w:tc>
        <w:tc>
          <w:tcPr>
            <w:tcW w:w="3548" w:type="pct"/>
            <w:gridSpan w:val="2"/>
            <w:tcBorders>
              <w:top w:val="single" w:sz="5" w:space="0" w:color="000000"/>
              <w:left w:val="single" w:sz="4" w:space="0" w:color="auto"/>
              <w:bottom w:val="single" w:sz="5" w:space="0" w:color="000000"/>
              <w:right w:val="single" w:sz="5" w:space="0" w:color="000000"/>
            </w:tcBorders>
          </w:tcPr>
          <w:p w14:paraId="593569D3" w14:textId="77777777"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0.68 (0.59, 0.78)</w:t>
            </w:r>
          </w:p>
          <w:p w14:paraId="7129A98D" w14:textId="6B946980"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(p</w:t>
            </w:r>
            <w:r w:rsidR="00FD0731" w:rsidRPr="000B2B22">
              <w:rPr>
                <w:rFonts w:ascii="Times New Roman" w:hAnsi="Times New Roman" w:cs="Times New Roman"/>
              </w:rPr>
              <w:noBreakHyphen/>
            </w:r>
            <w:r w:rsidRPr="000B2B22">
              <w:rPr>
                <w:rFonts w:ascii="Times New Roman" w:hAnsi="Times New Roman" w:cs="Times New Roman"/>
              </w:rPr>
              <w:t>value &lt; 0.0001)</w:t>
            </w:r>
          </w:p>
        </w:tc>
      </w:tr>
      <w:tr w:rsidR="005A5348" w:rsidRPr="000B2B22" w14:paraId="45CBAECB" w14:textId="77777777" w:rsidTr="004228B0">
        <w:tc>
          <w:tcPr>
            <w:tcW w:w="1452" w:type="pct"/>
            <w:tcBorders>
              <w:top w:val="single" w:sz="4" w:space="0" w:color="auto"/>
              <w:left w:val="single" w:sz="4" w:space="0" w:color="auto"/>
              <w:bottom w:val="single" w:sz="4" w:space="0" w:color="auto"/>
              <w:right w:val="single" w:sz="4" w:space="0" w:color="auto"/>
            </w:tcBorders>
          </w:tcPr>
          <w:p w14:paraId="3A11D347" w14:textId="67458ED3" w:rsidR="00047E69" w:rsidRPr="000B2B22" w:rsidRDefault="00C210A5" w:rsidP="00F1460D">
            <w:pPr>
              <w:pStyle w:val="TableParagraph"/>
              <w:rPr>
                <w:rFonts w:ascii="Times New Roman" w:eastAsia="Times New Roman" w:hAnsi="Times New Roman" w:cs="Times New Roman"/>
                <w:u w:val="single"/>
              </w:rPr>
            </w:pPr>
            <w:r w:rsidRPr="000B2B22">
              <w:rPr>
                <w:rFonts w:ascii="Times New Roman" w:hAnsi="Times New Roman" w:cs="Times New Roman"/>
                <w:b/>
                <w:u w:val="single"/>
              </w:rPr>
              <w:t xml:space="preserve">Objective </w:t>
            </w:r>
            <w:r w:rsidR="002D6E74" w:rsidRPr="000B2B22">
              <w:rPr>
                <w:rFonts w:ascii="Times New Roman" w:hAnsi="Times New Roman" w:cs="Times New Roman"/>
                <w:b/>
                <w:u w:val="single"/>
              </w:rPr>
              <w:t>r</w:t>
            </w:r>
            <w:r w:rsidRPr="000B2B22">
              <w:rPr>
                <w:rFonts w:ascii="Times New Roman" w:hAnsi="Times New Roman" w:cs="Times New Roman"/>
                <w:b/>
                <w:u w:val="single"/>
              </w:rPr>
              <w:t xml:space="preserve">esponse </w:t>
            </w:r>
            <w:r w:rsidR="002D6E74" w:rsidRPr="000B2B22">
              <w:rPr>
                <w:rFonts w:ascii="Times New Roman" w:hAnsi="Times New Roman" w:cs="Times New Roman"/>
                <w:b/>
                <w:u w:val="single"/>
              </w:rPr>
              <w:t>r</w:t>
            </w:r>
            <w:r w:rsidRPr="000B2B22">
              <w:rPr>
                <w:rFonts w:ascii="Times New Roman" w:hAnsi="Times New Roman" w:cs="Times New Roman"/>
                <w:b/>
                <w:u w:val="single"/>
              </w:rPr>
              <w:t>ate</w:t>
            </w:r>
          </w:p>
        </w:tc>
        <w:tc>
          <w:tcPr>
            <w:tcW w:w="1761" w:type="pct"/>
            <w:tcBorders>
              <w:top w:val="single" w:sz="5" w:space="0" w:color="000000"/>
              <w:left w:val="single" w:sz="4" w:space="0" w:color="auto"/>
              <w:bottom w:val="single" w:sz="5" w:space="0" w:color="000000"/>
              <w:right w:val="nil"/>
            </w:tcBorders>
          </w:tcPr>
          <w:p w14:paraId="58E30F93" w14:textId="77777777" w:rsidR="00047E69" w:rsidRPr="000B2B22" w:rsidRDefault="00047E69" w:rsidP="00F1460D">
            <w:pPr>
              <w:jc w:val="center"/>
              <w:rPr>
                <w:rFonts w:ascii="Times New Roman" w:hAnsi="Times New Roman" w:cs="Times New Roman"/>
              </w:rPr>
            </w:pPr>
          </w:p>
        </w:tc>
        <w:tc>
          <w:tcPr>
            <w:tcW w:w="1787" w:type="pct"/>
            <w:tcBorders>
              <w:top w:val="single" w:sz="5" w:space="0" w:color="000000"/>
              <w:left w:val="nil"/>
              <w:bottom w:val="single" w:sz="5" w:space="0" w:color="000000"/>
              <w:right w:val="single" w:sz="5" w:space="0" w:color="000000"/>
            </w:tcBorders>
          </w:tcPr>
          <w:p w14:paraId="19D970DE" w14:textId="77777777" w:rsidR="00047E69" w:rsidRPr="000B2B22" w:rsidRDefault="00047E69" w:rsidP="00F1460D">
            <w:pPr>
              <w:jc w:val="center"/>
              <w:rPr>
                <w:rFonts w:ascii="Times New Roman" w:hAnsi="Times New Roman" w:cs="Times New Roman"/>
              </w:rPr>
            </w:pPr>
          </w:p>
        </w:tc>
      </w:tr>
      <w:tr w:rsidR="005A5348" w:rsidRPr="000B2B22" w14:paraId="34FCD60F" w14:textId="77777777" w:rsidTr="004228B0">
        <w:tc>
          <w:tcPr>
            <w:tcW w:w="1452" w:type="pct"/>
            <w:tcBorders>
              <w:top w:val="single" w:sz="4" w:space="0" w:color="auto"/>
              <w:left w:val="single" w:sz="4" w:space="0" w:color="auto"/>
              <w:bottom w:val="single" w:sz="4" w:space="0" w:color="auto"/>
              <w:right w:val="single" w:sz="4" w:space="0" w:color="auto"/>
            </w:tcBorders>
          </w:tcPr>
          <w:p w14:paraId="31FD79CA" w14:textId="77777777" w:rsidR="00DF569D" w:rsidRPr="000B2B22" w:rsidRDefault="00C210A5" w:rsidP="00F1460D">
            <w:pPr>
              <w:pStyle w:val="TableParagraph"/>
              <w:rPr>
                <w:rFonts w:ascii="Times New Roman" w:eastAsia="Times New Roman" w:hAnsi="Times New Roman" w:cs="Times New Roman"/>
              </w:rPr>
            </w:pPr>
            <w:r w:rsidRPr="000B2B22">
              <w:rPr>
                <w:rFonts w:ascii="Times New Roman" w:hAnsi="Times New Roman" w:cs="Times New Roman"/>
              </w:rPr>
              <w:t>Patients included in analysis</w:t>
            </w:r>
          </w:p>
        </w:tc>
        <w:tc>
          <w:tcPr>
            <w:tcW w:w="1761" w:type="pct"/>
            <w:tcBorders>
              <w:top w:val="single" w:sz="5" w:space="0" w:color="000000"/>
              <w:left w:val="single" w:sz="4" w:space="0" w:color="auto"/>
              <w:bottom w:val="single" w:sz="5" w:space="0" w:color="000000"/>
              <w:right w:val="single" w:sz="5" w:space="0" w:color="000000"/>
            </w:tcBorders>
          </w:tcPr>
          <w:p w14:paraId="06686646" w14:textId="2E61365F" w:rsidR="00DF569D" w:rsidRPr="000B2B22" w:rsidRDefault="00C210A5" w:rsidP="00F1460D">
            <w:pPr>
              <w:jc w:val="center"/>
              <w:rPr>
                <w:rFonts w:ascii="Times New Roman" w:hAnsi="Times New Roman" w:cs="Times New Roman"/>
              </w:rPr>
            </w:pPr>
            <w:r w:rsidRPr="000B2B22">
              <w:rPr>
                <w:rFonts w:ascii="Times New Roman" w:hAnsi="Times New Roman" w:cs="Times New Roman"/>
              </w:rPr>
              <w:t>406</w:t>
            </w:r>
          </w:p>
        </w:tc>
        <w:tc>
          <w:tcPr>
            <w:tcW w:w="1787" w:type="pct"/>
            <w:tcBorders>
              <w:top w:val="single" w:sz="5" w:space="0" w:color="000000"/>
              <w:left w:val="single" w:sz="5" w:space="0" w:color="000000"/>
              <w:bottom w:val="single" w:sz="5" w:space="0" w:color="000000"/>
              <w:right w:val="single" w:sz="5" w:space="0" w:color="000000"/>
            </w:tcBorders>
          </w:tcPr>
          <w:p w14:paraId="18274132" w14:textId="77777777"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404</w:t>
            </w:r>
          </w:p>
        </w:tc>
      </w:tr>
      <w:tr w:rsidR="005A5348" w:rsidRPr="000B2B22" w14:paraId="53819C3F" w14:textId="77777777" w:rsidTr="004228B0">
        <w:tc>
          <w:tcPr>
            <w:tcW w:w="1452" w:type="pct"/>
            <w:tcBorders>
              <w:top w:val="single" w:sz="4" w:space="0" w:color="auto"/>
              <w:left w:val="single" w:sz="4" w:space="0" w:color="auto"/>
              <w:bottom w:val="single" w:sz="4" w:space="0" w:color="auto"/>
              <w:right w:val="single" w:sz="4" w:space="0" w:color="auto"/>
            </w:tcBorders>
          </w:tcPr>
          <w:p w14:paraId="62ACCE72" w14:textId="77777777" w:rsidR="00DF569D" w:rsidRPr="000B2B22" w:rsidRDefault="00C210A5" w:rsidP="00F1460D">
            <w:pPr>
              <w:pStyle w:val="TableParagraph"/>
              <w:rPr>
                <w:rFonts w:ascii="Times New Roman" w:eastAsia="Times New Roman" w:hAnsi="Times New Roman" w:cs="Times New Roman"/>
              </w:rPr>
            </w:pPr>
            <w:r w:rsidRPr="000B2B22">
              <w:rPr>
                <w:rFonts w:ascii="Times New Roman" w:hAnsi="Times New Roman" w:cs="Times New Roman"/>
              </w:rPr>
              <w:t>Rate</w:t>
            </w:r>
          </w:p>
        </w:tc>
        <w:tc>
          <w:tcPr>
            <w:tcW w:w="1761" w:type="pct"/>
            <w:tcBorders>
              <w:top w:val="single" w:sz="5" w:space="0" w:color="000000"/>
              <w:left w:val="single" w:sz="4" w:space="0" w:color="auto"/>
              <w:bottom w:val="single" w:sz="5" w:space="0" w:color="000000"/>
              <w:right w:val="single" w:sz="5" w:space="0" w:color="000000"/>
            </w:tcBorders>
          </w:tcPr>
          <w:p w14:paraId="283C68E1" w14:textId="2D67CBCE" w:rsidR="00DF569D" w:rsidRPr="000B2B22" w:rsidRDefault="00C210A5" w:rsidP="00F1460D">
            <w:pPr>
              <w:jc w:val="center"/>
              <w:rPr>
                <w:rFonts w:ascii="Times New Roman" w:hAnsi="Times New Roman" w:cs="Times New Roman"/>
              </w:rPr>
            </w:pPr>
            <w:r w:rsidRPr="000B2B22">
              <w:rPr>
                <w:rFonts w:ascii="Times New Roman" w:hAnsi="Times New Roman" w:cs="Times New Roman"/>
              </w:rPr>
              <w:t>3.9%</w:t>
            </w:r>
          </w:p>
        </w:tc>
        <w:tc>
          <w:tcPr>
            <w:tcW w:w="1787" w:type="pct"/>
            <w:tcBorders>
              <w:top w:val="single" w:sz="5" w:space="0" w:color="000000"/>
              <w:left w:val="single" w:sz="5" w:space="0" w:color="000000"/>
              <w:bottom w:val="single" w:sz="5" w:space="0" w:color="000000"/>
              <w:right w:val="single" w:sz="5" w:space="0" w:color="000000"/>
            </w:tcBorders>
          </w:tcPr>
          <w:p w14:paraId="64A2C58D" w14:textId="77777777"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5.4%</w:t>
            </w:r>
          </w:p>
        </w:tc>
      </w:tr>
      <w:tr w:rsidR="00A27683" w:rsidRPr="000B2B22" w14:paraId="0E27CF77" w14:textId="77777777" w:rsidTr="004228B0">
        <w:tc>
          <w:tcPr>
            <w:tcW w:w="1452" w:type="pct"/>
            <w:tcBorders>
              <w:top w:val="single" w:sz="4" w:space="0" w:color="auto"/>
              <w:left w:val="single" w:sz="4" w:space="0" w:color="auto"/>
              <w:bottom w:val="single" w:sz="4" w:space="0" w:color="auto"/>
              <w:right w:val="single" w:sz="4" w:space="0" w:color="auto"/>
            </w:tcBorders>
          </w:tcPr>
          <w:p w14:paraId="2E53F78D" w14:textId="77777777" w:rsidR="00DF569D" w:rsidRPr="000B2B22" w:rsidRDefault="00DF569D" w:rsidP="00F1460D">
            <w:pPr>
              <w:rPr>
                <w:rFonts w:ascii="Times New Roman" w:hAnsi="Times New Roman" w:cs="Times New Roman"/>
              </w:rPr>
            </w:pPr>
          </w:p>
        </w:tc>
        <w:tc>
          <w:tcPr>
            <w:tcW w:w="3548" w:type="pct"/>
            <w:gridSpan w:val="2"/>
            <w:tcBorders>
              <w:top w:val="single" w:sz="5" w:space="0" w:color="000000"/>
              <w:left w:val="single" w:sz="4" w:space="0" w:color="auto"/>
              <w:bottom w:val="single" w:sz="5" w:space="0" w:color="000000"/>
              <w:right w:val="single" w:sz="5" w:space="0" w:color="000000"/>
            </w:tcBorders>
          </w:tcPr>
          <w:p w14:paraId="26B523B6" w14:textId="728522CB" w:rsidR="00DF569D" w:rsidRPr="000B2B22" w:rsidRDefault="00C210A5" w:rsidP="00F1460D">
            <w:pPr>
              <w:pStyle w:val="TableParagraph"/>
              <w:jc w:val="center"/>
              <w:rPr>
                <w:rFonts w:ascii="Times New Roman" w:eastAsia="Times New Roman" w:hAnsi="Times New Roman" w:cs="Times New Roman"/>
              </w:rPr>
            </w:pPr>
            <w:r w:rsidRPr="000B2B22">
              <w:rPr>
                <w:rFonts w:ascii="Times New Roman" w:hAnsi="Times New Roman" w:cs="Times New Roman"/>
              </w:rPr>
              <w:t>(p</w:t>
            </w:r>
            <w:r w:rsidR="00FD0731" w:rsidRPr="000B2B22">
              <w:rPr>
                <w:rFonts w:ascii="Times New Roman" w:hAnsi="Times New Roman" w:cs="Times New Roman"/>
              </w:rPr>
              <w:noBreakHyphen/>
            </w:r>
            <w:r w:rsidRPr="000B2B22">
              <w:rPr>
                <w:rFonts w:ascii="Times New Roman" w:hAnsi="Times New Roman" w:cs="Times New Roman"/>
              </w:rPr>
              <w:t>value = 0.3113)</w:t>
            </w:r>
          </w:p>
        </w:tc>
      </w:tr>
    </w:tbl>
    <w:p w14:paraId="284ED39C" w14:textId="77777777" w:rsidR="00047E69" w:rsidRPr="000B2B22" w:rsidRDefault="00C210A5" w:rsidP="00F1460D">
      <w:pPr>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a </w:t>
      </w:r>
      <w:r w:rsidRPr="000B2B22">
        <w:rPr>
          <w:rFonts w:ascii="Times New Roman"/>
          <w:sz w:val="20"/>
        </w:rPr>
        <w:t>5.0 mg/kg every 2 weeks or 7.5 mg/kg every 3 weeks</w:t>
      </w:r>
    </w:p>
    <w:p w14:paraId="7318D72B" w14:textId="77777777" w:rsidR="00047E69" w:rsidRPr="000B2B22" w:rsidRDefault="00047E69" w:rsidP="00F1460D">
      <w:pPr>
        <w:adjustRightInd w:val="0"/>
        <w:snapToGrid w:val="0"/>
        <w:rPr>
          <w:rFonts w:ascii="Times New Roman" w:eastAsia="Times New Roman" w:hAnsi="Times New Roman" w:cs="Times New Roman"/>
        </w:rPr>
      </w:pPr>
    </w:p>
    <w:p w14:paraId="1B03821C" w14:textId="2938CDDF" w:rsidR="00047E69" w:rsidRPr="000B2B22" w:rsidRDefault="00C210A5" w:rsidP="00F1460D">
      <w:pPr>
        <w:pStyle w:val="a5"/>
        <w:adjustRightInd w:val="0"/>
        <w:snapToGrid w:val="0"/>
      </w:pPr>
      <w:r w:rsidRPr="000B2B22">
        <w:t xml:space="preserve">Statistically significant improvements in </w:t>
      </w:r>
      <w:r w:rsidR="00A135EE" w:rsidRPr="000B2B22">
        <w:t xml:space="preserve">PFS </w:t>
      </w:r>
      <w:r w:rsidRPr="000B2B22">
        <w:t>were also observed. Objective response rate was low in both treatment arms and the difference was not significant.</w:t>
      </w:r>
    </w:p>
    <w:p w14:paraId="70A33ED1" w14:textId="77777777" w:rsidR="00047E69" w:rsidRPr="000B2B22" w:rsidRDefault="00047E69" w:rsidP="00F1460D">
      <w:pPr>
        <w:adjustRightInd w:val="0"/>
        <w:snapToGrid w:val="0"/>
        <w:rPr>
          <w:rFonts w:ascii="Times New Roman" w:eastAsia="Times New Roman" w:hAnsi="Times New Roman" w:cs="Times New Roman"/>
        </w:rPr>
      </w:pPr>
    </w:p>
    <w:p w14:paraId="41ADBF2D" w14:textId="2CA4790F" w:rsidR="00047E69" w:rsidRPr="000B2B22" w:rsidRDefault="00C210A5" w:rsidP="00F1460D">
      <w:pPr>
        <w:pStyle w:val="a5"/>
        <w:adjustRightInd w:val="0"/>
        <w:snapToGrid w:val="0"/>
      </w:pPr>
      <w:r w:rsidRPr="000B2B22">
        <w:t>Study E3200 used a 5 mg/kg/week equivalent dose of bevacizumab in bevacizumab</w:t>
      </w:r>
      <w:r w:rsidR="00FD0731" w:rsidRPr="000B2B22">
        <w:noBreakHyphen/>
      </w:r>
      <w:r w:rsidRPr="000B2B22">
        <w:t>naïve patients, while study ML18147 used a 2.5 mg/kg/week equivalent dose of bevacizumab in bevacizumab</w:t>
      </w:r>
      <w:r w:rsidR="00FD0731" w:rsidRPr="000B2B22">
        <w:noBreakHyphen/>
      </w:r>
      <w:r w:rsidRPr="000B2B22">
        <w:t>pretreated patients. A cross</w:t>
      </w:r>
      <w:r w:rsidR="00FD0731" w:rsidRPr="000B2B22">
        <w:noBreakHyphen/>
      </w:r>
      <w:r w:rsidRPr="000B2B22">
        <w:t>trial comparison of the efficacy and safety data is limited by differences between these studies, most notably in patient populations, previous bevacizumab exposure and chemotherapy regimens. Both the 5 mg/kg/week and 2.5 mg/kg/week equivalent doses of  bevacizumab provided a statistically significant benefit with regards to OS (HR 0.751 in study E3200; HR 0.81 in study ML18147) and PFS (HR 0.518 in study E3200; HR 0.68 in study ML18147). In terms of safety, there was a higher overall incidence of Grade 3-5 AEs in study E3200 relative to study ML18147.</w:t>
      </w:r>
    </w:p>
    <w:p w14:paraId="418C06E0" w14:textId="77777777" w:rsidR="00047E69" w:rsidRPr="000B2B22" w:rsidRDefault="00047E69" w:rsidP="00F1460D">
      <w:pPr>
        <w:widowControl/>
        <w:adjustRightInd w:val="0"/>
        <w:snapToGrid w:val="0"/>
        <w:rPr>
          <w:rFonts w:ascii="Times New Roman" w:eastAsia="Times New Roman" w:hAnsi="Times New Roman" w:cs="Times New Roman"/>
        </w:rPr>
      </w:pPr>
    </w:p>
    <w:p w14:paraId="33F09DF0"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u w:val="single" w:color="000000"/>
        </w:rPr>
        <w:t>Metastatic breast cancer (mBC)</w:t>
      </w:r>
    </w:p>
    <w:p w14:paraId="30E7BC82" w14:textId="77777777" w:rsidR="00047E69" w:rsidRPr="000B2B22" w:rsidRDefault="00047E69" w:rsidP="00F1460D">
      <w:pPr>
        <w:widowControl/>
        <w:adjustRightInd w:val="0"/>
        <w:snapToGrid w:val="0"/>
        <w:rPr>
          <w:rFonts w:ascii="Times New Roman" w:eastAsia="Times New Roman" w:hAnsi="Times New Roman" w:cs="Times New Roman"/>
          <w:i/>
          <w:sz w:val="15"/>
          <w:szCs w:val="15"/>
        </w:rPr>
      </w:pPr>
    </w:p>
    <w:p w14:paraId="4537832B" w14:textId="77777777" w:rsidR="00047E69" w:rsidRPr="000B2B22" w:rsidRDefault="00C210A5" w:rsidP="00F1460D">
      <w:pPr>
        <w:pStyle w:val="a5"/>
        <w:widowControl/>
        <w:adjustRightInd w:val="0"/>
        <w:snapToGrid w:val="0"/>
      </w:pPr>
      <w:r w:rsidRPr="000B2B22">
        <w:t>Two large Phase III trials were designed to investigate the treatment effect of bevacizumab in combination with two individual chemotherapy agents, as measured by the primary endpoint of PFS. A clinically meaningful and statistically significant improvement in PFS was observed in both trials.</w:t>
      </w:r>
    </w:p>
    <w:p w14:paraId="7DAFEE72"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615B85D8" w14:textId="77777777" w:rsidR="00047E69" w:rsidRPr="000B2B22" w:rsidRDefault="00C210A5" w:rsidP="00F1460D">
      <w:pPr>
        <w:pStyle w:val="a5"/>
        <w:widowControl/>
        <w:adjustRightInd w:val="0"/>
        <w:snapToGrid w:val="0"/>
      </w:pPr>
      <w:r w:rsidRPr="000B2B22">
        <w:t>Summarised below are PFS results for the individual chemotherapy agents included in the indication:</w:t>
      </w:r>
    </w:p>
    <w:p w14:paraId="0F2AA82E" w14:textId="77777777" w:rsidR="00047E69" w:rsidRPr="000B2B22" w:rsidRDefault="00047E69" w:rsidP="00F1460D">
      <w:pPr>
        <w:widowControl/>
        <w:adjustRightInd w:val="0"/>
        <w:snapToGrid w:val="0"/>
        <w:rPr>
          <w:rFonts w:ascii="Times New Roman" w:eastAsia="Times New Roman" w:hAnsi="Times New Roman" w:cs="Times New Roman"/>
        </w:rPr>
      </w:pPr>
    </w:p>
    <w:p w14:paraId="7282B816" w14:textId="77777777" w:rsidR="00047E69" w:rsidRPr="000B2B22" w:rsidRDefault="00C210A5" w:rsidP="00F1460D">
      <w:pPr>
        <w:pStyle w:val="a5"/>
        <w:widowControl/>
        <w:numPr>
          <w:ilvl w:val="1"/>
          <w:numId w:val="9"/>
        </w:numPr>
        <w:tabs>
          <w:tab w:val="left" w:pos="837"/>
        </w:tabs>
        <w:adjustRightInd w:val="0"/>
        <w:snapToGrid w:val="0"/>
        <w:ind w:left="567" w:hanging="567"/>
      </w:pPr>
      <w:r w:rsidRPr="000B2B22">
        <w:t>Study E2100 (paclitaxel)</w:t>
      </w:r>
    </w:p>
    <w:p w14:paraId="1BDD19DB" w14:textId="77777777" w:rsidR="00047E69" w:rsidRPr="000B2B22" w:rsidRDefault="00C210A5" w:rsidP="00F1460D">
      <w:pPr>
        <w:pStyle w:val="a5"/>
        <w:widowControl/>
        <w:tabs>
          <w:tab w:val="left" w:pos="1556"/>
        </w:tabs>
        <w:adjustRightInd w:val="0"/>
        <w:snapToGrid w:val="0"/>
        <w:ind w:left="1134" w:hanging="567"/>
      </w:pPr>
      <w:r w:rsidRPr="000B2B22">
        <w:rPr>
          <w:rFonts w:ascii="Symbol" w:eastAsia="Symbol" w:hAnsi="Symbol" w:cs="Symbol"/>
        </w:rPr>
        <w:sym w:font="Symbol" w:char="F0B7"/>
      </w:r>
      <w:r w:rsidRPr="000B2B22">
        <w:rPr>
          <w:rFonts w:cs="Times New Roman"/>
        </w:rPr>
        <w:tab/>
      </w:r>
      <w:r w:rsidRPr="000B2B22">
        <w:t>Median PFS increase 5.6 months, HR 0.421 (p &lt; 0.0001, 95% CI 0.343; 0.516)</w:t>
      </w:r>
    </w:p>
    <w:p w14:paraId="0C35B5C3" w14:textId="77777777" w:rsidR="00047E69" w:rsidRPr="000B2B22" w:rsidRDefault="00C210A5" w:rsidP="00F1460D">
      <w:pPr>
        <w:pStyle w:val="a5"/>
        <w:widowControl/>
        <w:numPr>
          <w:ilvl w:val="1"/>
          <w:numId w:val="9"/>
        </w:numPr>
        <w:tabs>
          <w:tab w:val="left" w:pos="837"/>
        </w:tabs>
        <w:adjustRightInd w:val="0"/>
        <w:snapToGrid w:val="0"/>
        <w:ind w:left="567" w:hanging="567"/>
      </w:pPr>
      <w:r w:rsidRPr="000B2B22">
        <w:t>Study AVF3694g (capecitabine)</w:t>
      </w:r>
    </w:p>
    <w:p w14:paraId="038AAD18" w14:textId="77777777" w:rsidR="00047E69" w:rsidRPr="000B2B22" w:rsidRDefault="00C210A5" w:rsidP="00F1460D">
      <w:pPr>
        <w:pStyle w:val="a5"/>
        <w:widowControl/>
        <w:tabs>
          <w:tab w:val="left" w:pos="1556"/>
        </w:tabs>
        <w:adjustRightInd w:val="0"/>
        <w:snapToGrid w:val="0"/>
        <w:ind w:left="1134" w:hanging="567"/>
      </w:pPr>
      <w:r w:rsidRPr="000B2B22">
        <w:rPr>
          <w:rFonts w:ascii="Symbol" w:eastAsia="Symbol" w:hAnsi="Symbol" w:cs="Symbol"/>
        </w:rPr>
        <w:sym w:font="Symbol" w:char="F0B7"/>
      </w:r>
      <w:r w:rsidRPr="000B2B22">
        <w:rPr>
          <w:rFonts w:cs="Times New Roman"/>
        </w:rPr>
        <w:tab/>
      </w:r>
      <w:r w:rsidRPr="000B2B22">
        <w:t>Median PFS increase 2.9 months, HR 0.69 (p = 0.0002, 95% CI 0.56; 0.84) Further details of each study and the results are provided below.</w:t>
      </w:r>
    </w:p>
    <w:p w14:paraId="30FA73A2" w14:textId="77777777" w:rsidR="00552B55" w:rsidRPr="000B2B22" w:rsidRDefault="00552B55" w:rsidP="00F1460D">
      <w:pPr>
        <w:widowControl/>
        <w:adjustRightInd w:val="0"/>
        <w:snapToGrid w:val="0"/>
        <w:rPr>
          <w:rFonts w:ascii="Times New Roman"/>
          <w:i/>
        </w:rPr>
      </w:pPr>
    </w:p>
    <w:p w14:paraId="7A1F2E7B" w14:textId="3DCE5E0A"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ECOG E2100</w:t>
      </w:r>
    </w:p>
    <w:p w14:paraId="194730CD" w14:textId="2FA1AF6F" w:rsidR="00047E69" w:rsidRPr="000B2B22" w:rsidRDefault="00C210A5" w:rsidP="00F1460D">
      <w:pPr>
        <w:pStyle w:val="a5"/>
        <w:widowControl/>
        <w:adjustRightInd w:val="0"/>
        <w:snapToGrid w:val="0"/>
      </w:pPr>
      <w:r w:rsidRPr="000B2B22">
        <w:t>Trial E2100 was an open</w:t>
      </w:r>
      <w:r w:rsidR="00FD0731" w:rsidRPr="000B2B22">
        <w:noBreakHyphen/>
      </w:r>
      <w:r w:rsidRPr="000B2B22">
        <w:t>label, randomised, active controlled, multicentre clinical trial evaluating bevacizumab in combination with paclitaxel for locally recurrent or metastatic breast cancer in patients who had not previously received chemotherapy for locally recurrent and metastatic disease. Patients were randomised to paclitaxel alone (90 mg/m</w:t>
      </w:r>
      <w:r w:rsidRPr="000B2B22">
        <w:rPr>
          <w:position w:val="9"/>
          <w:sz w:val="14"/>
        </w:rPr>
        <w:t xml:space="preserve">2 </w:t>
      </w:r>
      <w:r w:rsidR="005603A9" w:rsidRPr="000B2B22">
        <w:t>intravenous</w:t>
      </w:r>
      <w:r w:rsidRPr="000B2B22">
        <w:t xml:space="preserve"> over 1 hour once weekly for three out of four weeks) or in combination with bevacizumab (10 mg/kg </w:t>
      </w:r>
      <w:r w:rsidR="005603A9" w:rsidRPr="000B2B22">
        <w:t>intravenous</w:t>
      </w:r>
      <w:r w:rsidRPr="000B2B22">
        <w:t xml:space="preserve"> infusion every two weeks). Prior hormonal therapy for the treatment of metastatic disease was allowed. Adjuvant taxane therapy was allowed only if it was completed at least 12 months prior to trial entry. Of the 722 patients in the </w:t>
      </w:r>
      <w:r w:rsidRPr="000B2B22">
        <w:lastRenderedPageBreak/>
        <w:t>trial, the majority of patients had HER2</w:t>
      </w:r>
      <w:r w:rsidR="00FD0731" w:rsidRPr="000B2B22">
        <w:noBreakHyphen/>
      </w:r>
      <w:r w:rsidRPr="000B2B22">
        <w:t>negative disease (90%), with a small number of patients with unknown (8%) or confirmed HER2</w:t>
      </w:r>
      <w:r w:rsidR="00FD0731" w:rsidRPr="000B2B22">
        <w:noBreakHyphen/>
      </w:r>
      <w:r w:rsidRPr="000B2B22">
        <w:t>positive status (2%), who had previously been treated with or were considered unsuitable for trastuzumab therapy. Furthermore, 65% of patients had received adjuvant chemotherapy including 19% prior taxanes and 49% prior anthracyclines. Patients with central nervous system metastases, including previously treated or resected brain lesions, were excluded.</w:t>
      </w:r>
    </w:p>
    <w:p w14:paraId="5B27F5B9" w14:textId="77777777" w:rsidR="00047E69" w:rsidRPr="000B2B22" w:rsidRDefault="00047E69" w:rsidP="00F1460D">
      <w:pPr>
        <w:pStyle w:val="a5"/>
        <w:widowControl/>
        <w:adjustRightInd w:val="0"/>
        <w:snapToGrid w:val="0"/>
        <w:rPr>
          <w:rFonts w:cs="Times New Roman"/>
          <w:sz w:val="21"/>
          <w:szCs w:val="21"/>
        </w:rPr>
      </w:pPr>
    </w:p>
    <w:p w14:paraId="270A9E77" w14:textId="06D9409F" w:rsidR="00047E69" w:rsidRPr="000B2B22" w:rsidRDefault="00C210A5" w:rsidP="00F1460D">
      <w:pPr>
        <w:pStyle w:val="a5"/>
        <w:widowControl/>
        <w:adjustRightInd w:val="0"/>
        <w:snapToGrid w:val="0"/>
      </w:pPr>
      <w:r w:rsidRPr="000B2B22">
        <w:t>In trial E2100, patients were treated until disease progression. In situations where early discontinuation of chemotherapy was required, treatment with bevacizumab as a single agent continued until disease progression. The patient characteristics were similar across the trial arms. The primary endpoint of this trial was PFS, based on trial investigators’ assessment of disease progression. In addition, an independent review of the primary endpoint was also conducted. The results of this trial are presented in Table 10.</w:t>
      </w:r>
    </w:p>
    <w:p w14:paraId="5D6DF00E" w14:textId="77777777" w:rsidR="00047E69" w:rsidRPr="000B2B22" w:rsidRDefault="00047E69" w:rsidP="00F1460D">
      <w:pPr>
        <w:widowControl/>
        <w:adjustRightInd w:val="0"/>
        <w:snapToGrid w:val="0"/>
        <w:rPr>
          <w:rFonts w:ascii="Times New Roman" w:eastAsia="Times New Roman" w:hAnsi="Times New Roman" w:cs="Times New Roman"/>
        </w:rPr>
      </w:pPr>
    </w:p>
    <w:p w14:paraId="57BBF6B0" w14:textId="41A6AA0B" w:rsidR="00AF607F"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10</w:t>
      </w:r>
      <w:r w:rsidRPr="00536B4F">
        <w:rPr>
          <w:rFonts w:ascii="Times New Roman" w:hAnsi="Times New Roman" w:cs="Times New Roman"/>
          <w:b/>
          <w:bCs/>
        </w:rPr>
        <w:tab/>
        <w:t>Trial E2100 efficacy results</w:t>
      </w:r>
    </w:p>
    <w:p w14:paraId="3D5F0C05" w14:textId="77777777" w:rsidR="00047E69" w:rsidRPr="000B2B22" w:rsidRDefault="00047E69" w:rsidP="005E4476"/>
    <w:tbl>
      <w:tblPr>
        <w:tblStyle w:val="TableNormal0"/>
        <w:tblW w:w="5000" w:type="pct"/>
        <w:tblLayout w:type="fixed"/>
        <w:tblCellMar>
          <w:left w:w="108" w:type="dxa"/>
          <w:right w:w="108" w:type="dxa"/>
        </w:tblCellMar>
        <w:tblLook w:val="01E0" w:firstRow="1" w:lastRow="1" w:firstColumn="1" w:lastColumn="1" w:noHBand="0" w:noVBand="0"/>
      </w:tblPr>
      <w:tblGrid>
        <w:gridCol w:w="2348"/>
        <w:gridCol w:w="1492"/>
        <w:gridCol w:w="1865"/>
        <w:gridCol w:w="1492"/>
        <w:gridCol w:w="1865"/>
      </w:tblGrid>
      <w:tr w:rsidR="00A27683" w:rsidRPr="000B2B22" w14:paraId="428E281C" w14:textId="77777777" w:rsidTr="004228B0">
        <w:trPr>
          <w:trHeight w:val="20"/>
        </w:trPr>
        <w:tc>
          <w:tcPr>
            <w:tcW w:w="5000" w:type="pct"/>
            <w:gridSpan w:val="5"/>
            <w:tcBorders>
              <w:top w:val="single" w:sz="5" w:space="0" w:color="000000"/>
              <w:left w:val="single" w:sz="5" w:space="0" w:color="000000"/>
              <w:bottom w:val="single" w:sz="5" w:space="0" w:color="000000"/>
              <w:right w:val="single" w:sz="5" w:space="0" w:color="000000"/>
            </w:tcBorders>
          </w:tcPr>
          <w:p w14:paraId="025CF0CA" w14:textId="31D647C1" w:rsidR="00047E69" w:rsidRPr="000B2B22" w:rsidRDefault="00C210A5" w:rsidP="00F1460D">
            <w:pPr>
              <w:pStyle w:val="a5"/>
              <w:widowControl/>
              <w:rPr>
                <w:rFonts w:cs="Times New Roman"/>
                <w:b/>
                <w:bCs/>
              </w:rPr>
            </w:pPr>
            <w:r w:rsidRPr="000B2B22">
              <w:rPr>
                <w:rFonts w:cs="Times New Roman"/>
                <w:b/>
                <w:bCs/>
              </w:rPr>
              <w:t>Progression</w:t>
            </w:r>
            <w:r w:rsidR="00FD0731" w:rsidRPr="000B2B22">
              <w:rPr>
                <w:rFonts w:cs="Times New Roman"/>
                <w:b/>
                <w:bCs/>
              </w:rPr>
              <w:noBreakHyphen/>
            </w:r>
            <w:r w:rsidRPr="000B2B22">
              <w:rPr>
                <w:rFonts w:cs="Times New Roman"/>
                <w:b/>
                <w:bCs/>
              </w:rPr>
              <w:t>free survival</w:t>
            </w:r>
          </w:p>
        </w:tc>
      </w:tr>
      <w:tr w:rsidR="00A27683" w:rsidRPr="000B2B22" w14:paraId="4E7CC10D"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62A592E3" w14:textId="77777777" w:rsidR="00047E69" w:rsidRPr="000B2B22" w:rsidRDefault="00047E69" w:rsidP="00F1460D">
            <w:pPr>
              <w:pStyle w:val="a5"/>
              <w:widowControl/>
              <w:rPr>
                <w:rFonts w:cs="Times New Roman"/>
              </w:rPr>
            </w:pPr>
          </w:p>
        </w:tc>
        <w:tc>
          <w:tcPr>
            <w:tcW w:w="1852" w:type="pct"/>
            <w:gridSpan w:val="2"/>
            <w:tcBorders>
              <w:top w:val="single" w:sz="5" w:space="0" w:color="000000"/>
              <w:left w:val="single" w:sz="5" w:space="0" w:color="000000"/>
              <w:bottom w:val="single" w:sz="5" w:space="0" w:color="000000"/>
              <w:right w:val="single" w:sz="5" w:space="0" w:color="000000"/>
            </w:tcBorders>
          </w:tcPr>
          <w:p w14:paraId="050101B5" w14:textId="77777777" w:rsidR="00047E69" w:rsidRPr="000B2B22" w:rsidRDefault="00C210A5" w:rsidP="00F1460D">
            <w:pPr>
              <w:pStyle w:val="a5"/>
              <w:widowControl/>
              <w:jc w:val="center"/>
              <w:rPr>
                <w:rFonts w:cs="Times New Roman"/>
                <w:b/>
                <w:bCs/>
              </w:rPr>
            </w:pPr>
            <w:r w:rsidRPr="000B2B22">
              <w:rPr>
                <w:rFonts w:cs="Times New Roman"/>
                <w:b/>
                <w:bCs/>
              </w:rPr>
              <w:t>Investigator assessment*</w:t>
            </w:r>
          </w:p>
        </w:tc>
        <w:tc>
          <w:tcPr>
            <w:tcW w:w="1852" w:type="pct"/>
            <w:gridSpan w:val="2"/>
            <w:tcBorders>
              <w:top w:val="single" w:sz="5" w:space="0" w:color="000000"/>
              <w:left w:val="single" w:sz="5" w:space="0" w:color="000000"/>
              <w:bottom w:val="single" w:sz="5" w:space="0" w:color="000000"/>
              <w:right w:val="single" w:sz="5" w:space="0" w:color="000000"/>
            </w:tcBorders>
          </w:tcPr>
          <w:p w14:paraId="12AB3E2B" w14:textId="77777777" w:rsidR="00047E69" w:rsidRPr="000B2B22" w:rsidRDefault="00C210A5" w:rsidP="00F1460D">
            <w:pPr>
              <w:pStyle w:val="a5"/>
              <w:widowControl/>
              <w:jc w:val="center"/>
              <w:rPr>
                <w:rFonts w:cs="Times New Roman"/>
                <w:b/>
                <w:bCs/>
              </w:rPr>
            </w:pPr>
            <w:r w:rsidRPr="000B2B22">
              <w:rPr>
                <w:rFonts w:cs="Times New Roman"/>
                <w:b/>
                <w:bCs/>
              </w:rPr>
              <w:t>IRF assessment</w:t>
            </w:r>
          </w:p>
        </w:tc>
      </w:tr>
      <w:tr w:rsidR="005A5348" w:rsidRPr="000B2B22" w14:paraId="37CB11E4"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2306E9DD" w14:textId="77777777" w:rsidR="00047E69" w:rsidRPr="000B2B22" w:rsidRDefault="00047E69" w:rsidP="00F1460D">
            <w:pPr>
              <w:pStyle w:val="a5"/>
              <w:widowControl/>
              <w:rPr>
                <w:rFonts w:cs="Times New Roman"/>
              </w:rPr>
            </w:pPr>
          </w:p>
        </w:tc>
        <w:tc>
          <w:tcPr>
            <w:tcW w:w="823" w:type="pct"/>
            <w:tcBorders>
              <w:top w:val="single" w:sz="5" w:space="0" w:color="000000"/>
              <w:left w:val="single" w:sz="5" w:space="0" w:color="000000"/>
              <w:bottom w:val="single" w:sz="5" w:space="0" w:color="000000"/>
              <w:right w:val="single" w:sz="5" w:space="0" w:color="000000"/>
            </w:tcBorders>
          </w:tcPr>
          <w:p w14:paraId="5B468A77" w14:textId="77777777" w:rsidR="00047E69" w:rsidRPr="000B2B22" w:rsidRDefault="00C210A5" w:rsidP="00F1460D">
            <w:pPr>
              <w:pStyle w:val="a5"/>
              <w:widowControl/>
              <w:jc w:val="center"/>
              <w:rPr>
                <w:rFonts w:cs="Times New Roman"/>
              </w:rPr>
            </w:pPr>
            <w:r w:rsidRPr="000B2B22">
              <w:rPr>
                <w:rFonts w:cs="Times New Roman"/>
              </w:rPr>
              <w:t>Paclitaxel</w:t>
            </w:r>
          </w:p>
          <w:p w14:paraId="3C3AE680" w14:textId="77777777" w:rsidR="00047E69" w:rsidRPr="000B2B22" w:rsidRDefault="00047E69" w:rsidP="00F1460D">
            <w:pPr>
              <w:pStyle w:val="a5"/>
              <w:widowControl/>
              <w:jc w:val="center"/>
              <w:rPr>
                <w:rFonts w:cs="Times New Roman"/>
              </w:rPr>
            </w:pPr>
          </w:p>
          <w:p w14:paraId="3AA98C39" w14:textId="77777777" w:rsidR="00047E69" w:rsidRPr="000B2B22" w:rsidRDefault="00C210A5" w:rsidP="00F1460D">
            <w:pPr>
              <w:pStyle w:val="a5"/>
              <w:widowControl/>
              <w:jc w:val="center"/>
              <w:rPr>
                <w:rFonts w:cs="Times New Roman"/>
              </w:rPr>
            </w:pPr>
            <w:r w:rsidRPr="000B2B22">
              <w:rPr>
                <w:rFonts w:cs="Times New Roman"/>
              </w:rPr>
              <w:t>(n=354)</w:t>
            </w:r>
          </w:p>
        </w:tc>
        <w:tc>
          <w:tcPr>
            <w:tcW w:w="1029" w:type="pct"/>
            <w:tcBorders>
              <w:top w:val="single" w:sz="5" w:space="0" w:color="000000"/>
              <w:left w:val="single" w:sz="5" w:space="0" w:color="000000"/>
              <w:bottom w:val="single" w:sz="5" w:space="0" w:color="000000"/>
              <w:right w:val="single" w:sz="5" w:space="0" w:color="000000"/>
            </w:tcBorders>
          </w:tcPr>
          <w:p w14:paraId="15754ABD" w14:textId="77777777" w:rsidR="00047E69" w:rsidRPr="000B2B22" w:rsidRDefault="00C210A5" w:rsidP="00F1460D">
            <w:pPr>
              <w:pStyle w:val="a5"/>
              <w:widowControl/>
              <w:jc w:val="center"/>
              <w:rPr>
                <w:rFonts w:cs="Times New Roman"/>
              </w:rPr>
            </w:pPr>
            <w:r w:rsidRPr="000B2B22">
              <w:rPr>
                <w:rFonts w:cs="Times New Roman"/>
              </w:rPr>
              <w:t>Paclitaxel/ Bevacizumab (n=368)</w:t>
            </w:r>
          </w:p>
        </w:tc>
        <w:tc>
          <w:tcPr>
            <w:tcW w:w="823" w:type="pct"/>
            <w:tcBorders>
              <w:top w:val="single" w:sz="5" w:space="0" w:color="000000"/>
              <w:left w:val="single" w:sz="5" w:space="0" w:color="000000"/>
              <w:bottom w:val="single" w:sz="5" w:space="0" w:color="000000"/>
              <w:right w:val="single" w:sz="5" w:space="0" w:color="000000"/>
            </w:tcBorders>
          </w:tcPr>
          <w:p w14:paraId="4FC0FAF1" w14:textId="77777777" w:rsidR="00047E69" w:rsidRPr="000B2B22" w:rsidRDefault="00C210A5" w:rsidP="00F1460D">
            <w:pPr>
              <w:pStyle w:val="a5"/>
              <w:widowControl/>
              <w:jc w:val="center"/>
              <w:rPr>
                <w:rFonts w:cs="Times New Roman"/>
              </w:rPr>
            </w:pPr>
            <w:r w:rsidRPr="000B2B22">
              <w:rPr>
                <w:rFonts w:cs="Times New Roman"/>
              </w:rPr>
              <w:t>Paclitaxel</w:t>
            </w:r>
          </w:p>
          <w:p w14:paraId="3967D7ED" w14:textId="77777777" w:rsidR="00047E69" w:rsidRPr="000B2B22" w:rsidRDefault="00047E69" w:rsidP="00F1460D">
            <w:pPr>
              <w:pStyle w:val="a5"/>
              <w:widowControl/>
              <w:jc w:val="center"/>
              <w:rPr>
                <w:rFonts w:cs="Times New Roman"/>
              </w:rPr>
            </w:pPr>
          </w:p>
          <w:p w14:paraId="5FD379E9" w14:textId="77777777" w:rsidR="00047E69" w:rsidRPr="000B2B22" w:rsidRDefault="00C210A5" w:rsidP="00F1460D">
            <w:pPr>
              <w:pStyle w:val="a5"/>
              <w:widowControl/>
              <w:jc w:val="center"/>
              <w:rPr>
                <w:rFonts w:cs="Times New Roman"/>
              </w:rPr>
            </w:pPr>
            <w:r w:rsidRPr="000B2B22">
              <w:rPr>
                <w:rFonts w:cs="Times New Roman"/>
              </w:rPr>
              <w:t>(n=354)</w:t>
            </w:r>
          </w:p>
        </w:tc>
        <w:tc>
          <w:tcPr>
            <w:tcW w:w="1029" w:type="pct"/>
            <w:tcBorders>
              <w:top w:val="single" w:sz="5" w:space="0" w:color="000000"/>
              <w:left w:val="single" w:sz="5" w:space="0" w:color="000000"/>
              <w:bottom w:val="single" w:sz="5" w:space="0" w:color="000000"/>
              <w:right w:val="single" w:sz="5" w:space="0" w:color="000000"/>
            </w:tcBorders>
          </w:tcPr>
          <w:p w14:paraId="4EF8BF2D" w14:textId="77777777" w:rsidR="00047E69" w:rsidRPr="000B2B22" w:rsidRDefault="00C210A5" w:rsidP="00F1460D">
            <w:pPr>
              <w:pStyle w:val="a5"/>
              <w:widowControl/>
              <w:jc w:val="center"/>
              <w:rPr>
                <w:rFonts w:cs="Times New Roman"/>
              </w:rPr>
            </w:pPr>
            <w:r w:rsidRPr="000B2B22">
              <w:rPr>
                <w:rFonts w:cs="Times New Roman"/>
              </w:rPr>
              <w:t>Paclitaxel/ Bevacizumab (n=368)</w:t>
            </w:r>
          </w:p>
        </w:tc>
      </w:tr>
      <w:tr w:rsidR="005A5348" w:rsidRPr="000B2B22" w14:paraId="783BFEBB"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047A2AED" w14:textId="77777777" w:rsidR="00047E69" w:rsidRPr="000B2B22" w:rsidRDefault="00C210A5" w:rsidP="00F1460D">
            <w:pPr>
              <w:pStyle w:val="a5"/>
              <w:widowControl/>
              <w:jc w:val="center"/>
              <w:rPr>
                <w:rFonts w:cs="Times New Roman"/>
              </w:rPr>
            </w:pPr>
            <w:r w:rsidRPr="000B2B22">
              <w:rPr>
                <w:rFonts w:cs="Times New Roman"/>
              </w:rPr>
              <w:t>Median PFS (months)</w:t>
            </w:r>
          </w:p>
        </w:tc>
        <w:tc>
          <w:tcPr>
            <w:tcW w:w="823" w:type="pct"/>
            <w:tcBorders>
              <w:top w:val="single" w:sz="5" w:space="0" w:color="000000"/>
              <w:left w:val="single" w:sz="5" w:space="0" w:color="000000"/>
              <w:bottom w:val="single" w:sz="5" w:space="0" w:color="000000"/>
              <w:right w:val="single" w:sz="5" w:space="0" w:color="000000"/>
            </w:tcBorders>
          </w:tcPr>
          <w:p w14:paraId="5DCD8A6E" w14:textId="77777777" w:rsidR="00047E69" w:rsidRPr="000B2B22" w:rsidRDefault="00C210A5" w:rsidP="00F1460D">
            <w:pPr>
              <w:pStyle w:val="a5"/>
              <w:widowControl/>
              <w:jc w:val="center"/>
              <w:rPr>
                <w:rFonts w:cs="Times New Roman"/>
              </w:rPr>
            </w:pPr>
            <w:r w:rsidRPr="000B2B22">
              <w:rPr>
                <w:rFonts w:cs="Times New Roman"/>
              </w:rPr>
              <w:t>5.8</w:t>
            </w:r>
          </w:p>
        </w:tc>
        <w:tc>
          <w:tcPr>
            <w:tcW w:w="1029" w:type="pct"/>
            <w:tcBorders>
              <w:top w:val="single" w:sz="5" w:space="0" w:color="000000"/>
              <w:left w:val="single" w:sz="5" w:space="0" w:color="000000"/>
              <w:bottom w:val="single" w:sz="5" w:space="0" w:color="000000"/>
              <w:right w:val="single" w:sz="5" w:space="0" w:color="000000"/>
            </w:tcBorders>
          </w:tcPr>
          <w:p w14:paraId="314490FA" w14:textId="77777777" w:rsidR="00047E69" w:rsidRPr="000B2B22" w:rsidRDefault="00C210A5" w:rsidP="00F1460D">
            <w:pPr>
              <w:pStyle w:val="a5"/>
              <w:widowControl/>
              <w:jc w:val="center"/>
              <w:rPr>
                <w:rFonts w:cs="Times New Roman"/>
              </w:rPr>
            </w:pPr>
            <w:r w:rsidRPr="000B2B22">
              <w:rPr>
                <w:rFonts w:cs="Times New Roman"/>
              </w:rPr>
              <w:t>11.4</w:t>
            </w:r>
          </w:p>
        </w:tc>
        <w:tc>
          <w:tcPr>
            <w:tcW w:w="823" w:type="pct"/>
            <w:tcBorders>
              <w:top w:val="single" w:sz="5" w:space="0" w:color="000000"/>
              <w:left w:val="single" w:sz="5" w:space="0" w:color="000000"/>
              <w:bottom w:val="single" w:sz="5" w:space="0" w:color="000000"/>
              <w:right w:val="single" w:sz="5" w:space="0" w:color="000000"/>
            </w:tcBorders>
          </w:tcPr>
          <w:p w14:paraId="2E7A99B1" w14:textId="77777777" w:rsidR="00047E69" w:rsidRPr="000B2B22" w:rsidRDefault="00C210A5" w:rsidP="00F1460D">
            <w:pPr>
              <w:pStyle w:val="a5"/>
              <w:widowControl/>
              <w:jc w:val="center"/>
              <w:rPr>
                <w:rFonts w:cs="Times New Roman"/>
              </w:rPr>
            </w:pPr>
            <w:r w:rsidRPr="000B2B22">
              <w:rPr>
                <w:rFonts w:cs="Times New Roman"/>
              </w:rPr>
              <w:t>5.8</w:t>
            </w:r>
          </w:p>
        </w:tc>
        <w:tc>
          <w:tcPr>
            <w:tcW w:w="1029" w:type="pct"/>
            <w:tcBorders>
              <w:top w:val="single" w:sz="5" w:space="0" w:color="000000"/>
              <w:left w:val="single" w:sz="5" w:space="0" w:color="000000"/>
              <w:bottom w:val="single" w:sz="5" w:space="0" w:color="000000"/>
              <w:right w:val="single" w:sz="5" w:space="0" w:color="000000"/>
            </w:tcBorders>
          </w:tcPr>
          <w:p w14:paraId="3066F118" w14:textId="77777777" w:rsidR="00047E69" w:rsidRPr="000B2B22" w:rsidRDefault="00C210A5" w:rsidP="00F1460D">
            <w:pPr>
              <w:pStyle w:val="a5"/>
              <w:widowControl/>
              <w:jc w:val="center"/>
              <w:rPr>
                <w:rFonts w:cs="Times New Roman"/>
              </w:rPr>
            </w:pPr>
            <w:r w:rsidRPr="000B2B22">
              <w:rPr>
                <w:rFonts w:cs="Times New Roman"/>
              </w:rPr>
              <w:t>11.3</w:t>
            </w:r>
          </w:p>
        </w:tc>
      </w:tr>
      <w:tr w:rsidR="00A27683" w:rsidRPr="000B2B22" w14:paraId="1F5AC2E2"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vAlign w:val="center"/>
          </w:tcPr>
          <w:p w14:paraId="5D9B402B" w14:textId="048B9634" w:rsidR="009D2843" w:rsidRPr="000B2B22" w:rsidRDefault="00C210A5" w:rsidP="00F1460D">
            <w:pPr>
              <w:pStyle w:val="a5"/>
              <w:widowControl/>
              <w:jc w:val="center"/>
              <w:rPr>
                <w:rFonts w:cs="Times New Roman"/>
              </w:rPr>
            </w:pPr>
            <w:r w:rsidRPr="000B2B22">
              <w:rPr>
                <w:rFonts w:cs="Times New Roman"/>
              </w:rPr>
              <w:t>HR</w:t>
            </w:r>
          </w:p>
          <w:p w14:paraId="30A8440B" w14:textId="58BCC9EC" w:rsidR="00047E69" w:rsidRPr="000B2B22" w:rsidRDefault="00C210A5" w:rsidP="00F1460D">
            <w:pPr>
              <w:pStyle w:val="a5"/>
              <w:widowControl/>
              <w:jc w:val="center"/>
              <w:rPr>
                <w:rFonts w:cs="Times New Roman"/>
              </w:rPr>
            </w:pPr>
            <w:r w:rsidRPr="000B2B22">
              <w:rPr>
                <w:rFonts w:cs="Times New Roman"/>
              </w:rPr>
              <w:t>(95% CI)</w:t>
            </w:r>
          </w:p>
        </w:tc>
        <w:tc>
          <w:tcPr>
            <w:tcW w:w="1852" w:type="pct"/>
            <w:gridSpan w:val="2"/>
            <w:tcBorders>
              <w:top w:val="single" w:sz="5" w:space="0" w:color="000000"/>
              <w:left w:val="single" w:sz="5" w:space="0" w:color="000000"/>
              <w:bottom w:val="single" w:sz="5" w:space="0" w:color="000000"/>
              <w:right w:val="single" w:sz="5" w:space="0" w:color="000000"/>
            </w:tcBorders>
          </w:tcPr>
          <w:p w14:paraId="42473A6E" w14:textId="77777777" w:rsidR="00047E69" w:rsidRPr="000B2B22" w:rsidRDefault="00C210A5" w:rsidP="00F1460D">
            <w:pPr>
              <w:pStyle w:val="a5"/>
              <w:widowControl/>
              <w:jc w:val="center"/>
              <w:rPr>
                <w:rFonts w:cs="Times New Roman"/>
              </w:rPr>
            </w:pPr>
            <w:r w:rsidRPr="000B2B22">
              <w:rPr>
                <w:rFonts w:cs="Times New Roman"/>
              </w:rPr>
              <w:t>0.421</w:t>
            </w:r>
          </w:p>
          <w:p w14:paraId="41995F09" w14:textId="77777777" w:rsidR="00047E69" w:rsidRPr="000B2B22" w:rsidRDefault="00C210A5" w:rsidP="00F1460D">
            <w:pPr>
              <w:pStyle w:val="a5"/>
              <w:widowControl/>
              <w:jc w:val="center"/>
              <w:rPr>
                <w:rFonts w:cs="Times New Roman"/>
              </w:rPr>
            </w:pPr>
            <w:r w:rsidRPr="000B2B22">
              <w:rPr>
                <w:rFonts w:cs="Times New Roman"/>
              </w:rPr>
              <w:t>(0.343; 0.516)</w:t>
            </w:r>
          </w:p>
        </w:tc>
        <w:tc>
          <w:tcPr>
            <w:tcW w:w="1852" w:type="pct"/>
            <w:gridSpan w:val="2"/>
            <w:tcBorders>
              <w:top w:val="single" w:sz="5" w:space="0" w:color="000000"/>
              <w:left w:val="single" w:sz="5" w:space="0" w:color="000000"/>
              <w:bottom w:val="single" w:sz="5" w:space="0" w:color="000000"/>
              <w:right w:val="single" w:sz="5" w:space="0" w:color="000000"/>
            </w:tcBorders>
          </w:tcPr>
          <w:p w14:paraId="33DFA447" w14:textId="77777777" w:rsidR="00047E69" w:rsidRPr="000B2B22" w:rsidRDefault="00C210A5" w:rsidP="00F1460D">
            <w:pPr>
              <w:pStyle w:val="a5"/>
              <w:widowControl/>
              <w:jc w:val="center"/>
              <w:rPr>
                <w:rFonts w:cs="Times New Roman"/>
              </w:rPr>
            </w:pPr>
            <w:r w:rsidRPr="000B2B22">
              <w:rPr>
                <w:rFonts w:cs="Times New Roman"/>
              </w:rPr>
              <w:t>0.483</w:t>
            </w:r>
          </w:p>
          <w:p w14:paraId="25AE00A0" w14:textId="77777777" w:rsidR="00047E69" w:rsidRPr="000B2B22" w:rsidRDefault="00C210A5" w:rsidP="00F1460D">
            <w:pPr>
              <w:pStyle w:val="a5"/>
              <w:widowControl/>
              <w:jc w:val="center"/>
              <w:rPr>
                <w:rFonts w:cs="Times New Roman"/>
              </w:rPr>
            </w:pPr>
            <w:r w:rsidRPr="000B2B22">
              <w:rPr>
                <w:rFonts w:cs="Times New Roman"/>
              </w:rPr>
              <w:t>(0.385; 0.607)</w:t>
            </w:r>
          </w:p>
        </w:tc>
      </w:tr>
      <w:tr w:rsidR="00A27683" w:rsidRPr="000B2B22" w14:paraId="7FE6CC16"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vAlign w:val="center"/>
          </w:tcPr>
          <w:p w14:paraId="77F319E3" w14:textId="7A0DE942" w:rsidR="00047E69" w:rsidRPr="000B2B22" w:rsidRDefault="00C210A5" w:rsidP="00F1460D">
            <w:pPr>
              <w:pStyle w:val="a5"/>
              <w:widowControl/>
              <w:jc w:val="center"/>
              <w:rPr>
                <w:rFonts w:cs="Times New Roman"/>
              </w:rPr>
            </w:pPr>
            <w:r w:rsidRPr="000B2B22">
              <w:rPr>
                <w:rFonts w:cs="Times New Roman"/>
              </w:rPr>
              <w:t>p</w:t>
            </w:r>
            <w:r w:rsidR="00FD0731" w:rsidRPr="000B2B22">
              <w:rPr>
                <w:rFonts w:cs="Times New Roman"/>
              </w:rPr>
              <w:noBreakHyphen/>
            </w:r>
            <w:r w:rsidRPr="000B2B22">
              <w:rPr>
                <w:rFonts w:cs="Times New Roman"/>
              </w:rPr>
              <w:t>value</w:t>
            </w:r>
          </w:p>
        </w:tc>
        <w:tc>
          <w:tcPr>
            <w:tcW w:w="1852" w:type="pct"/>
            <w:gridSpan w:val="2"/>
            <w:tcBorders>
              <w:top w:val="single" w:sz="5" w:space="0" w:color="000000"/>
              <w:left w:val="single" w:sz="5" w:space="0" w:color="000000"/>
              <w:bottom w:val="single" w:sz="5" w:space="0" w:color="000000"/>
              <w:right w:val="single" w:sz="5" w:space="0" w:color="000000"/>
            </w:tcBorders>
            <w:vAlign w:val="center"/>
          </w:tcPr>
          <w:p w14:paraId="443505BC" w14:textId="77777777" w:rsidR="00047E69" w:rsidRPr="000B2B22" w:rsidRDefault="00C210A5" w:rsidP="00F1460D">
            <w:pPr>
              <w:pStyle w:val="a5"/>
              <w:widowControl/>
              <w:jc w:val="center"/>
              <w:rPr>
                <w:rFonts w:cs="Times New Roman"/>
              </w:rPr>
            </w:pPr>
            <w:r w:rsidRPr="000B2B22">
              <w:rPr>
                <w:rFonts w:cs="Times New Roman"/>
              </w:rPr>
              <w:t>&lt; 0.0001</w:t>
            </w:r>
          </w:p>
        </w:tc>
        <w:tc>
          <w:tcPr>
            <w:tcW w:w="1852" w:type="pct"/>
            <w:gridSpan w:val="2"/>
            <w:tcBorders>
              <w:top w:val="single" w:sz="5" w:space="0" w:color="000000"/>
              <w:left w:val="single" w:sz="5" w:space="0" w:color="000000"/>
              <w:bottom w:val="single" w:sz="5" w:space="0" w:color="000000"/>
              <w:right w:val="single" w:sz="5" w:space="0" w:color="000000"/>
            </w:tcBorders>
            <w:vAlign w:val="center"/>
          </w:tcPr>
          <w:p w14:paraId="4129E945" w14:textId="77777777" w:rsidR="00047E69" w:rsidRPr="000B2B22" w:rsidRDefault="00C210A5" w:rsidP="00F1460D">
            <w:pPr>
              <w:pStyle w:val="a5"/>
              <w:widowControl/>
              <w:jc w:val="center"/>
              <w:rPr>
                <w:rFonts w:cs="Times New Roman"/>
              </w:rPr>
            </w:pPr>
            <w:r w:rsidRPr="000B2B22">
              <w:rPr>
                <w:rFonts w:cs="Times New Roman"/>
              </w:rPr>
              <w:t>&lt; 0.0001</w:t>
            </w:r>
          </w:p>
        </w:tc>
      </w:tr>
      <w:tr w:rsidR="00A27683" w:rsidRPr="000B2B22" w14:paraId="600E986D" w14:textId="77777777" w:rsidTr="004228B0">
        <w:trPr>
          <w:trHeight w:val="20"/>
        </w:trPr>
        <w:tc>
          <w:tcPr>
            <w:tcW w:w="5000" w:type="pct"/>
            <w:gridSpan w:val="5"/>
            <w:tcBorders>
              <w:top w:val="single" w:sz="5" w:space="0" w:color="000000"/>
              <w:left w:val="single" w:sz="5" w:space="0" w:color="000000"/>
              <w:bottom w:val="single" w:sz="5" w:space="0" w:color="000000"/>
              <w:right w:val="single" w:sz="5" w:space="0" w:color="000000"/>
            </w:tcBorders>
          </w:tcPr>
          <w:p w14:paraId="543067E5" w14:textId="77777777" w:rsidR="00047E69" w:rsidRPr="000B2B22" w:rsidRDefault="00C210A5" w:rsidP="00F1460D">
            <w:pPr>
              <w:pStyle w:val="a5"/>
              <w:widowControl/>
              <w:rPr>
                <w:rFonts w:cs="Times New Roman"/>
                <w:b/>
                <w:bCs/>
              </w:rPr>
            </w:pPr>
            <w:r w:rsidRPr="000B2B22">
              <w:rPr>
                <w:rFonts w:cs="Times New Roman"/>
                <w:b/>
                <w:bCs/>
              </w:rPr>
              <w:t>Response rates (for patients with measurable disease)</w:t>
            </w:r>
          </w:p>
        </w:tc>
      </w:tr>
      <w:tr w:rsidR="00A27683" w:rsidRPr="000B2B22" w14:paraId="43B4EF09"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2AFA7E71" w14:textId="77777777" w:rsidR="00047E69" w:rsidRPr="000B2B22" w:rsidRDefault="00047E69" w:rsidP="00F1460D">
            <w:pPr>
              <w:pStyle w:val="a5"/>
              <w:widowControl/>
              <w:rPr>
                <w:rFonts w:cs="Times New Roman"/>
                <w:b/>
                <w:bCs/>
              </w:rPr>
            </w:pPr>
          </w:p>
        </w:tc>
        <w:tc>
          <w:tcPr>
            <w:tcW w:w="1852" w:type="pct"/>
            <w:gridSpan w:val="2"/>
            <w:tcBorders>
              <w:top w:val="single" w:sz="5" w:space="0" w:color="000000"/>
              <w:left w:val="single" w:sz="5" w:space="0" w:color="000000"/>
              <w:bottom w:val="single" w:sz="5" w:space="0" w:color="000000"/>
              <w:right w:val="single" w:sz="5" w:space="0" w:color="000000"/>
            </w:tcBorders>
          </w:tcPr>
          <w:p w14:paraId="66D17DA7" w14:textId="77777777" w:rsidR="00047E69" w:rsidRPr="000B2B22" w:rsidRDefault="00C210A5" w:rsidP="00F1460D">
            <w:pPr>
              <w:pStyle w:val="a5"/>
              <w:widowControl/>
              <w:jc w:val="center"/>
              <w:rPr>
                <w:rFonts w:cs="Times New Roman"/>
                <w:b/>
                <w:bCs/>
              </w:rPr>
            </w:pPr>
            <w:r w:rsidRPr="000B2B22">
              <w:rPr>
                <w:rFonts w:cs="Times New Roman"/>
                <w:b/>
                <w:bCs/>
              </w:rPr>
              <w:t>Investigator assessment</w:t>
            </w:r>
          </w:p>
        </w:tc>
        <w:tc>
          <w:tcPr>
            <w:tcW w:w="1852" w:type="pct"/>
            <w:gridSpan w:val="2"/>
            <w:tcBorders>
              <w:top w:val="single" w:sz="5" w:space="0" w:color="000000"/>
              <w:left w:val="single" w:sz="5" w:space="0" w:color="000000"/>
              <w:bottom w:val="single" w:sz="5" w:space="0" w:color="000000"/>
              <w:right w:val="single" w:sz="5" w:space="0" w:color="000000"/>
            </w:tcBorders>
          </w:tcPr>
          <w:p w14:paraId="0DCE7040" w14:textId="77777777" w:rsidR="00047E69" w:rsidRPr="000B2B22" w:rsidRDefault="00C210A5" w:rsidP="00F1460D">
            <w:pPr>
              <w:pStyle w:val="a5"/>
              <w:widowControl/>
              <w:jc w:val="center"/>
              <w:rPr>
                <w:rFonts w:cs="Times New Roman"/>
                <w:b/>
                <w:bCs/>
              </w:rPr>
            </w:pPr>
            <w:r w:rsidRPr="000B2B22">
              <w:rPr>
                <w:rFonts w:cs="Times New Roman"/>
                <w:b/>
                <w:bCs/>
              </w:rPr>
              <w:t>IRF assessment</w:t>
            </w:r>
          </w:p>
        </w:tc>
      </w:tr>
      <w:tr w:rsidR="005A5348" w:rsidRPr="000B2B22" w14:paraId="604EC25E"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0F43176C" w14:textId="77777777" w:rsidR="00047E69" w:rsidRPr="000B2B22" w:rsidRDefault="00047E69" w:rsidP="00F1460D">
            <w:pPr>
              <w:pStyle w:val="a5"/>
              <w:widowControl/>
              <w:rPr>
                <w:rFonts w:cs="Times New Roman"/>
              </w:rPr>
            </w:pPr>
          </w:p>
        </w:tc>
        <w:tc>
          <w:tcPr>
            <w:tcW w:w="823" w:type="pct"/>
            <w:tcBorders>
              <w:top w:val="single" w:sz="5" w:space="0" w:color="000000"/>
              <w:left w:val="single" w:sz="5" w:space="0" w:color="000000"/>
              <w:bottom w:val="single" w:sz="5" w:space="0" w:color="000000"/>
              <w:right w:val="single" w:sz="5" w:space="0" w:color="000000"/>
            </w:tcBorders>
          </w:tcPr>
          <w:p w14:paraId="1BE633F9" w14:textId="77777777" w:rsidR="00047E69" w:rsidRPr="000B2B22" w:rsidRDefault="00C210A5" w:rsidP="00F1460D">
            <w:pPr>
              <w:pStyle w:val="a5"/>
              <w:widowControl/>
              <w:jc w:val="center"/>
              <w:rPr>
                <w:rFonts w:cs="Times New Roman"/>
              </w:rPr>
            </w:pPr>
            <w:r w:rsidRPr="000B2B22">
              <w:rPr>
                <w:rFonts w:cs="Times New Roman"/>
              </w:rPr>
              <w:t>Paclitaxel</w:t>
            </w:r>
          </w:p>
          <w:p w14:paraId="69649199" w14:textId="77777777" w:rsidR="00047E69" w:rsidRPr="000B2B22" w:rsidRDefault="00047E69" w:rsidP="00F1460D">
            <w:pPr>
              <w:pStyle w:val="a5"/>
              <w:widowControl/>
              <w:jc w:val="center"/>
              <w:rPr>
                <w:rFonts w:cs="Times New Roman"/>
              </w:rPr>
            </w:pPr>
          </w:p>
          <w:p w14:paraId="523298FC" w14:textId="77777777" w:rsidR="00047E69" w:rsidRPr="000B2B22" w:rsidRDefault="00C210A5" w:rsidP="00F1460D">
            <w:pPr>
              <w:pStyle w:val="a5"/>
              <w:widowControl/>
              <w:jc w:val="center"/>
              <w:rPr>
                <w:rFonts w:cs="Times New Roman"/>
              </w:rPr>
            </w:pPr>
            <w:r w:rsidRPr="000B2B22">
              <w:rPr>
                <w:rFonts w:cs="Times New Roman"/>
              </w:rPr>
              <w:t>(n=273)</w:t>
            </w:r>
          </w:p>
        </w:tc>
        <w:tc>
          <w:tcPr>
            <w:tcW w:w="1029" w:type="pct"/>
            <w:tcBorders>
              <w:top w:val="single" w:sz="5" w:space="0" w:color="000000"/>
              <w:left w:val="single" w:sz="5" w:space="0" w:color="000000"/>
              <w:bottom w:val="single" w:sz="5" w:space="0" w:color="000000"/>
              <w:right w:val="single" w:sz="5" w:space="0" w:color="000000"/>
            </w:tcBorders>
          </w:tcPr>
          <w:p w14:paraId="7A23E5CB" w14:textId="77777777" w:rsidR="00047E69" w:rsidRPr="000B2B22" w:rsidRDefault="00C210A5" w:rsidP="00F1460D">
            <w:pPr>
              <w:pStyle w:val="a5"/>
              <w:widowControl/>
              <w:jc w:val="center"/>
              <w:rPr>
                <w:rFonts w:cs="Times New Roman"/>
              </w:rPr>
            </w:pPr>
            <w:r w:rsidRPr="000B2B22">
              <w:rPr>
                <w:rFonts w:cs="Times New Roman"/>
              </w:rPr>
              <w:t>Paclitaxel/ Bevacizumab (n=252)</w:t>
            </w:r>
          </w:p>
        </w:tc>
        <w:tc>
          <w:tcPr>
            <w:tcW w:w="823" w:type="pct"/>
            <w:tcBorders>
              <w:top w:val="single" w:sz="5" w:space="0" w:color="000000"/>
              <w:left w:val="single" w:sz="5" w:space="0" w:color="000000"/>
              <w:bottom w:val="single" w:sz="5" w:space="0" w:color="000000"/>
              <w:right w:val="single" w:sz="5" w:space="0" w:color="000000"/>
            </w:tcBorders>
          </w:tcPr>
          <w:p w14:paraId="4E338C50" w14:textId="77777777" w:rsidR="00047E69" w:rsidRPr="000B2B22" w:rsidRDefault="00C210A5" w:rsidP="00F1460D">
            <w:pPr>
              <w:pStyle w:val="a5"/>
              <w:widowControl/>
              <w:jc w:val="center"/>
              <w:rPr>
                <w:rFonts w:cs="Times New Roman"/>
              </w:rPr>
            </w:pPr>
            <w:r w:rsidRPr="000B2B22">
              <w:rPr>
                <w:rFonts w:cs="Times New Roman"/>
              </w:rPr>
              <w:t>Paclitaxel</w:t>
            </w:r>
          </w:p>
          <w:p w14:paraId="2A9AC4BC" w14:textId="77777777" w:rsidR="00047E69" w:rsidRPr="000B2B22" w:rsidRDefault="00047E69" w:rsidP="00F1460D">
            <w:pPr>
              <w:pStyle w:val="a5"/>
              <w:widowControl/>
              <w:jc w:val="center"/>
              <w:rPr>
                <w:rFonts w:cs="Times New Roman"/>
              </w:rPr>
            </w:pPr>
          </w:p>
          <w:p w14:paraId="0E7A3AD0" w14:textId="77777777" w:rsidR="00047E69" w:rsidRPr="000B2B22" w:rsidRDefault="00C210A5" w:rsidP="00F1460D">
            <w:pPr>
              <w:pStyle w:val="a5"/>
              <w:widowControl/>
              <w:jc w:val="center"/>
              <w:rPr>
                <w:rFonts w:cs="Times New Roman"/>
              </w:rPr>
            </w:pPr>
            <w:r w:rsidRPr="000B2B22">
              <w:rPr>
                <w:rFonts w:cs="Times New Roman"/>
              </w:rPr>
              <w:t>(n=243)</w:t>
            </w:r>
          </w:p>
        </w:tc>
        <w:tc>
          <w:tcPr>
            <w:tcW w:w="1029" w:type="pct"/>
            <w:tcBorders>
              <w:top w:val="single" w:sz="5" w:space="0" w:color="000000"/>
              <w:left w:val="single" w:sz="5" w:space="0" w:color="000000"/>
              <w:bottom w:val="single" w:sz="5" w:space="0" w:color="000000"/>
              <w:right w:val="single" w:sz="5" w:space="0" w:color="000000"/>
            </w:tcBorders>
          </w:tcPr>
          <w:p w14:paraId="022F013A" w14:textId="77777777" w:rsidR="00047E69" w:rsidRPr="000B2B22" w:rsidRDefault="00C210A5" w:rsidP="00F1460D">
            <w:pPr>
              <w:pStyle w:val="a5"/>
              <w:widowControl/>
              <w:jc w:val="center"/>
              <w:rPr>
                <w:rFonts w:cs="Times New Roman"/>
              </w:rPr>
            </w:pPr>
            <w:r w:rsidRPr="000B2B22">
              <w:rPr>
                <w:rFonts w:cs="Times New Roman"/>
              </w:rPr>
              <w:t>Paclitaxel/ Bevacizumab (n=229)</w:t>
            </w:r>
          </w:p>
        </w:tc>
      </w:tr>
      <w:tr w:rsidR="005A5348" w:rsidRPr="000B2B22" w14:paraId="47D7EA8D"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4883881C" w14:textId="77777777" w:rsidR="00047E69" w:rsidRPr="000B2B22" w:rsidRDefault="00C210A5" w:rsidP="00F1460D">
            <w:pPr>
              <w:pStyle w:val="a5"/>
              <w:widowControl/>
              <w:jc w:val="center"/>
              <w:rPr>
                <w:rFonts w:cs="Times New Roman"/>
              </w:rPr>
            </w:pPr>
            <w:r w:rsidRPr="000B2B22">
              <w:rPr>
                <w:rFonts w:cs="Times New Roman"/>
              </w:rPr>
              <w:t>% pts with objective response</w:t>
            </w:r>
          </w:p>
        </w:tc>
        <w:tc>
          <w:tcPr>
            <w:tcW w:w="823" w:type="pct"/>
            <w:tcBorders>
              <w:top w:val="single" w:sz="5" w:space="0" w:color="000000"/>
              <w:left w:val="single" w:sz="5" w:space="0" w:color="000000"/>
              <w:bottom w:val="single" w:sz="5" w:space="0" w:color="000000"/>
              <w:right w:val="single" w:sz="5" w:space="0" w:color="000000"/>
            </w:tcBorders>
          </w:tcPr>
          <w:p w14:paraId="79098398" w14:textId="77777777" w:rsidR="00047E69" w:rsidRPr="000B2B22" w:rsidRDefault="00C210A5" w:rsidP="00F1460D">
            <w:pPr>
              <w:pStyle w:val="a5"/>
              <w:widowControl/>
              <w:jc w:val="center"/>
              <w:rPr>
                <w:rFonts w:cs="Times New Roman"/>
              </w:rPr>
            </w:pPr>
            <w:r w:rsidRPr="000B2B22">
              <w:rPr>
                <w:rFonts w:cs="Times New Roman"/>
              </w:rPr>
              <w:t>23.4</w:t>
            </w:r>
          </w:p>
        </w:tc>
        <w:tc>
          <w:tcPr>
            <w:tcW w:w="1029" w:type="pct"/>
            <w:tcBorders>
              <w:top w:val="single" w:sz="5" w:space="0" w:color="000000"/>
              <w:left w:val="single" w:sz="5" w:space="0" w:color="000000"/>
              <w:bottom w:val="single" w:sz="5" w:space="0" w:color="000000"/>
              <w:right w:val="single" w:sz="5" w:space="0" w:color="000000"/>
            </w:tcBorders>
          </w:tcPr>
          <w:p w14:paraId="7D0A4DDC" w14:textId="77777777" w:rsidR="00047E69" w:rsidRPr="000B2B22" w:rsidRDefault="00C210A5" w:rsidP="00F1460D">
            <w:pPr>
              <w:pStyle w:val="a5"/>
              <w:widowControl/>
              <w:jc w:val="center"/>
              <w:rPr>
                <w:rFonts w:cs="Times New Roman"/>
              </w:rPr>
            </w:pPr>
            <w:r w:rsidRPr="000B2B22">
              <w:rPr>
                <w:rFonts w:cs="Times New Roman"/>
              </w:rPr>
              <w:t>48.0</w:t>
            </w:r>
          </w:p>
        </w:tc>
        <w:tc>
          <w:tcPr>
            <w:tcW w:w="823" w:type="pct"/>
            <w:tcBorders>
              <w:top w:val="single" w:sz="5" w:space="0" w:color="000000"/>
              <w:left w:val="single" w:sz="5" w:space="0" w:color="000000"/>
              <w:bottom w:val="single" w:sz="5" w:space="0" w:color="000000"/>
              <w:right w:val="single" w:sz="5" w:space="0" w:color="000000"/>
            </w:tcBorders>
          </w:tcPr>
          <w:p w14:paraId="0F59E3A4" w14:textId="77777777" w:rsidR="00047E69" w:rsidRPr="000B2B22" w:rsidRDefault="00C210A5" w:rsidP="00F1460D">
            <w:pPr>
              <w:pStyle w:val="a5"/>
              <w:widowControl/>
              <w:jc w:val="center"/>
              <w:rPr>
                <w:rFonts w:cs="Times New Roman"/>
              </w:rPr>
            </w:pPr>
            <w:r w:rsidRPr="000B2B22">
              <w:rPr>
                <w:rFonts w:cs="Times New Roman"/>
              </w:rPr>
              <w:t>22.2</w:t>
            </w:r>
          </w:p>
        </w:tc>
        <w:tc>
          <w:tcPr>
            <w:tcW w:w="1029" w:type="pct"/>
            <w:tcBorders>
              <w:top w:val="single" w:sz="5" w:space="0" w:color="000000"/>
              <w:left w:val="single" w:sz="5" w:space="0" w:color="000000"/>
              <w:bottom w:val="single" w:sz="5" w:space="0" w:color="000000"/>
              <w:right w:val="single" w:sz="5" w:space="0" w:color="000000"/>
            </w:tcBorders>
          </w:tcPr>
          <w:p w14:paraId="067EC1A7" w14:textId="77777777" w:rsidR="00047E69" w:rsidRPr="000B2B22" w:rsidRDefault="00C210A5" w:rsidP="00F1460D">
            <w:pPr>
              <w:pStyle w:val="a5"/>
              <w:widowControl/>
              <w:jc w:val="center"/>
              <w:rPr>
                <w:rFonts w:cs="Times New Roman"/>
              </w:rPr>
            </w:pPr>
            <w:r w:rsidRPr="000B2B22">
              <w:rPr>
                <w:rFonts w:cs="Times New Roman"/>
              </w:rPr>
              <w:t>49.8</w:t>
            </w:r>
          </w:p>
        </w:tc>
      </w:tr>
      <w:tr w:rsidR="00A27683" w:rsidRPr="000B2B22" w14:paraId="42F4BB7A"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414DF69E" w14:textId="02BA74CD" w:rsidR="00047E69" w:rsidRPr="000B2B22" w:rsidRDefault="00C210A5" w:rsidP="00F1460D">
            <w:pPr>
              <w:pStyle w:val="a5"/>
              <w:widowControl/>
              <w:jc w:val="center"/>
              <w:rPr>
                <w:rFonts w:cs="Times New Roman"/>
              </w:rPr>
            </w:pPr>
            <w:r w:rsidRPr="000B2B22">
              <w:rPr>
                <w:rFonts w:cs="Times New Roman"/>
              </w:rPr>
              <w:t>p</w:t>
            </w:r>
            <w:r w:rsidR="00FD0731" w:rsidRPr="000B2B22">
              <w:rPr>
                <w:rFonts w:cs="Times New Roman"/>
              </w:rPr>
              <w:noBreakHyphen/>
            </w:r>
            <w:r w:rsidRPr="000B2B22">
              <w:rPr>
                <w:rFonts w:cs="Times New Roman"/>
              </w:rPr>
              <w:t>value</w:t>
            </w:r>
          </w:p>
        </w:tc>
        <w:tc>
          <w:tcPr>
            <w:tcW w:w="1852" w:type="pct"/>
            <w:gridSpan w:val="2"/>
            <w:tcBorders>
              <w:top w:val="single" w:sz="5" w:space="0" w:color="000000"/>
              <w:left w:val="single" w:sz="5" w:space="0" w:color="000000"/>
              <w:bottom w:val="single" w:sz="5" w:space="0" w:color="000000"/>
              <w:right w:val="single" w:sz="5" w:space="0" w:color="000000"/>
            </w:tcBorders>
          </w:tcPr>
          <w:p w14:paraId="66FAEB9B" w14:textId="77777777" w:rsidR="00047E69" w:rsidRPr="000B2B22" w:rsidRDefault="00C210A5" w:rsidP="00F1460D">
            <w:pPr>
              <w:pStyle w:val="a5"/>
              <w:widowControl/>
              <w:jc w:val="center"/>
              <w:rPr>
                <w:rFonts w:cs="Times New Roman"/>
              </w:rPr>
            </w:pPr>
            <w:r w:rsidRPr="000B2B22">
              <w:rPr>
                <w:rFonts w:cs="Times New Roman"/>
              </w:rPr>
              <w:t>&lt; 0.0001</w:t>
            </w:r>
          </w:p>
        </w:tc>
        <w:tc>
          <w:tcPr>
            <w:tcW w:w="1852" w:type="pct"/>
            <w:gridSpan w:val="2"/>
            <w:tcBorders>
              <w:top w:val="single" w:sz="5" w:space="0" w:color="000000"/>
              <w:left w:val="single" w:sz="5" w:space="0" w:color="000000"/>
              <w:bottom w:val="single" w:sz="5" w:space="0" w:color="000000"/>
              <w:right w:val="single" w:sz="5" w:space="0" w:color="000000"/>
            </w:tcBorders>
          </w:tcPr>
          <w:p w14:paraId="432D7BD7" w14:textId="77777777" w:rsidR="00047E69" w:rsidRPr="000B2B22" w:rsidRDefault="00C210A5" w:rsidP="00F1460D">
            <w:pPr>
              <w:pStyle w:val="a5"/>
              <w:widowControl/>
              <w:jc w:val="center"/>
              <w:rPr>
                <w:rFonts w:cs="Times New Roman"/>
              </w:rPr>
            </w:pPr>
            <w:r w:rsidRPr="000B2B22">
              <w:rPr>
                <w:rFonts w:cs="Times New Roman"/>
              </w:rPr>
              <w:t>&lt; 0.0001</w:t>
            </w:r>
          </w:p>
        </w:tc>
      </w:tr>
    </w:tbl>
    <w:p w14:paraId="1838085A" w14:textId="77777777" w:rsidR="001F1DFD" w:rsidRPr="000B2B22" w:rsidRDefault="001F1DFD" w:rsidP="00F1460D">
      <w:pPr>
        <w:widowControl/>
        <w:rPr>
          <w:rFonts w:ascii="Times New Roman" w:eastAsia="Times New Roman" w:hAnsi="Times New Roman" w:cs="Times New Roman"/>
          <w:sz w:val="20"/>
          <w:szCs w:val="20"/>
        </w:rPr>
      </w:pPr>
      <w:r w:rsidRPr="000B2B22">
        <w:rPr>
          <w:rFonts w:ascii="Times New Roman"/>
          <w:sz w:val="20"/>
        </w:rPr>
        <w:t>* primary analysis</w:t>
      </w:r>
    </w:p>
    <w:p w14:paraId="472F42E8" w14:textId="77777777" w:rsidR="001F1DFD" w:rsidRPr="000B2B22" w:rsidRDefault="001F1DFD" w:rsidP="00F1460D">
      <w:pPr>
        <w:widowControl/>
      </w:pPr>
    </w:p>
    <w:tbl>
      <w:tblPr>
        <w:tblStyle w:val="TableNormal0"/>
        <w:tblW w:w="5000" w:type="pct"/>
        <w:tblLayout w:type="fixed"/>
        <w:tblCellMar>
          <w:left w:w="108" w:type="dxa"/>
          <w:right w:w="108" w:type="dxa"/>
        </w:tblCellMar>
        <w:tblLook w:val="01E0" w:firstRow="1" w:lastRow="1" w:firstColumn="1" w:lastColumn="1" w:noHBand="0" w:noVBand="0"/>
      </w:tblPr>
      <w:tblGrid>
        <w:gridCol w:w="2348"/>
        <w:gridCol w:w="3357"/>
        <w:gridCol w:w="3357"/>
      </w:tblGrid>
      <w:tr w:rsidR="00A27683" w:rsidRPr="000B2B22" w14:paraId="2729C855" w14:textId="77777777" w:rsidTr="004228B0">
        <w:trPr>
          <w:trHeight w:val="20"/>
        </w:trPr>
        <w:tc>
          <w:tcPr>
            <w:tcW w:w="1296" w:type="pct"/>
            <w:tcBorders>
              <w:top w:val="single" w:sz="5" w:space="0" w:color="000000"/>
              <w:left w:val="single" w:sz="5" w:space="0" w:color="000000"/>
              <w:bottom w:val="single" w:sz="5" w:space="0" w:color="000000"/>
              <w:right w:val="single" w:sz="5" w:space="0" w:color="000000"/>
            </w:tcBorders>
          </w:tcPr>
          <w:p w14:paraId="41C8FF07" w14:textId="20F0A494" w:rsidR="00A135EE" w:rsidRPr="000B2B22" w:rsidRDefault="00C210A5" w:rsidP="00F1460D">
            <w:pPr>
              <w:pStyle w:val="a5"/>
              <w:widowControl/>
              <w:rPr>
                <w:rFonts w:cs="Times New Roman"/>
              </w:rPr>
            </w:pPr>
            <w:r w:rsidRPr="000B2B22">
              <w:rPr>
                <w:rFonts w:cs="Times New Roman"/>
                <w:b/>
                <w:bCs/>
              </w:rPr>
              <w:t>Overall survival</w:t>
            </w:r>
          </w:p>
        </w:tc>
        <w:tc>
          <w:tcPr>
            <w:tcW w:w="1852" w:type="pct"/>
            <w:tcBorders>
              <w:top w:val="single" w:sz="5" w:space="0" w:color="000000"/>
              <w:left w:val="single" w:sz="5" w:space="0" w:color="000000"/>
              <w:bottom w:val="single" w:sz="5" w:space="0" w:color="000000"/>
              <w:right w:val="single" w:sz="5" w:space="0" w:color="000000"/>
            </w:tcBorders>
          </w:tcPr>
          <w:p w14:paraId="56EC82DD" w14:textId="77777777" w:rsidR="00A135EE" w:rsidRPr="000B2B22" w:rsidRDefault="00A135EE" w:rsidP="00F1460D">
            <w:pPr>
              <w:pStyle w:val="a5"/>
              <w:widowControl/>
              <w:rPr>
                <w:rFonts w:cs="Times New Roman"/>
              </w:rPr>
            </w:pPr>
          </w:p>
        </w:tc>
        <w:tc>
          <w:tcPr>
            <w:tcW w:w="1852" w:type="pct"/>
            <w:tcBorders>
              <w:top w:val="single" w:sz="5" w:space="0" w:color="000000"/>
              <w:left w:val="single" w:sz="5" w:space="0" w:color="000000"/>
              <w:bottom w:val="single" w:sz="5" w:space="0" w:color="000000"/>
              <w:right w:val="single" w:sz="5" w:space="0" w:color="000000"/>
            </w:tcBorders>
          </w:tcPr>
          <w:p w14:paraId="4A653186" w14:textId="77777777" w:rsidR="00A135EE" w:rsidRPr="000B2B22" w:rsidRDefault="00A135EE" w:rsidP="00F1460D">
            <w:pPr>
              <w:pStyle w:val="a5"/>
              <w:widowControl/>
              <w:rPr>
                <w:rFonts w:cs="Times New Roman"/>
              </w:rPr>
            </w:pPr>
          </w:p>
        </w:tc>
      </w:tr>
      <w:tr w:rsidR="00A27683" w:rsidRPr="000B2B22" w14:paraId="5703A90C" w14:textId="77777777" w:rsidTr="004228B0">
        <w:tc>
          <w:tcPr>
            <w:tcW w:w="1296" w:type="pct"/>
            <w:tcBorders>
              <w:top w:val="single" w:sz="5" w:space="0" w:color="000000"/>
              <w:left w:val="single" w:sz="5" w:space="0" w:color="000000"/>
              <w:bottom w:val="single" w:sz="5" w:space="0" w:color="000000"/>
              <w:right w:val="single" w:sz="5" w:space="0" w:color="000000"/>
            </w:tcBorders>
          </w:tcPr>
          <w:p w14:paraId="07E7D7DC" w14:textId="77777777" w:rsidR="00A135EE" w:rsidRPr="000B2B22" w:rsidRDefault="00A135EE" w:rsidP="00F1460D">
            <w:pPr>
              <w:pStyle w:val="a5"/>
              <w:widowControl/>
              <w:rPr>
                <w:rFonts w:cs="Times New Roman"/>
              </w:rPr>
            </w:pPr>
          </w:p>
        </w:tc>
        <w:tc>
          <w:tcPr>
            <w:tcW w:w="1852" w:type="pct"/>
            <w:tcBorders>
              <w:top w:val="single" w:sz="5" w:space="0" w:color="000000"/>
              <w:left w:val="single" w:sz="5" w:space="0" w:color="000000"/>
              <w:bottom w:val="single" w:sz="5" w:space="0" w:color="000000"/>
              <w:right w:val="single" w:sz="5" w:space="0" w:color="000000"/>
            </w:tcBorders>
            <w:vAlign w:val="center"/>
          </w:tcPr>
          <w:p w14:paraId="42790BA6" w14:textId="77777777" w:rsidR="00A135EE" w:rsidRPr="000B2B22" w:rsidRDefault="00C210A5" w:rsidP="00F1460D">
            <w:pPr>
              <w:pStyle w:val="a5"/>
              <w:widowControl/>
              <w:jc w:val="center"/>
              <w:rPr>
                <w:rFonts w:cs="Times New Roman"/>
              </w:rPr>
            </w:pPr>
            <w:r w:rsidRPr="000B2B22">
              <w:rPr>
                <w:rFonts w:cs="Times New Roman"/>
              </w:rPr>
              <w:t>Paclitaxel</w:t>
            </w:r>
          </w:p>
          <w:p w14:paraId="38C0B46D" w14:textId="77777777" w:rsidR="00A135EE" w:rsidRPr="000B2B22" w:rsidRDefault="00A135EE" w:rsidP="00F1460D">
            <w:pPr>
              <w:pStyle w:val="a5"/>
              <w:widowControl/>
              <w:jc w:val="center"/>
              <w:rPr>
                <w:rFonts w:cs="Times New Roman"/>
              </w:rPr>
            </w:pPr>
          </w:p>
          <w:p w14:paraId="6450D827" w14:textId="53D67A43" w:rsidR="00A135EE" w:rsidRPr="000B2B22" w:rsidRDefault="00C210A5" w:rsidP="00F1460D">
            <w:pPr>
              <w:pStyle w:val="a5"/>
              <w:widowControl/>
              <w:jc w:val="center"/>
              <w:rPr>
                <w:rFonts w:cs="Times New Roman"/>
              </w:rPr>
            </w:pPr>
            <w:r w:rsidRPr="000B2B22">
              <w:rPr>
                <w:rFonts w:cs="Times New Roman"/>
              </w:rPr>
              <w:t>(n=354)</w:t>
            </w:r>
          </w:p>
        </w:tc>
        <w:tc>
          <w:tcPr>
            <w:tcW w:w="1852" w:type="pct"/>
            <w:tcBorders>
              <w:top w:val="single" w:sz="5" w:space="0" w:color="000000"/>
              <w:left w:val="single" w:sz="5" w:space="0" w:color="000000"/>
              <w:bottom w:val="single" w:sz="5" w:space="0" w:color="000000"/>
              <w:right w:val="single" w:sz="5" w:space="0" w:color="000000"/>
            </w:tcBorders>
            <w:vAlign w:val="center"/>
          </w:tcPr>
          <w:p w14:paraId="0C814A14" w14:textId="661D2CD0" w:rsidR="00A135EE" w:rsidRPr="000B2B22" w:rsidRDefault="00C210A5" w:rsidP="00F1460D">
            <w:pPr>
              <w:pStyle w:val="a5"/>
              <w:widowControl/>
              <w:jc w:val="center"/>
              <w:rPr>
                <w:rFonts w:cs="Times New Roman"/>
              </w:rPr>
            </w:pPr>
            <w:r w:rsidRPr="000B2B22">
              <w:rPr>
                <w:rFonts w:cs="Times New Roman"/>
              </w:rPr>
              <w:t>Paclitaxel/</w:t>
            </w:r>
            <w:r w:rsidRPr="000B2B22">
              <w:rPr>
                <w:rFonts w:cs="Times New Roman"/>
              </w:rPr>
              <w:br/>
              <w:t>Bevacizumab</w:t>
            </w:r>
            <w:r w:rsidRPr="000B2B22">
              <w:rPr>
                <w:rFonts w:cs="Times New Roman"/>
              </w:rPr>
              <w:br/>
              <w:t>(n=368)</w:t>
            </w:r>
          </w:p>
        </w:tc>
      </w:tr>
      <w:tr w:rsidR="00A27683" w:rsidRPr="000B2B22" w14:paraId="0C6661CC" w14:textId="77777777" w:rsidTr="004228B0">
        <w:tc>
          <w:tcPr>
            <w:tcW w:w="1296" w:type="pct"/>
            <w:tcBorders>
              <w:top w:val="single" w:sz="5" w:space="0" w:color="000000"/>
              <w:left w:val="single" w:sz="5" w:space="0" w:color="000000"/>
              <w:bottom w:val="single" w:sz="5" w:space="0" w:color="000000"/>
              <w:right w:val="single" w:sz="5" w:space="0" w:color="000000"/>
            </w:tcBorders>
            <w:vAlign w:val="center"/>
          </w:tcPr>
          <w:p w14:paraId="2F30E321" w14:textId="4EC27E20" w:rsidR="00A135EE" w:rsidRPr="000B2B22" w:rsidRDefault="00C210A5" w:rsidP="00F1460D">
            <w:pPr>
              <w:pStyle w:val="a5"/>
              <w:widowControl/>
              <w:jc w:val="center"/>
              <w:rPr>
                <w:rFonts w:cs="Times New Roman"/>
              </w:rPr>
            </w:pPr>
            <w:r w:rsidRPr="000B2B22">
              <w:rPr>
                <w:rFonts w:cs="Times New Roman"/>
              </w:rPr>
              <w:t>Median OS (months)</w:t>
            </w:r>
          </w:p>
        </w:tc>
        <w:tc>
          <w:tcPr>
            <w:tcW w:w="1852" w:type="pct"/>
            <w:tcBorders>
              <w:top w:val="single" w:sz="5" w:space="0" w:color="000000"/>
              <w:left w:val="single" w:sz="5" w:space="0" w:color="000000"/>
              <w:bottom w:val="single" w:sz="5" w:space="0" w:color="000000"/>
              <w:right w:val="single" w:sz="5" w:space="0" w:color="000000"/>
            </w:tcBorders>
            <w:vAlign w:val="center"/>
          </w:tcPr>
          <w:p w14:paraId="01863A4A" w14:textId="166D7DDD" w:rsidR="00A135EE" w:rsidRPr="000B2B22" w:rsidRDefault="00C210A5" w:rsidP="00F1460D">
            <w:pPr>
              <w:pStyle w:val="a5"/>
              <w:widowControl/>
              <w:jc w:val="center"/>
              <w:rPr>
                <w:rFonts w:cs="Times New Roman"/>
              </w:rPr>
            </w:pPr>
            <w:r w:rsidRPr="000B2B22">
              <w:rPr>
                <w:rFonts w:cs="Times New Roman"/>
              </w:rPr>
              <w:t>24.8</w:t>
            </w:r>
          </w:p>
        </w:tc>
        <w:tc>
          <w:tcPr>
            <w:tcW w:w="1852" w:type="pct"/>
            <w:tcBorders>
              <w:top w:val="single" w:sz="5" w:space="0" w:color="000000"/>
              <w:left w:val="single" w:sz="5" w:space="0" w:color="000000"/>
              <w:bottom w:val="single" w:sz="5" w:space="0" w:color="000000"/>
              <w:right w:val="single" w:sz="5" w:space="0" w:color="000000"/>
            </w:tcBorders>
            <w:vAlign w:val="center"/>
          </w:tcPr>
          <w:p w14:paraId="1576DF6F" w14:textId="01823632" w:rsidR="00A135EE" w:rsidRPr="000B2B22" w:rsidRDefault="00C210A5" w:rsidP="00F1460D">
            <w:pPr>
              <w:pStyle w:val="a5"/>
              <w:widowControl/>
              <w:jc w:val="center"/>
              <w:rPr>
                <w:rFonts w:cs="Times New Roman"/>
              </w:rPr>
            </w:pPr>
            <w:r w:rsidRPr="000B2B22">
              <w:rPr>
                <w:rFonts w:cs="Times New Roman"/>
              </w:rPr>
              <w:t>26.5</w:t>
            </w:r>
          </w:p>
        </w:tc>
      </w:tr>
      <w:tr w:rsidR="00A27683" w:rsidRPr="000B2B22" w14:paraId="6F9B5166" w14:textId="77777777" w:rsidTr="004228B0">
        <w:tc>
          <w:tcPr>
            <w:tcW w:w="1296" w:type="pct"/>
            <w:tcBorders>
              <w:top w:val="single" w:sz="5" w:space="0" w:color="000000"/>
              <w:left w:val="single" w:sz="5" w:space="0" w:color="000000"/>
              <w:bottom w:val="single" w:sz="5" w:space="0" w:color="000000"/>
              <w:right w:val="single" w:sz="5" w:space="0" w:color="000000"/>
            </w:tcBorders>
            <w:vAlign w:val="center"/>
          </w:tcPr>
          <w:p w14:paraId="348EAB18" w14:textId="77777777" w:rsidR="00A135EE" w:rsidRPr="000B2B22" w:rsidRDefault="00C210A5" w:rsidP="00F1460D">
            <w:pPr>
              <w:pStyle w:val="a5"/>
              <w:widowControl/>
              <w:jc w:val="center"/>
              <w:rPr>
                <w:rFonts w:cs="Times New Roman"/>
              </w:rPr>
            </w:pPr>
            <w:r w:rsidRPr="000B2B22">
              <w:rPr>
                <w:rFonts w:cs="Times New Roman"/>
              </w:rPr>
              <w:t>HR</w:t>
            </w:r>
          </w:p>
          <w:p w14:paraId="652AA894" w14:textId="60468711" w:rsidR="00A135EE" w:rsidRPr="000B2B22" w:rsidRDefault="00C210A5" w:rsidP="00F1460D">
            <w:pPr>
              <w:pStyle w:val="a5"/>
              <w:widowControl/>
              <w:jc w:val="center"/>
              <w:rPr>
                <w:rFonts w:cs="Times New Roman"/>
              </w:rPr>
            </w:pPr>
            <w:r w:rsidRPr="000B2B22">
              <w:rPr>
                <w:rFonts w:cs="Times New Roman"/>
              </w:rPr>
              <w:t>(95% CI)</w:t>
            </w:r>
          </w:p>
        </w:tc>
        <w:tc>
          <w:tcPr>
            <w:tcW w:w="3704" w:type="pct"/>
            <w:gridSpan w:val="2"/>
            <w:tcBorders>
              <w:top w:val="single" w:sz="5" w:space="0" w:color="000000"/>
              <w:left w:val="single" w:sz="5" w:space="0" w:color="000000"/>
              <w:bottom w:val="single" w:sz="5" w:space="0" w:color="000000"/>
              <w:right w:val="single" w:sz="5" w:space="0" w:color="000000"/>
            </w:tcBorders>
            <w:vAlign w:val="center"/>
          </w:tcPr>
          <w:p w14:paraId="0CB87EBB" w14:textId="77777777" w:rsidR="00A135EE" w:rsidRPr="000B2B22" w:rsidRDefault="00C210A5" w:rsidP="00F1460D">
            <w:pPr>
              <w:pStyle w:val="a5"/>
              <w:widowControl/>
              <w:jc w:val="center"/>
              <w:rPr>
                <w:rFonts w:cs="Times New Roman"/>
              </w:rPr>
            </w:pPr>
            <w:r w:rsidRPr="000B2B22">
              <w:rPr>
                <w:rFonts w:cs="Times New Roman"/>
              </w:rPr>
              <w:t>0.869</w:t>
            </w:r>
          </w:p>
          <w:p w14:paraId="30921779" w14:textId="1CE28076" w:rsidR="00A135EE" w:rsidRPr="000B2B22" w:rsidRDefault="00C210A5" w:rsidP="00F1460D">
            <w:pPr>
              <w:pStyle w:val="a5"/>
              <w:widowControl/>
              <w:jc w:val="center"/>
              <w:rPr>
                <w:rFonts w:cs="Times New Roman"/>
              </w:rPr>
            </w:pPr>
            <w:r w:rsidRPr="000B2B22">
              <w:rPr>
                <w:rFonts w:cs="Times New Roman"/>
              </w:rPr>
              <w:t>(0.722; 1.046)</w:t>
            </w:r>
          </w:p>
        </w:tc>
      </w:tr>
      <w:tr w:rsidR="00A27683" w:rsidRPr="000B2B22" w14:paraId="2892ADFB" w14:textId="77777777" w:rsidTr="004228B0">
        <w:tc>
          <w:tcPr>
            <w:tcW w:w="1296" w:type="pct"/>
            <w:tcBorders>
              <w:top w:val="single" w:sz="5" w:space="0" w:color="000000"/>
              <w:left w:val="single" w:sz="5" w:space="0" w:color="000000"/>
              <w:bottom w:val="single" w:sz="5" w:space="0" w:color="000000"/>
              <w:right w:val="single" w:sz="5" w:space="0" w:color="000000"/>
            </w:tcBorders>
            <w:vAlign w:val="center"/>
          </w:tcPr>
          <w:p w14:paraId="77DB237D" w14:textId="461F9EA2" w:rsidR="00A135EE" w:rsidRPr="000B2B22" w:rsidRDefault="00C210A5" w:rsidP="00F1460D">
            <w:pPr>
              <w:pStyle w:val="a5"/>
              <w:widowControl/>
              <w:jc w:val="center"/>
              <w:rPr>
                <w:rFonts w:cs="Times New Roman"/>
              </w:rPr>
            </w:pPr>
            <w:r w:rsidRPr="000B2B22">
              <w:rPr>
                <w:rFonts w:cs="Times New Roman"/>
              </w:rPr>
              <w:t>p</w:t>
            </w:r>
            <w:r w:rsidRPr="000B2B22">
              <w:rPr>
                <w:rFonts w:cs="Times New Roman"/>
              </w:rPr>
              <w:noBreakHyphen/>
              <w:t>value</w:t>
            </w:r>
          </w:p>
        </w:tc>
        <w:tc>
          <w:tcPr>
            <w:tcW w:w="3704" w:type="pct"/>
            <w:gridSpan w:val="2"/>
            <w:tcBorders>
              <w:top w:val="single" w:sz="5" w:space="0" w:color="000000"/>
              <w:left w:val="single" w:sz="5" w:space="0" w:color="000000"/>
              <w:bottom w:val="single" w:sz="5" w:space="0" w:color="000000"/>
              <w:right w:val="single" w:sz="5" w:space="0" w:color="000000"/>
            </w:tcBorders>
            <w:vAlign w:val="center"/>
          </w:tcPr>
          <w:p w14:paraId="2CED5997" w14:textId="2C77E6D6" w:rsidR="00A135EE" w:rsidRPr="000B2B22" w:rsidRDefault="00C210A5" w:rsidP="00F1460D">
            <w:pPr>
              <w:pStyle w:val="a5"/>
              <w:widowControl/>
              <w:jc w:val="center"/>
              <w:rPr>
                <w:rFonts w:cs="Times New Roman"/>
              </w:rPr>
            </w:pPr>
            <w:r w:rsidRPr="000B2B22">
              <w:rPr>
                <w:rFonts w:cs="Times New Roman"/>
              </w:rPr>
              <w:t>0.1374</w:t>
            </w:r>
          </w:p>
        </w:tc>
      </w:tr>
    </w:tbl>
    <w:p w14:paraId="01B2C858" w14:textId="77777777" w:rsidR="00047E69" w:rsidRPr="000B2B22" w:rsidRDefault="00047E69" w:rsidP="00F1460D">
      <w:pPr>
        <w:widowControl/>
        <w:adjustRightInd w:val="0"/>
        <w:snapToGrid w:val="0"/>
        <w:rPr>
          <w:rFonts w:ascii="Times New Roman" w:eastAsia="Times New Roman" w:hAnsi="Times New Roman" w:cs="Times New Roman"/>
          <w:sz w:val="14"/>
          <w:szCs w:val="14"/>
        </w:rPr>
      </w:pPr>
    </w:p>
    <w:p w14:paraId="42BC9855" w14:textId="7A137310" w:rsidR="00047E69" w:rsidRPr="000B2B22" w:rsidRDefault="00C210A5" w:rsidP="00F1460D">
      <w:pPr>
        <w:pStyle w:val="a5"/>
        <w:widowControl/>
        <w:adjustRightInd w:val="0"/>
        <w:snapToGrid w:val="0"/>
      </w:pPr>
      <w:r w:rsidRPr="000B2B22">
        <w:t>The clinical benefit of bevacizumab as measured by PFS was seen in all pre</w:t>
      </w:r>
      <w:r w:rsidR="00FD0731" w:rsidRPr="000B2B22">
        <w:noBreakHyphen/>
      </w:r>
      <w:r w:rsidRPr="000B2B22">
        <w:t>specified subgroups tested (including disease</w:t>
      </w:r>
      <w:r w:rsidR="00FD0731" w:rsidRPr="000B2B22">
        <w:noBreakHyphen/>
      </w:r>
      <w:r w:rsidRPr="000B2B22">
        <w:t>free interval, number of metastatic sites, prior receipt of adjuvant chemotherapy and estrogen receptor (ER) status).</w:t>
      </w:r>
    </w:p>
    <w:p w14:paraId="289313AE" w14:textId="77777777" w:rsidR="00A135EE" w:rsidRPr="000B2B22" w:rsidRDefault="00A135EE" w:rsidP="00F1460D">
      <w:pPr>
        <w:widowControl/>
        <w:adjustRightInd w:val="0"/>
        <w:snapToGrid w:val="0"/>
        <w:rPr>
          <w:rFonts w:ascii="Times New Roman"/>
          <w:i/>
        </w:rPr>
      </w:pPr>
    </w:p>
    <w:p w14:paraId="4A2E6F94" w14:textId="3D9F6FDC"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AVF3694g</w:t>
      </w:r>
    </w:p>
    <w:p w14:paraId="727B5FFF" w14:textId="4A63F25D" w:rsidR="00047E69" w:rsidRPr="000B2B22" w:rsidRDefault="00C210A5" w:rsidP="00F1460D">
      <w:pPr>
        <w:pStyle w:val="a5"/>
        <w:widowControl/>
        <w:adjustRightInd w:val="0"/>
        <w:snapToGrid w:val="0"/>
      </w:pPr>
      <w:r w:rsidRPr="000B2B22">
        <w:t>Study AVF3694g was a Phase III, multicentre, randomised, placebo</w:t>
      </w:r>
      <w:r w:rsidR="00FD0731" w:rsidRPr="000B2B22">
        <w:noBreakHyphen/>
      </w:r>
      <w:r w:rsidRPr="000B2B22">
        <w:t>controlled trial designed to evaluate the efficacy and safety of bevacizumab in combination with chemotherapy compared to chemotherapy plus placebo as first</w:t>
      </w:r>
      <w:r w:rsidR="00FD0731" w:rsidRPr="000B2B22">
        <w:noBreakHyphen/>
      </w:r>
      <w:r w:rsidRPr="000B2B22">
        <w:t>line treatment for patients with HER2</w:t>
      </w:r>
      <w:r w:rsidR="00FD0731" w:rsidRPr="000B2B22">
        <w:noBreakHyphen/>
      </w:r>
      <w:r w:rsidRPr="000B2B22">
        <w:t>negative metastatic or locally recurrent breast cancer.</w:t>
      </w:r>
    </w:p>
    <w:p w14:paraId="021EB4AC"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6F05E7D9" w14:textId="3A806E5A" w:rsidR="00047E69" w:rsidRPr="000B2B22" w:rsidRDefault="00C210A5" w:rsidP="00F1460D">
      <w:pPr>
        <w:pStyle w:val="a5"/>
        <w:widowControl/>
        <w:adjustRightInd w:val="0"/>
        <w:snapToGrid w:val="0"/>
      </w:pPr>
      <w:r w:rsidRPr="000B2B22">
        <w:t>Chemotherapy was chosen at the investigator's discretion prior to randomisation in a 2:1 ratio to receive either chemotherapy plus bevacizumab or chemotherapy plus placebo. The choices of chemotherapy included capecitabine, taxane (protein</w:t>
      </w:r>
      <w:r w:rsidR="00FD0731" w:rsidRPr="000B2B22">
        <w:noBreakHyphen/>
      </w:r>
      <w:r w:rsidRPr="000B2B22">
        <w:t>bound paclitaxel, docetaxel), and anthracycline</w:t>
      </w:r>
      <w:r w:rsidR="00FD0731" w:rsidRPr="000B2B22">
        <w:noBreakHyphen/>
      </w:r>
      <w:r w:rsidRPr="000B2B22">
        <w:t xml:space="preserve">based agents (doxorubicin/ cyclophosphamide, epirubicin/ cyclophosphamide, </w:t>
      </w:r>
      <w:r w:rsidRPr="000B2B22">
        <w:lastRenderedPageBreak/>
        <w:t>5</w:t>
      </w:r>
      <w:r w:rsidR="00FD0731" w:rsidRPr="000B2B22">
        <w:noBreakHyphen/>
      </w:r>
      <w:r w:rsidRPr="000B2B22">
        <w:t>fluorouracil/ doxorubicin/ cyclophosphamide, 5</w:t>
      </w:r>
      <w:r w:rsidR="00FD0731" w:rsidRPr="000B2B22">
        <w:noBreakHyphen/>
      </w:r>
      <w:r w:rsidRPr="000B2B22">
        <w:t>fluorouracil/epirubicin/cyclophosphamide) given every three weeks (q3w). Bevacizumab or placebo was administered at a dose of 15 mg/kg q3w.</w:t>
      </w:r>
    </w:p>
    <w:p w14:paraId="509C66F8"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1B2721AC" w14:textId="3DBD59F7" w:rsidR="00047E69" w:rsidRPr="000B2B22" w:rsidRDefault="00C210A5" w:rsidP="00F1460D">
      <w:pPr>
        <w:pStyle w:val="a5"/>
        <w:widowControl/>
        <w:adjustRightInd w:val="0"/>
        <w:snapToGrid w:val="0"/>
      </w:pPr>
      <w:r w:rsidRPr="000B2B22">
        <w:t>This study included a blinded treatment phase, an optional open</w:t>
      </w:r>
      <w:r w:rsidR="00FD0731" w:rsidRPr="000B2B22">
        <w:noBreakHyphen/>
      </w:r>
      <w:r w:rsidRPr="000B2B22">
        <w:t>label post</w:t>
      </w:r>
      <w:r w:rsidR="00FD0731" w:rsidRPr="000B2B22">
        <w:noBreakHyphen/>
      </w:r>
      <w:r w:rsidRPr="000B2B22">
        <w:t>progression phase, and a survival follow</w:t>
      </w:r>
      <w:r w:rsidR="00FD0731" w:rsidRPr="000B2B22">
        <w:noBreakHyphen/>
      </w:r>
      <w:r w:rsidRPr="000B2B22">
        <w:t>up phase. During the blinded treatment phase, patients received chemotherapy and medicinal product (bevacizumab or placebo) every 3 weeks until disease progression, treatment</w:t>
      </w:r>
      <w:r w:rsidR="00FD0731" w:rsidRPr="000B2B22">
        <w:noBreakHyphen/>
      </w:r>
      <w:r w:rsidRPr="000B2B22">
        <w:t>limiting toxicity, or death. On documented disease progression, patients who entered the optional open</w:t>
      </w:r>
      <w:r w:rsidR="00FD0731" w:rsidRPr="000B2B22">
        <w:noBreakHyphen/>
      </w:r>
      <w:r w:rsidRPr="000B2B22">
        <w:t>label phase could receive open</w:t>
      </w:r>
      <w:r w:rsidR="00FD0731" w:rsidRPr="000B2B22">
        <w:noBreakHyphen/>
      </w:r>
      <w:r w:rsidRPr="000B2B22">
        <w:t>label bevacizumab together with a wide</w:t>
      </w:r>
      <w:r w:rsidR="00FD0731" w:rsidRPr="000B2B22">
        <w:noBreakHyphen/>
      </w:r>
      <w:r w:rsidRPr="000B2B22">
        <w:t>range of second line therapies.</w:t>
      </w:r>
    </w:p>
    <w:p w14:paraId="47437456"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01D2F192" w14:textId="0EDDF7AC" w:rsidR="00047E69" w:rsidRPr="000B2B22" w:rsidRDefault="00C210A5" w:rsidP="00F1460D">
      <w:pPr>
        <w:pStyle w:val="a5"/>
        <w:widowControl/>
        <w:adjustRightInd w:val="0"/>
        <w:snapToGrid w:val="0"/>
      </w:pPr>
      <w:r w:rsidRPr="000B2B22">
        <w:t>Statistical analyses were performed independently for 1) patients who received capecitabine in combination with bevacizumab or placebo; 2) patients who received taxane</w:t>
      </w:r>
      <w:r w:rsidR="00FD0731" w:rsidRPr="000B2B22">
        <w:noBreakHyphen/>
      </w:r>
      <w:r w:rsidRPr="000B2B22">
        <w:t>based or anthracycline</w:t>
      </w:r>
      <w:r w:rsidR="00FD0731" w:rsidRPr="000B2B22">
        <w:noBreakHyphen/>
      </w:r>
      <w:r w:rsidRPr="000B2B22">
        <w:t>based chemotherapy in combination with bevacizumab or placebo. The primary endpoint of the study was PFS by investigator assessment. In addition, the primary endpoint was also assessed by an independent review committee (IRC).</w:t>
      </w:r>
    </w:p>
    <w:p w14:paraId="148A17DA" w14:textId="77777777" w:rsidR="00047E69" w:rsidRPr="000B2B22" w:rsidRDefault="00047E69" w:rsidP="00F1460D">
      <w:pPr>
        <w:widowControl/>
        <w:adjustRightInd w:val="0"/>
        <w:snapToGrid w:val="0"/>
        <w:rPr>
          <w:rFonts w:ascii="Times New Roman" w:eastAsia="Times New Roman" w:hAnsi="Times New Roman" w:cs="Times New Roman"/>
        </w:rPr>
      </w:pPr>
    </w:p>
    <w:p w14:paraId="10C1C750" w14:textId="7B57415E" w:rsidR="00047E69" w:rsidRPr="000B2B22" w:rsidRDefault="00C210A5" w:rsidP="00F1460D">
      <w:pPr>
        <w:pStyle w:val="a5"/>
        <w:widowControl/>
        <w:adjustRightInd w:val="0"/>
        <w:snapToGrid w:val="0"/>
      </w:pPr>
      <w:r w:rsidRPr="000B2B22">
        <w:t xml:space="preserve">The results of this study from the final protocol defined analyses for </w:t>
      </w:r>
      <w:r w:rsidR="00A135EE" w:rsidRPr="000B2B22">
        <w:t xml:space="preserve">PFS </w:t>
      </w:r>
      <w:r w:rsidRPr="000B2B22">
        <w:t xml:space="preserve">and response rates for the independently powered capecitabine cohort of Study AVF3694g are presented in Table 11. Results from an exploratory </w:t>
      </w:r>
      <w:r w:rsidR="00410031" w:rsidRPr="000B2B22">
        <w:t>OS</w:t>
      </w:r>
      <w:r w:rsidRPr="000B2B22">
        <w:t xml:space="preserve"> analysis which include an additional 7 months of follow</w:t>
      </w:r>
      <w:r w:rsidR="00FD0731" w:rsidRPr="000B2B22">
        <w:noBreakHyphen/>
      </w:r>
      <w:r w:rsidRPr="000B2B22">
        <w:t>up (approximately 46% of patients had died) are also presented. The percentage of patients who received bevacizumab in the open</w:t>
      </w:r>
      <w:r w:rsidR="00FD0731" w:rsidRPr="000B2B22">
        <w:noBreakHyphen/>
      </w:r>
      <w:r w:rsidRPr="000B2B22">
        <w:t>label phase was 62.1% in the capecitabine + placebo arm and 49.9% in the capecitabine + bevacizumab arm.</w:t>
      </w:r>
    </w:p>
    <w:p w14:paraId="0DC56176" w14:textId="79DD52F8" w:rsidR="009D2843" w:rsidRPr="000B2B22" w:rsidRDefault="009D2843" w:rsidP="00F1460D">
      <w:pPr>
        <w:widowControl/>
        <w:rPr>
          <w:rFonts w:ascii="Times New Roman" w:eastAsia="Times New Roman" w:hAnsi="Times New Roman"/>
          <w:b/>
          <w:bCs/>
        </w:rPr>
      </w:pPr>
    </w:p>
    <w:p w14:paraId="50D91151" w14:textId="0EC0994A"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11</w:t>
      </w:r>
      <w:r w:rsidRPr="00536B4F">
        <w:rPr>
          <w:rFonts w:ascii="Times New Roman" w:hAnsi="Times New Roman" w:cs="Times New Roman"/>
          <w:b/>
          <w:bCs/>
        </w:rPr>
        <w:tab/>
        <w:t>Efficacy results for study AVF3694g: – Capecitabinea and Bevacizumab/Placebo (Cap + Bevacizumab/Pl)</w:t>
      </w:r>
    </w:p>
    <w:p w14:paraId="2401F356" w14:textId="77777777" w:rsidR="002F3873" w:rsidRPr="000B2B22" w:rsidRDefault="002F3873" w:rsidP="005E4476">
      <w:pPr>
        <w:rPr>
          <w:b/>
          <w:bCs/>
        </w:rPr>
      </w:pPr>
    </w:p>
    <w:tbl>
      <w:tblPr>
        <w:tblStyle w:val="TableNormal0"/>
        <w:tblW w:w="0" w:type="auto"/>
        <w:tblLayout w:type="fixed"/>
        <w:tblCellMar>
          <w:left w:w="108" w:type="dxa"/>
          <w:right w:w="108" w:type="dxa"/>
        </w:tblCellMar>
        <w:tblLook w:val="01E0" w:firstRow="1" w:lastRow="1" w:firstColumn="1" w:lastColumn="1" w:noHBand="0" w:noVBand="0"/>
      </w:tblPr>
      <w:tblGrid>
        <w:gridCol w:w="2662"/>
        <w:gridCol w:w="1500"/>
        <w:gridCol w:w="1854"/>
        <w:gridCol w:w="1410"/>
        <w:gridCol w:w="1854"/>
      </w:tblGrid>
      <w:tr w:rsidR="00A27683" w:rsidRPr="000B2B22" w14:paraId="4C19D446" w14:textId="77777777" w:rsidTr="004228B0">
        <w:tc>
          <w:tcPr>
            <w:tcW w:w="9280" w:type="dxa"/>
            <w:gridSpan w:val="5"/>
            <w:tcBorders>
              <w:top w:val="single" w:sz="4" w:space="0" w:color="auto"/>
              <w:left w:val="single" w:sz="4" w:space="0" w:color="auto"/>
              <w:bottom w:val="single" w:sz="4" w:space="0" w:color="auto"/>
              <w:right w:val="single" w:sz="4" w:space="0" w:color="auto"/>
            </w:tcBorders>
          </w:tcPr>
          <w:p w14:paraId="16942345" w14:textId="7972926B" w:rsidR="00047E69" w:rsidRPr="000B2B22" w:rsidRDefault="00C210A5" w:rsidP="00F1460D">
            <w:pPr>
              <w:pStyle w:val="TableParagraph"/>
              <w:widowControl/>
              <w:rPr>
                <w:rFonts w:ascii="Times New Roman" w:eastAsia="Times New Roman" w:hAnsi="Times New Roman" w:cs="Times New Roman"/>
                <w:b/>
                <w:bCs/>
              </w:rPr>
            </w:pPr>
            <w:r w:rsidRPr="000B2B22">
              <w:rPr>
                <w:rFonts w:ascii="Times New Roman"/>
                <w:b/>
                <w:bCs/>
              </w:rPr>
              <w:t>Progression</w:t>
            </w:r>
            <w:r w:rsidR="00FD0731" w:rsidRPr="000B2B22">
              <w:rPr>
                <w:rFonts w:ascii="Times New Roman"/>
                <w:b/>
                <w:bCs/>
              </w:rPr>
              <w:noBreakHyphen/>
            </w:r>
            <w:r w:rsidRPr="000B2B22">
              <w:rPr>
                <w:rFonts w:ascii="Times New Roman"/>
                <w:b/>
                <w:bCs/>
              </w:rPr>
              <w:t>free survival</w:t>
            </w:r>
            <w:r w:rsidR="007D3C89" w:rsidRPr="000B2B22">
              <w:rPr>
                <w:rFonts w:ascii="Times New Roman"/>
                <w:b/>
                <w:bCs/>
                <w:vertAlign w:val="superscript"/>
              </w:rPr>
              <w:t>b</w:t>
            </w:r>
          </w:p>
        </w:tc>
      </w:tr>
      <w:tr w:rsidR="00A27683" w:rsidRPr="000B2B22" w14:paraId="162C906E" w14:textId="77777777" w:rsidTr="004228B0">
        <w:tc>
          <w:tcPr>
            <w:tcW w:w="2662" w:type="dxa"/>
            <w:tcBorders>
              <w:top w:val="single" w:sz="4" w:space="0" w:color="auto"/>
              <w:left w:val="single" w:sz="4" w:space="0" w:color="auto"/>
              <w:bottom w:val="single" w:sz="4" w:space="0" w:color="auto"/>
              <w:right w:val="single" w:sz="4" w:space="0" w:color="auto"/>
            </w:tcBorders>
          </w:tcPr>
          <w:p w14:paraId="15F162D7" w14:textId="77777777" w:rsidR="00047E69" w:rsidRPr="000B2B22" w:rsidRDefault="00047E69" w:rsidP="00F1460D">
            <w:pPr>
              <w:widowControl/>
            </w:pPr>
          </w:p>
        </w:tc>
        <w:tc>
          <w:tcPr>
            <w:tcW w:w="3354" w:type="dxa"/>
            <w:gridSpan w:val="2"/>
            <w:tcBorders>
              <w:top w:val="single" w:sz="4" w:space="0" w:color="auto"/>
              <w:left w:val="single" w:sz="4" w:space="0" w:color="auto"/>
              <w:bottom w:val="single" w:sz="4" w:space="0" w:color="auto"/>
              <w:right w:val="single" w:sz="4" w:space="0" w:color="auto"/>
            </w:tcBorders>
          </w:tcPr>
          <w:p w14:paraId="68698AAD" w14:textId="3B681A1E" w:rsidR="00047E69"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b/>
                <w:bCs/>
              </w:rPr>
              <w:t xml:space="preserve">Investigator </w:t>
            </w:r>
            <w:r w:rsidR="00F721FB" w:rsidRPr="000B2B22">
              <w:rPr>
                <w:rFonts w:ascii="Times New Roman"/>
                <w:b/>
                <w:bCs/>
              </w:rPr>
              <w:t>a</w:t>
            </w:r>
            <w:r w:rsidRPr="000B2B22">
              <w:rPr>
                <w:rFonts w:ascii="Times New Roman"/>
                <w:b/>
                <w:bCs/>
              </w:rPr>
              <w:t>ssessment</w:t>
            </w:r>
          </w:p>
        </w:tc>
        <w:tc>
          <w:tcPr>
            <w:tcW w:w="3264" w:type="dxa"/>
            <w:gridSpan w:val="2"/>
            <w:tcBorders>
              <w:top w:val="single" w:sz="4" w:space="0" w:color="auto"/>
              <w:left w:val="single" w:sz="4" w:space="0" w:color="auto"/>
              <w:bottom w:val="single" w:sz="4" w:space="0" w:color="auto"/>
              <w:right w:val="single" w:sz="4" w:space="0" w:color="auto"/>
            </w:tcBorders>
          </w:tcPr>
          <w:p w14:paraId="33F9EE02" w14:textId="23BEC57F" w:rsidR="00047E69"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b/>
                <w:bCs/>
              </w:rPr>
              <w:t xml:space="preserve">IRC </w:t>
            </w:r>
            <w:r w:rsidR="00F721FB" w:rsidRPr="000B2B22">
              <w:rPr>
                <w:rFonts w:ascii="Times New Roman"/>
                <w:b/>
                <w:bCs/>
              </w:rPr>
              <w:t>a</w:t>
            </w:r>
            <w:r w:rsidRPr="000B2B22">
              <w:rPr>
                <w:rFonts w:ascii="Times New Roman"/>
                <w:b/>
                <w:bCs/>
              </w:rPr>
              <w:t>ssessment</w:t>
            </w:r>
          </w:p>
        </w:tc>
      </w:tr>
      <w:tr w:rsidR="00A27683" w:rsidRPr="000B2B22" w14:paraId="16D3285F" w14:textId="77777777" w:rsidTr="004228B0">
        <w:tc>
          <w:tcPr>
            <w:tcW w:w="2662" w:type="dxa"/>
            <w:tcBorders>
              <w:top w:val="single" w:sz="4" w:space="0" w:color="auto"/>
              <w:left w:val="single" w:sz="4" w:space="0" w:color="auto"/>
              <w:bottom w:val="single" w:sz="4" w:space="0" w:color="auto"/>
              <w:right w:val="single" w:sz="4" w:space="0" w:color="auto"/>
            </w:tcBorders>
          </w:tcPr>
          <w:p w14:paraId="46AD8D4C" w14:textId="77777777" w:rsidR="00047E69" w:rsidRPr="000B2B22" w:rsidRDefault="00047E69" w:rsidP="00F1460D">
            <w:pPr>
              <w:widowControl/>
            </w:pPr>
          </w:p>
        </w:tc>
        <w:tc>
          <w:tcPr>
            <w:tcW w:w="1500" w:type="dxa"/>
            <w:tcBorders>
              <w:top w:val="single" w:sz="4" w:space="0" w:color="auto"/>
              <w:left w:val="single" w:sz="4" w:space="0" w:color="auto"/>
              <w:bottom w:val="single" w:sz="4" w:space="0" w:color="auto"/>
              <w:right w:val="single" w:sz="4" w:space="0" w:color="auto"/>
            </w:tcBorders>
          </w:tcPr>
          <w:p w14:paraId="0B128570" w14:textId="77777777" w:rsidR="00047E69" w:rsidRPr="000B2B22" w:rsidRDefault="00C210A5" w:rsidP="00F1460D">
            <w:pPr>
              <w:pStyle w:val="TableParagraph"/>
              <w:widowControl/>
              <w:ind w:hanging="29"/>
              <w:jc w:val="center"/>
              <w:rPr>
                <w:rFonts w:ascii="Times New Roman" w:eastAsia="Times New Roman" w:hAnsi="Times New Roman" w:cs="Times New Roman"/>
              </w:rPr>
            </w:pPr>
            <w:r w:rsidRPr="000B2B22">
              <w:rPr>
                <w:rFonts w:ascii="Times New Roman"/>
              </w:rPr>
              <w:t>Cap + Pl (n=206)</w:t>
            </w:r>
          </w:p>
        </w:tc>
        <w:tc>
          <w:tcPr>
            <w:tcW w:w="1854" w:type="dxa"/>
            <w:tcBorders>
              <w:top w:val="single" w:sz="4" w:space="0" w:color="auto"/>
              <w:left w:val="single" w:sz="4" w:space="0" w:color="auto"/>
              <w:bottom w:val="single" w:sz="4" w:space="0" w:color="auto"/>
              <w:right w:val="single" w:sz="4" w:space="0" w:color="auto"/>
            </w:tcBorders>
          </w:tcPr>
          <w:p w14:paraId="6095D195" w14:textId="77777777" w:rsidR="00047E69" w:rsidRPr="000B2B22" w:rsidRDefault="00C210A5" w:rsidP="00F1460D">
            <w:pPr>
              <w:pStyle w:val="TableParagraph"/>
              <w:widowControl/>
              <w:jc w:val="center"/>
              <w:rPr>
                <w:rFonts w:ascii="Times New Roman"/>
              </w:rPr>
            </w:pPr>
            <w:r w:rsidRPr="000B2B22">
              <w:rPr>
                <w:rFonts w:ascii="Times New Roman"/>
              </w:rPr>
              <w:t>Cap +</w:t>
            </w:r>
          </w:p>
          <w:p w14:paraId="6E962E4C"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Bevacizumab (n=409)</w:t>
            </w:r>
          </w:p>
        </w:tc>
        <w:tc>
          <w:tcPr>
            <w:tcW w:w="1410" w:type="dxa"/>
            <w:tcBorders>
              <w:top w:val="single" w:sz="4" w:space="0" w:color="auto"/>
              <w:left w:val="single" w:sz="4" w:space="0" w:color="auto"/>
              <w:bottom w:val="single" w:sz="4" w:space="0" w:color="auto"/>
              <w:right w:val="single" w:sz="4" w:space="0" w:color="auto"/>
            </w:tcBorders>
          </w:tcPr>
          <w:p w14:paraId="127B0C67"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Cap + Pl (n=206)</w:t>
            </w:r>
          </w:p>
        </w:tc>
        <w:tc>
          <w:tcPr>
            <w:tcW w:w="1854" w:type="dxa"/>
            <w:tcBorders>
              <w:top w:val="single" w:sz="4" w:space="0" w:color="auto"/>
              <w:left w:val="single" w:sz="4" w:space="0" w:color="auto"/>
              <w:bottom w:val="single" w:sz="4" w:space="0" w:color="auto"/>
              <w:right w:val="single" w:sz="4" w:space="0" w:color="auto"/>
            </w:tcBorders>
          </w:tcPr>
          <w:p w14:paraId="15978963" w14:textId="1B481426" w:rsidR="00047E69" w:rsidRPr="000B2B22" w:rsidRDefault="00C210A5" w:rsidP="00F1460D">
            <w:pPr>
              <w:pStyle w:val="TableParagraph"/>
              <w:widowControl/>
              <w:jc w:val="center"/>
              <w:rPr>
                <w:rFonts w:ascii="Times New Roman"/>
              </w:rPr>
            </w:pPr>
            <w:r w:rsidRPr="000B2B22">
              <w:rPr>
                <w:rFonts w:ascii="Times New Roman"/>
              </w:rPr>
              <w:t>Cap +</w:t>
            </w:r>
          </w:p>
          <w:p w14:paraId="717E56C1"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Bevacizumab (n=409)</w:t>
            </w:r>
          </w:p>
        </w:tc>
      </w:tr>
      <w:tr w:rsidR="00A27683" w:rsidRPr="000B2B22" w14:paraId="4933B90C" w14:textId="77777777" w:rsidTr="004228B0">
        <w:tc>
          <w:tcPr>
            <w:tcW w:w="2662" w:type="dxa"/>
            <w:tcBorders>
              <w:top w:val="single" w:sz="4" w:space="0" w:color="auto"/>
              <w:left w:val="single" w:sz="4" w:space="0" w:color="auto"/>
              <w:bottom w:val="single" w:sz="4" w:space="0" w:color="auto"/>
              <w:right w:val="single" w:sz="4" w:space="0" w:color="auto"/>
            </w:tcBorders>
          </w:tcPr>
          <w:p w14:paraId="3DC07A89"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Median PFS (months)</w:t>
            </w:r>
          </w:p>
        </w:tc>
        <w:tc>
          <w:tcPr>
            <w:tcW w:w="1500" w:type="dxa"/>
            <w:tcBorders>
              <w:top w:val="single" w:sz="4" w:space="0" w:color="auto"/>
              <w:left w:val="single" w:sz="4" w:space="0" w:color="auto"/>
              <w:bottom w:val="single" w:sz="4" w:space="0" w:color="auto"/>
              <w:right w:val="single" w:sz="4" w:space="0" w:color="auto"/>
            </w:tcBorders>
          </w:tcPr>
          <w:p w14:paraId="1C29B230"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5.7</w:t>
            </w:r>
          </w:p>
        </w:tc>
        <w:tc>
          <w:tcPr>
            <w:tcW w:w="1854" w:type="dxa"/>
            <w:tcBorders>
              <w:top w:val="single" w:sz="4" w:space="0" w:color="auto"/>
              <w:left w:val="single" w:sz="4" w:space="0" w:color="auto"/>
              <w:bottom w:val="single" w:sz="4" w:space="0" w:color="auto"/>
              <w:right w:val="single" w:sz="4" w:space="0" w:color="auto"/>
            </w:tcBorders>
          </w:tcPr>
          <w:p w14:paraId="06A59BCE"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8.6</w:t>
            </w:r>
          </w:p>
        </w:tc>
        <w:tc>
          <w:tcPr>
            <w:tcW w:w="1410" w:type="dxa"/>
            <w:tcBorders>
              <w:top w:val="single" w:sz="4" w:space="0" w:color="auto"/>
              <w:left w:val="single" w:sz="4" w:space="0" w:color="auto"/>
              <w:bottom w:val="single" w:sz="4" w:space="0" w:color="auto"/>
              <w:right w:val="single" w:sz="4" w:space="0" w:color="auto"/>
            </w:tcBorders>
          </w:tcPr>
          <w:p w14:paraId="1A56E270"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6.2</w:t>
            </w:r>
          </w:p>
        </w:tc>
        <w:tc>
          <w:tcPr>
            <w:tcW w:w="1854" w:type="dxa"/>
            <w:tcBorders>
              <w:top w:val="single" w:sz="4" w:space="0" w:color="auto"/>
              <w:left w:val="single" w:sz="4" w:space="0" w:color="auto"/>
              <w:bottom w:val="single" w:sz="4" w:space="0" w:color="auto"/>
              <w:right w:val="single" w:sz="4" w:space="0" w:color="auto"/>
            </w:tcBorders>
          </w:tcPr>
          <w:p w14:paraId="1239A9CC"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9.8</w:t>
            </w:r>
          </w:p>
        </w:tc>
      </w:tr>
      <w:tr w:rsidR="00A27683" w:rsidRPr="000B2B22" w14:paraId="5A274B60" w14:textId="77777777" w:rsidTr="004228B0">
        <w:tc>
          <w:tcPr>
            <w:tcW w:w="2662" w:type="dxa"/>
            <w:tcBorders>
              <w:top w:val="single" w:sz="4" w:space="0" w:color="auto"/>
              <w:left w:val="single" w:sz="4" w:space="0" w:color="auto"/>
              <w:bottom w:val="single" w:sz="4" w:space="0" w:color="auto"/>
              <w:right w:val="single" w:sz="4" w:space="0" w:color="auto"/>
            </w:tcBorders>
          </w:tcPr>
          <w:p w14:paraId="604ED534"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Hazard ratio vs placebo arm (95% CI)</w:t>
            </w:r>
          </w:p>
        </w:tc>
        <w:tc>
          <w:tcPr>
            <w:tcW w:w="3354" w:type="dxa"/>
            <w:gridSpan w:val="2"/>
            <w:tcBorders>
              <w:top w:val="single" w:sz="4" w:space="0" w:color="auto"/>
              <w:left w:val="single" w:sz="4" w:space="0" w:color="auto"/>
              <w:bottom w:val="single" w:sz="4" w:space="0" w:color="auto"/>
              <w:right w:val="single" w:sz="4" w:space="0" w:color="auto"/>
            </w:tcBorders>
          </w:tcPr>
          <w:p w14:paraId="4B560F8B"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0.69 (0.56; 0.84)</w:t>
            </w:r>
          </w:p>
        </w:tc>
        <w:tc>
          <w:tcPr>
            <w:tcW w:w="3264" w:type="dxa"/>
            <w:gridSpan w:val="2"/>
            <w:tcBorders>
              <w:top w:val="single" w:sz="4" w:space="0" w:color="auto"/>
              <w:left w:val="single" w:sz="4" w:space="0" w:color="auto"/>
              <w:bottom w:val="single" w:sz="4" w:space="0" w:color="auto"/>
              <w:right w:val="single" w:sz="4" w:space="0" w:color="auto"/>
            </w:tcBorders>
          </w:tcPr>
          <w:p w14:paraId="3F9F37AA"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0.68 (0.54; 0.86)</w:t>
            </w:r>
          </w:p>
        </w:tc>
      </w:tr>
      <w:tr w:rsidR="00A27683" w:rsidRPr="000B2B22" w14:paraId="65A6DBBD" w14:textId="77777777" w:rsidTr="004228B0">
        <w:tc>
          <w:tcPr>
            <w:tcW w:w="2662" w:type="dxa"/>
            <w:tcBorders>
              <w:top w:val="single" w:sz="4" w:space="0" w:color="auto"/>
              <w:left w:val="single" w:sz="4" w:space="0" w:color="auto"/>
              <w:bottom w:val="single" w:sz="4" w:space="0" w:color="auto"/>
              <w:right w:val="single" w:sz="4" w:space="0" w:color="auto"/>
            </w:tcBorders>
          </w:tcPr>
          <w:p w14:paraId="30837AD1" w14:textId="68AB4F62"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p</w:t>
            </w:r>
            <w:r w:rsidR="00FD0731" w:rsidRPr="000B2B22">
              <w:rPr>
                <w:rFonts w:ascii="Times New Roman"/>
              </w:rPr>
              <w:noBreakHyphen/>
            </w:r>
            <w:r w:rsidRPr="000B2B22">
              <w:rPr>
                <w:rFonts w:ascii="Times New Roman"/>
              </w:rPr>
              <w:t>value</w:t>
            </w:r>
          </w:p>
        </w:tc>
        <w:tc>
          <w:tcPr>
            <w:tcW w:w="3354" w:type="dxa"/>
            <w:gridSpan w:val="2"/>
            <w:tcBorders>
              <w:top w:val="single" w:sz="4" w:space="0" w:color="auto"/>
              <w:left w:val="single" w:sz="4" w:space="0" w:color="auto"/>
              <w:bottom w:val="single" w:sz="4" w:space="0" w:color="auto"/>
              <w:right w:val="single" w:sz="4" w:space="0" w:color="auto"/>
            </w:tcBorders>
          </w:tcPr>
          <w:p w14:paraId="3F0B6EB4"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0.0002</w:t>
            </w:r>
          </w:p>
        </w:tc>
        <w:tc>
          <w:tcPr>
            <w:tcW w:w="3264" w:type="dxa"/>
            <w:gridSpan w:val="2"/>
            <w:tcBorders>
              <w:top w:val="single" w:sz="4" w:space="0" w:color="auto"/>
              <w:left w:val="single" w:sz="4" w:space="0" w:color="auto"/>
              <w:bottom w:val="single" w:sz="4" w:space="0" w:color="auto"/>
              <w:right w:val="single" w:sz="4" w:space="0" w:color="auto"/>
            </w:tcBorders>
          </w:tcPr>
          <w:p w14:paraId="34A2D3DF"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0.0011</w:t>
            </w:r>
          </w:p>
        </w:tc>
      </w:tr>
      <w:tr w:rsidR="00A27683" w:rsidRPr="000B2B22" w14:paraId="7E86BE8B" w14:textId="77777777" w:rsidTr="004228B0">
        <w:tc>
          <w:tcPr>
            <w:tcW w:w="9280" w:type="dxa"/>
            <w:gridSpan w:val="5"/>
            <w:tcBorders>
              <w:top w:val="single" w:sz="4" w:space="0" w:color="auto"/>
              <w:left w:val="single" w:sz="4" w:space="0" w:color="auto"/>
              <w:bottom w:val="single" w:sz="4" w:space="0" w:color="auto"/>
              <w:right w:val="single" w:sz="4" w:space="0" w:color="auto"/>
            </w:tcBorders>
          </w:tcPr>
          <w:p w14:paraId="4D48D7AC"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Response rate (for patients with measurable disease)</w:t>
            </w:r>
            <w:r w:rsidR="007D3C89" w:rsidRPr="000B2B22">
              <w:rPr>
                <w:rFonts w:ascii="Times New Roman"/>
                <w:vertAlign w:val="superscript"/>
              </w:rPr>
              <w:t>b</w:t>
            </w:r>
          </w:p>
        </w:tc>
      </w:tr>
      <w:tr w:rsidR="00A27683" w:rsidRPr="000B2B22" w14:paraId="08DC3939" w14:textId="77777777" w:rsidTr="004228B0">
        <w:tc>
          <w:tcPr>
            <w:tcW w:w="2662" w:type="dxa"/>
            <w:tcBorders>
              <w:top w:val="single" w:sz="4" w:space="0" w:color="auto"/>
              <w:left w:val="single" w:sz="4" w:space="0" w:color="auto"/>
              <w:bottom w:val="single" w:sz="4" w:space="0" w:color="auto"/>
              <w:right w:val="single" w:sz="4" w:space="0" w:color="auto"/>
            </w:tcBorders>
          </w:tcPr>
          <w:p w14:paraId="1248CB44" w14:textId="77777777" w:rsidR="00047E69" w:rsidRPr="000B2B22" w:rsidRDefault="00047E69" w:rsidP="00F1460D">
            <w:pPr>
              <w:widowControl/>
            </w:pPr>
          </w:p>
        </w:tc>
        <w:tc>
          <w:tcPr>
            <w:tcW w:w="3354" w:type="dxa"/>
            <w:gridSpan w:val="2"/>
            <w:tcBorders>
              <w:top w:val="single" w:sz="4" w:space="0" w:color="auto"/>
              <w:left w:val="single" w:sz="4" w:space="0" w:color="auto"/>
              <w:bottom w:val="single" w:sz="4" w:space="0" w:color="auto"/>
              <w:right w:val="single" w:sz="4" w:space="0" w:color="auto"/>
            </w:tcBorders>
          </w:tcPr>
          <w:p w14:paraId="0DAAB16B"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Cap + Pl (n=161)</w:t>
            </w:r>
          </w:p>
        </w:tc>
        <w:tc>
          <w:tcPr>
            <w:tcW w:w="3264" w:type="dxa"/>
            <w:gridSpan w:val="2"/>
            <w:tcBorders>
              <w:top w:val="single" w:sz="4" w:space="0" w:color="auto"/>
              <w:left w:val="single" w:sz="4" w:space="0" w:color="auto"/>
              <w:bottom w:val="single" w:sz="4" w:space="0" w:color="auto"/>
              <w:right w:val="single" w:sz="4" w:space="0" w:color="auto"/>
            </w:tcBorders>
          </w:tcPr>
          <w:p w14:paraId="686514CF"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Cap + Bevacizumab (n=325)</w:t>
            </w:r>
          </w:p>
        </w:tc>
      </w:tr>
      <w:tr w:rsidR="00A27683" w:rsidRPr="000B2B22" w14:paraId="6E5EF515" w14:textId="77777777" w:rsidTr="004228B0">
        <w:tc>
          <w:tcPr>
            <w:tcW w:w="2662" w:type="dxa"/>
            <w:tcBorders>
              <w:top w:val="single" w:sz="4" w:space="0" w:color="auto"/>
              <w:left w:val="single" w:sz="4" w:space="0" w:color="auto"/>
              <w:bottom w:val="single" w:sz="4" w:space="0" w:color="auto"/>
              <w:right w:val="single" w:sz="4" w:space="0" w:color="auto"/>
            </w:tcBorders>
          </w:tcPr>
          <w:p w14:paraId="038BE207"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 pts with objective response</w:t>
            </w:r>
          </w:p>
        </w:tc>
        <w:tc>
          <w:tcPr>
            <w:tcW w:w="3354" w:type="dxa"/>
            <w:gridSpan w:val="2"/>
            <w:tcBorders>
              <w:top w:val="single" w:sz="4" w:space="0" w:color="auto"/>
              <w:left w:val="single" w:sz="4" w:space="0" w:color="auto"/>
              <w:bottom w:val="single" w:sz="4" w:space="0" w:color="auto"/>
              <w:right w:val="single" w:sz="4" w:space="0" w:color="auto"/>
            </w:tcBorders>
          </w:tcPr>
          <w:p w14:paraId="286AE15D"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23.6</w:t>
            </w:r>
          </w:p>
        </w:tc>
        <w:tc>
          <w:tcPr>
            <w:tcW w:w="3264" w:type="dxa"/>
            <w:gridSpan w:val="2"/>
            <w:tcBorders>
              <w:top w:val="single" w:sz="4" w:space="0" w:color="auto"/>
              <w:left w:val="single" w:sz="4" w:space="0" w:color="auto"/>
              <w:bottom w:val="single" w:sz="4" w:space="0" w:color="auto"/>
              <w:right w:val="single" w:sz="4" w:space="0" w:color="auto"/>
            </w:tcBorders>
          </w:tcPr>
          <w:p w14:paraId="275476D1"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35.4</w:t>
            </w:r>
          </w:p>
        </w:tc>
      </w:tr>
      <w:tr w:rsidR="00A27683" w:rsidRPr="000B2B22" w14:paraId="6BF4D434" w14:textId="77777777" w:rsidTr="004228B0">
        <w:tc>
          <w:tcPr>
            <w:tcW w:w="2662" w:type="dxa"/>
            <w:tcBorders>
              <w:top w:val="single" w:sz="4" w:space="0" w:color="auto"/>
              <w:left w:val="single" w:sz="4" w:space="0" w:color="auto"/>
              <w:bottom w:val="single" w:sz="4" w:space="0" w:color="auto"/>
              <w:right w:val="single" w:sz="4" w:space="0" w:color="auto"/>
            </w:tcBorders>
          </w:tcPr>
          <w:p w14:paraId="4BED1992" w14:textId="0F114FED"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p</w:t>
            </w:r>
            <w:r w:rsidR="00FD0731" w:rsidRPr="000B2B22">
              <w:rPr>
                <w:rFonts w:ascii="Times New Roman"/>
              </w:rPr>
              <w:noBreakHyphen/>
            </w:r>
            <w:r w:rsidRPr="000B2B22">
              <w:rPr>
                <w:rFonts w:ascii="Times New Roman"/>
              </w:rPr>
              <w:t>value</w:t>
            </w:r>
          </w:p>
        </w:tc>
        <w:tc>
          <w:tcPr>
            <w:tcW w:w="6618" w:type="dxa"/>
            <w:gridSpan w:val="4"/>
            <w:tcBorders>
              <w:top w:val="single" w:sz="4" w:space="0" w:color="auto"/>
              <w:left w:val="single" w:sz="4" w:space="0" w:color="auto"/>
              <w:bottom w:val="single" w:sz="4" w:space="0" w:color="auto"/>
              <w:right w:val="single" w:sz="4" w:space="0" w:color="auto"/>
            </w:tcBorders>
          </w:tcPr>
          <w:p w14:paraId="61FAC217"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0.0097</w:t>
            </w:r>
          </w:p>
        </w:tc>
      </w:tr>
      <w:tr w:rsidR="00A27683" w:rsidRPr="000B2B22" w14:paraId="36146DC3" w14:textId="77777777" w:rsidTr="004228B0">
        <w:tc>
          <w:tcPr>
            <w:tcW w:w="9280" w:type="dxa"/>
            <w:gridSpan w:val="5"/>
            <w:tcBorders>
              <w:top w:val="single" w:sz="4" w:space="0" w:color="auto"/>
              <w:left w:val="single" w:sz="4" w:space="0" w:color="auto"/>
              <w:bottom w:val="single" w:sz="4" w:space="0" w:color="auto"/>
              <w:right w:val="single" w:sz="4" w:space="0" w:color="auto"/>
            </w:tcBorders>
          </w:tcPr>
          <w:p w14:paraId="2A7DC5A7"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Overall survival</w:t>
            </w:r>
            <w:r w:rsidR="007D3C89" w:rsidRPr="000B2B22">
              <w:rPr>
                <w:rFonts w:ascii="Times New Roman"/>
                <w:vertAlign w:val="superscript"/>
              </w:rPr>
              <w:t>b</w:t>
            </w:r>
          </w:p>
        </w:tc>
      </w:tr>
      <w:tr w:rsidR="00A27683" w:rsidRPr="000B2B22" w14:paraId="5E7F5900" w14:textId="77777777" w:rsidTr="004228B0">
        <w:tc>
          <w:tcPr>
            <w:tcW w:w="2662" w:type="dxa"/>
            <w:tcBorders>
              <w:top w:val="single" w:sz="4" w:space="0" w:color="auto"/>
              <w:left w:val="single" w:sz="4" w:space="0" w:color="auto"/>
              <w:bottom w:val="single" w:sz="4" w:space="0" w:color="auto"/>
              <w:right w:val="single" w:sz="4" w:space="0" w:color="auto"/>
            </w:tcBorders>
          </w:tcPr>
          <w:p w14:paraId="48C3A05D"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HR (95% CI)</w:t>
            </w:r>
          </w:p>
        </w:tc>
        <w:tc>
          <w:tcPr>
            <w:tcW w:w="6618" w:type="dxa"/>
            <w:gridSpan w:val="4"/>
            <w:tcBorders>
              <w:top w:val="single" w:sz="4" w:space="0" w:color="auto"/>
              <w:left w:val="single" w:sz="4" w:space="0" w:color="auto"/>
              <w:bottom w:val="single" w:sz="4" w:space="0" w:color="auto"/>
              <w:right w:val="single" w:sz="4" w:space="0" w:color="auto"/>
            </w:tcBorders>
          </w:tcPr>
          <w:p w14:paraId="13EBF76A"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0.88 (0.69; 1.13)</w:t>
            </w:r>
          </w:p>
        </w:tc>
      </w:tr>
      <w:tr w:rsidR="00A27683" w:rsidRPr="000B2B22" w14:paraId="16883639" w14:textId="77777777" w:rsidTr="004228B0">
        <w:tc>
          <w:tcPr>
            <w:tcW w:w="2662" w:type="dxa"/>
            <w:tcBorders>
              <w:top w:val="single" w:sz="4" w:space="0" w:color="auto"/>
              <w:left w:val="single" w:sz="4" w:space="0" w:color="auto"/>
              <w:bottom w:val="single" w:sz="4" w:space="0" w:color="auto"/>
              <w:right w:val="single" w:sz="4" w:space="0" w:color="auto"/>
            </w:tcBorders>
          </w:tcPr>
          <w:p w14:paraId="56863761" w14:textId="2633EB1A"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p</w:t>
            </w:r>
            <w:r w:rsidR="00FD0731" w:rsidRPr="000B2B22">
              <w:rPr>
                <w:rFonts w:ascii="Times New Roman"/>
              </w:rPr>
              <w:noBreakHyphen/>
            </w:r>
            <w:r w:rsidRPr="000B2B22">
              <w:rPr>
                <w:rFonts w:ascii="Times New Roman"/>
              </w:rPr>
              <w:t>value (exploratory)</w:t>
            </w:r>
          </w:p>
        </w:tc>
        <w:tc>
          <w:tcPr>
            <w:tcW w:w="6618" w:type="dxa"/>
            <w:gridSpan w:val="4"/>
            <w:tcBorders>
              <w:top w:val="single" w:sz="4" w:space="0" w:color="auto"/>
              <w:left w:val="single" w:sz="4" w:space="0" w:color="auto"/>
              <w:bottom w:val="single" w:sz="4" w:space="0" w:color="auto"/>
              <w:right w:val="single" w:sz="4" w:space="0" w:color="auto"/>
            </w:tcBorders>
          </w:tcPr>
          <w:p w14:paraId="76077108"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0.33</w:t>
            </w:r>
          </w:p>
        </w:tc>
      </w:tr>
    </w:tbl>
    <w:p w14:paraId="0294D4FE" w14:textId="77777777" w:rsidR="00047E69" w:rsidRPr="000B2B22" w:rsidRDefault="00C210A5" w:rsidP="00F1460D">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a</w:t>
      </w:r>
      <w:r w:rsidRPr="000B2B22">
        <w:rPr>
          <w:rFonts w:ascii="Times New Roman"/>
          <w:sz w:val="20"/>
        </w:rPr>
        <w:t>1000 mg/m</w:t>
      </w:r>
      <w:r w:rsidRPr="000B2B22">
        <w:rPr>
          <w:rFonts w:ascii="Times New Roman"/>
          <w:position w:val="7"/>
          <w:sz w:val="13"/>
        </w:rPr>
        <w:t xml:space="preserve">2 </w:t>
      </w:r>
      <w:r w:rsidRPr="000B2B22">
        <w:rPr>
          <w:rFonts w:ascii="Times New Roman"/>
          <w:sz w:val="20"/>
        </w:rPr>
        <w:t>oral twice daily for 14 days administered every 3 weeks</w:t>
      </w:r>
    </w:p>
    <w:p w14:paraId="22BBD52A" w14:textId="30CEFA2C" w:rsidR="00047E69" w:rsidRPr="000B2B22" w:rsidRDefault="00C210A5" w:rsidP="00F1460D">
      <w:pPr>
        <w:widowControl/>
        <w:adjustRightInd w:val="0"/>
        <w:snapToGrid w:val="0"/>
        <w:ind w:hanging="1"/>
        <w:rPr>
          <w:rFonts w:ascii="Times New Roman" w:eastAsia="Times New Roman" w:hAnsi="Times New Roman" w:cs="Times New Roman"/>
          <w:sz w:val="20"/>
          <w:szCs w:val="20"/>
        </w:rPr>
      </w:pPr>
      <w:r w:rsidRPr="000B2B22">
        <w:rPr>
          <w:rFonts w:ascii="Times New Roman"/>
          <w:position w:val="7"/>
          <w:sz w:val="13"/>
        </w:rPr>
        <w:t>b</w:t>
      </w:r>
      <w:r w:rsidRPr="000B2B22">
        <w:rPr>
          <w:rFonts w:ascii="Times New Roman"/>
          <w:sz w:val="20"/>
        </w:rPr>
        <w:t>Stratified analysis included all progression and death events except those where non</w:t>
      </w:r>
      <w:r w:rsidR="00FD0731" w:rsidRPr="000B2B22">
        <w:rPr>
          <w:rFonts w:ascii="Times New Roman"/>
          <w:sz w:val="20"/>
        </w:rPr>
        <w:noBreakHyphen/>
      </w:r>
      <w:r w:rsidRPr="000B2B22">
        <w:rPr>
          <w:rFonts w:ascii="Times New Roman"/>
          <w:sz w:val="20"/>
        </w:rPr>
        <w:t>protocol therapy (NPT) was initiated prior to documented progression; data from those patients were censored at the last tumour assessment prior to starting NPT.</w:t>
      </w:r>
    </w:p>
    <w:p w14:paraId="1AED6B47" w14:textId="77777777" w:rsidR="00047E69" w:rsidRPr="000B2B22" w:rsidRDefault="00047E69" w:rsidP="00F1460D">
      <w:pPr>
        <w:widowControl/>
        <w:adjustRightInd w:val="0"/>
        <w:snapToGrid w:val="0"/>
        <w:rPr>
          <w:rFonts w:ascii="Times New Roman" w:eastAsia="Times New Roman" w:hAnsi="Times New Roman" w:cs="Times New Roman"/>
          <w:sz w:val="20"/>
          <w:szCs w:val="20"/>
        </w:rPr>
      </w:pPr>
    </w:p>
    <w:p w14:paraId="2139440F" w14:textId="76B2D9E3" w:rsidR="00047E69" w:rsidRPr="000B2B22" w:rsidRDefault="00C210A5" w:rsidP="00F1460D">
      <w:pPr>
        <w:pStyle w:val="a5"/>
        <w:widowControl/>
        <w:adjustRightInd w:val="0"/>
        <w:snapToGrid w:val="0"/>
      </w:pPr>
      <w:r w:rsidRPr="000B2B22">
        <w:t>An unstratified analysis of PFS (investigator assessed) was performed that did not censor for non</w:t>
      </w:r>
      <w:r w:rsidR="00FD0731" w:rsidRPr="000B2B22">
        <w:noBreakHyphen/>
      </w:r>
      <w:r w:rsidRPr="000B2B22">
        <w:t>protocol therapy prior to disease progression. The results of these analyses were very similar to the primary PFS results.</w:t>
      </w:r>
    </w:p>
    <w:p w14:paraId="2CF4AEF2" w14:textId="77777777" w:rsidR="00047E69" w:rsidRPr="000B2B22" w:rsidRDefault="00047E69" w:rsidP="00F1460D">
      <w:pPr>
        <w:widowControl/>
        <w:adjustRightInd w:val="0"/>
        <w:snapToGrid w:val="0"/>
        <w:rPr>
          <w:rFonts w:ascii="Times New Roman" w:eastAsia="Times New Roman" w:hAnsi="Times New Roman" w:cs="Times New Roman"/>
          <w:sz w:val="27"/>
          <w:szCs w:val="27"/>
        </w:rPr>
      </w:pPr>
    </w:p>
    <w:p w14:paraId="41E835EF" w14:textId="465DD94B"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u w:val="single" w:color="000000"/>
        </w:rPr>
        <w:t>Non</w:t>
      </w:r>
      <w:r w:rsidR="00FD0731" w:rsidRPr="000B2B22">
        <w:rPr>
          <w:rFonts w:ascii="Times New Roman"/>
          <w:i/>
          <w:u w:val="single" w:color="000000"/>
        </w:rPr>
        <w:noBreakHyphen/>
      </w:r>
      <w:r w:rsidRPr="000B2B22">
        <w:rPr>
          <w:rFonts w:ascii="Times New Roman"/>
          <w:i/>
          <w:u w:val="single" w:color="000000"/>
        </w:rPr>
        <w:t>small cell lung cancer (NSCLC)</w:t>
      </w:r>
    </w:p>
    <w:p w14:paraId="0469D843" w14:textId="77777777" w:rsidR="00047E69" w:rsidRPr="000B2B22" w:rsidRDefault="00047E69" w:rsidP="00F1460D">
      <w:pPr>
        <w:widowControl/>
        <w:adjustRightInd w:val="0"/>
        <w:snapToGrid w:val="0"/>
        <w:rPr>
          <w:rFonts w:ascii="Times New Roman" w:eastAsia="Times New Roman" w:hAnsi="Times New Roman" w:cs="Times New Roman"/>
          <w:i/>
          <w:sz w:val="15"/>
          <w:szCs w:val="15"/>
        </w:rPr>
      </w:pPr>
    </w:p>
    <w:p w14:paraId="6B9A2BEC" w14:textId="401056B5"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First</w:t>
      </w:r>
      <w:r w:rsidR="00FD0731" w:rsidRPr="000B2B22">
        <w:rPr>
          <w:rFonts w:ascii="Times New Roman"/>
          <w:i/>
        </w:rPr>
        <w:noBreakHyphen/>
      </w:r>
      <w:r w:rsidRPr="000B2B22">
        <w:rPr>
          <w:rFonts w:ascii="Times New Roman"/>
          <w:i/>
        </w:rPr>
        <w:t>line treatment of non</w:t>
      </w:r>
      <w:r w:rsidR="00FD0731" w:rsidRPr="000B2B22">
        <w:rPr>
          <w:rFonts w:ascii="Times New Roman"/>
          <w:i/>
        </w:rPr>
        <w:noBreakHyphen/>
      </w:r>
      <w:r w:rsidRPr="000B2B22">
        <w:rPr>
          <w:rFonts w:ascii="Times New Roman"/>
          <w:i/>
        </w:rPr>
        <w:t>squamous NSCLC in combination with platinum</w:t>
      </w:r>
      <w:r w:rsidR="00FD0731" w:rsidRPr="000B2B22">
        <w:rPr>
          <w:rFonts w:ascii="Times New Roman"/>
          <w:i/>
        </w:rPr>
        <w:noBreakHyphen/>
      </w:r>
      <w:r w:rsidRPr="000B2B22">
        <w:rPr>
          <w:rFonts w:ascii="Times New Roman"/>
          <w:i/>
        </w:rPr>
        <w:t>based chemotherapy</w:t>
      </w:r>
    </w:p>
    <w:p w14:paraId="1493F5AC" w14:textId="77777777" w:rsidR="00047E69" w:rsidRPr="000B2B22" w:rsidRDefault="00047E69" w:rsidP="00F1460D">
      <w:pPr>
        <w:widowControl/>
        <w:adjustRightInd w:val="0"/>
        <w:snapToGrid w:val="0"/>
        <w:rPr>
          <w:rFonts w:ascii="Times New Roman" w:eastAsia="Times New Roman" w:hAnsi="Times New Roman" w:cs="Times New Roman"/>
          <w:i/>
          <w:sz w:val="21"/>
          <w:szCs w:val="21"/>
        </w:rPr>
      </w:pPr>
    </w:p>
    <w:p w14:paraId="5E2AF5A8" w14:textId="250B5471" w:rsidR="00047E69" w:rsidRPr="000B2B22" w:rsidRDefault="00C210A5" w:rsidP="00F1460D">
      <w:pPr>
        <w:pStyle w:val="a5"/>
        <w:widowControl/>
        <w:adjustRightInd w:val="0"/>
        <w:snapToGrid w:val="0"/>
      </w:pPr>
      <w:r w:rsidRPr="000B2B22">
        <w:lastRenderedPageBreak/>
        <w:t>The safety and efficacy of bevacizumab, in addition to platinum</w:t>
      </w:r>
      <w:r w:rsidR="00FD0731" w:rsidRPr="000B2B22">
        <w:noBreakHyphen/>
      </w:r>
      <w:r w:rsidRPr="000B2B22">
        <w:t>based chemotherapy, in the first</w:t>
      </w:r>
      <w:r w:rsidR="00FD0731" w:rsidRPr="000B2B22">
        <w:noBreakHyphen/>
      </w:r>
      <w:r w:rsidRPr="000B2B22">
        <w:t>line treatment of patients with non</w:t>
      </w:r>
      <w:r w:rsidR="00FD0731" w:rsidRPr="000B2B22">
        <w:noBreakHyphen/>
      </w:r>
      <w:r w:rsidRPr="000B2B22">
        <w:t xml:space="preserve">squamous NSCLC, was investigated in trials E4599 and BO17704. An </w:t>
      </w:r>
      <w:r w:rsidR="00410031" w:rsidRPr="000B2B22">
        <w:t>OS</w:t>
      </w:r>
      <w:r w:rsidRPr="000B2B22">
        <w:t xml:space="preserve"> benefit has been demonstrated in trial E4599 with a</w:t>
      </w:r>
      <w:r w:rsidR="00FC7D14" w:rsidRPr="000B2B22">
        <w:t xml:space="preserve"> </w:t>
      </w:r>
      <w:r w:rsidRPr="000B2B22">
        <w:t xml:space="preserve">15 mg/kg/q3wk dose of bevacizumab. Trial BO17704 has demonstrated that both 7.5 mg/kg/q3wk and 15 mg/kg/q3wk bevacizumab doses increase </w:t>
      </w:r>
      <w:r w:rsidR="00A135EE" w:rsidRPr="000B2B22">
        <w:t xml:space="preserve">PFS </w:t>
      </w:r>
      <w:r w:rsidRPr="000B2B22">
        <w:t>and response rate.</w:t>
      </w:r>
    </w:p>
    <w:p w14:paraId="311F1C67"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11916440"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E4599</w:t>
      </w:r>
    </w:p>
    <w:p w14:paraId="11BFB402" w14:textId="03DA5C57" w:rsidR="00047E69" w:rsidRPr="000B2B22" w:rsidRDefault="00C210A5" w:rsidP="00F1460D">
      <w:pPr>
        <w:pStyle w:val="a5"/>
        <w:widowControl/>
        <w:adjustRightInd w:val="0"/>
        <w:snapToGrid w:val="0"/>
        <w:ind w:hanging="1"/>
      </w:pPr>
      <w:r w:rsidRPr="000B2B22">
        <w:t>E4599 was an open</w:t>
      </w:r>
      <w:r w:rsidR="00FD0731" w:rsidRPr="000B2B22">
        <w:noBreakHyphen/>
      </w:r>
      <w:r w:rsidRPr="000B2B22">
        <w:t>label, randomised, active</w:t>
      </w:r>
      <w:r w:rsidR="00FD0731" w:rsidRPr="000B2B22">
        <w:noBreakHyphen/>
      </w:r>
      <w:r w:rsidRPr="000B2B22">
        <w:t>controlled, multicentre clinical trial evaluating bevacizumab as first</w:t>
      </w:r>
      <w:r w:rsidR="00FD0731" w:rsidRPr="000B2B22">
        <w:noBreakHyphen/>
      </w:r>
      <w:r w:rsidRPr="000B2B22">
        <w:t>line treatment of patients with locally advanced (stage IIIb with malignant pleural effusion), metastatic or recurrent NSCLC other than predominantly squamous cell histology.</w:t>
      </w:r>
    </w:p>
    <w:p w14:paraId="225AF7DD" w14:textId="1C471E3B" w:rsidR="00047E69" w:rsidRPr="000B2B22" w:rsidRDefault="00C210A5" w:rsidP="00F1460D">
      <w:pPr>
        <w:pStyle w:val="a5"/>
        <w:widowControl/>
        <w:adjustRightInd w:val="0"/>
        <w:snapToGrid w:val="0"/>
      </w:pPr>
      <w:r w:rsidRPr="000B2B22">
        <w:t>Patients were randomised to platinum</w:t>
      </w:r>
      <w:r w:rsidR="00FD0731" w:rsidRPr="000B2B22">
        <w:noBreakHyphen/>
      </w:r>
      <w:r w:rsidRPr="000B2B22">
        <w:t>based chemotherapy (paclitaxel 200 mg/m</w:t>
      </w:r>
      <w:r w:rsidRPr="000B2B22">
        <w:rPr>
          <w:position w:val="9"/>
          <w:sz w:val="14"/>
          <w:szCs w:val="14"/>
        </w:rPr>
        <w:t>2</w:t>
      </w:r>
      <w:r w:rsidRPr="000B2B22">
        <w:t xml:space="preserve">) and carboplatin AUC = 6.0, both by </w:t>
      </w:r>
      <w:r w:rsidR="005603A9" w:rsidRPr="000B2B22">
        <w:t>intravenous</w:t>
      </w:r>
      <w:r w:rsidRPr="000B2B22">
        <w:t xml:space="preserve"> infusion (PC) on day 1 of every 3</w:t>
      </w:r>
      <w:r w:rsidR="00FD0731" w:rsidRPr="000B2B22">
        <w:noBreakHyphen/>
      </w:r>
      <w:r w:rsidRPr="000B2B22">
        <w:t xml:space="preserve">week cycle for up to 6 cycles or PC in combination with bevacizumab at a dose of 15 mg/kg </w:t>
      </w:r>
      <w:r w:rsidR="005603A9" w:rsidRPr="000B2B22">
        <w:t>intravenous</w:t>
      </w:r>
      <w:r w:rsidRPr="000B2B22">
        <w:t xml:space="preserve"> infusion day 1 of every 3</w:t>
      </w:r>
      <w:r w:rsidR="00FD0731" w:rsidRPr="000B2B22">
        <w:noBreakHyphen/>
      </w:r>
      <w:r w:rsidRPr="000B2B22">
        <w:t>week cycle. After completion of six cycles of carboplatin</w:t>
      </w:r>
      <w:r w:rsidR="00FD0731" w:rsidRPr="000B2B22">
        <w:noBreakHyphen/>
      </w:r>
      <w:r w:rsidRPr="000B2B22">
        <w:t>paclitaxel chemotherapy or upon premature discontinuation of chemotherapy, patients on the bevacizumab + carboplatin–paclitaxel arm continued to receive bevacizumab as a single agent every 3 weeks until disease progression. 878 patients were randomised to the two arms.</w:t>
      </w:r>
    </w:p>
    <w:p w14:paraId="16E39ED3" w14:textId="77777777" w:rsidR="00047E69" w:rsidRPr="000B2B22" w:rsidRDefault="00047E69" w:rsidP="00F1460D">
      <w:pPr>
        <w:widowControl/>
        <w:adjustRightInd w:val="0"/>
        <w:snapToGrid w:val="0"/>
        <w:rPr>
          <w:rFonts w:ascii="Times New Roman" w:eastAsia="Times New Roman" w:hAnsi="Times New Roman" w:cs="Times New Roman"/>
        </w:rPr>
      </w:pPr>
    </w:p>
    <w:p w14:paraId="3550BE59" w14:textId="77777777" w:rsidR="00047E69" w:rsidRPr="000B2B22" w:rsidRDefault="00C210A5" w:rsidP="00F1460D">
      <w:pPr>
        <w:pStyle w:val="a5"/>
        <w:widowControl/>
        <w:adjustRightInd w:val="0"/>
        <w:snapToGrid w:val="0"/>
      </w:pPr>
      <w:r w:rsidRPr="000B2B22">
        <w:t>During the trial, of the patients who received trial treatment, 32.2% (136/422) of patients received</w:t>
      </w:r>
    </w:p>
    <w:p w14:paraId="75A330EC" w14:textId="77777777" w:rsidR="00047E69" w:rsidRPr="000B2B22" w:rsidRDefault="00C210A5" w:rsidP="00F1460D">
      <w:pPr>
        <w:pStyle w:val="a5"/>
        <w:widowControl/>
        <w:adjustRightInd w:val="0"/>
        <w:snapToGrid w:val="0"/>
      </w:pPr>
      <w:r w:rsidRPr="000B2B22">
        <w:t>7-12 administrations of bevacizumab and 21.1% (89/422) of patients received 13 or more administrations of bevacizumab.</w:t>
      </w:r>
    </w:p>
    <w:p w14:paraId="1098D0B6"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518B9D13" w14:textId="77777777" w:rsidR="00047E69" w:rsidRPr="000B2B22" w:rsidRDefault="00C210A5" w:rsidP="00F1460D">
      <w:pPr>
        <w:pStyle w:val="a5"/>
        <w:widowControl/>
        <w:adjustRightInd w:val="0"/>
        <w:snapToGrid w:val="0"/>
      </w:pPr>
      <w:r w:rsidRPr="000B2B22">
        <w:t>The primary endpoint was duration of survival. Results are presented in Table 12.</w:t>
      </w:r>
    </w:p>
    <w:p w14:paraId="7415BC43" w14:textId="77777777" w:rsidR="00047E69" w:rsidRPr="000B2B22" w:rsidRDefault="00047E69" w:rsidP="00F1460D">
      <w:pPr>
        <w:widowControl/>
        <w:adjustRightInd w:val="0"/>
        <w:snapToGrid w:val="0"/>
        <w:rPr>
          <w:rFonts w:ascii="Times New Roman" w:eastAsia="Times New Roman" w:hAnsi="Times New Roman" w:cs="Times New Roman"/>
        </w:rPr>
      </w:pPr>
    </w:p>
    <w:p w14:paraId="00E458CB" w14:textId="60F3B213"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12</w:t>
      </w:r>
      <w:r w:rsidRPr="00536B4F">
        <w:rPr>
          <w:rFonts w:ascii="Times New Roman" w:hAnsi="Times New Roman" w:cs="Times New Roman"/>
          <w:b/>
          <w:bCs/>
        </w:rPr>
        <w:tab/>
        <w:t>Efficacy results for trial E4599</w:t>
      </w:r>
    </w:p>
    <w:p w14:paraId="00037193" w14:textId="77777777" w:rsidR="00AF607F" w:rsidRPr="000B2B22" w:rsidRDefault="00AF607F" w:rsidP="005E4476"/>
    <w:tbl>
      <w:tblPr>
        <w:tblStyle w:val="ad"/>
        <w:tblW w:w="5000" w:type="pct"/>
        <w:tblLook w:val="04A0" w:firstRow="1" w:lastRow="0" w:firstColumn="1" w:lastColumn="0" w:noHBand="0" w:noVBand="1"/>
      </w:tblPr>
      <w:tblGrid>
        <w:gridCol w:w="2409"/>
        <w:gridCol w:w="3566"/>
        <w:gridCol w:w="3089"/>
      </w:tblGrid>
      <w:tr w:rsidR="00A27683" w:rsidRPr="000B2B22" w14:paraId="1FBDD23E" w14:textId="77777777" w:rsidTr="004228B0">
        <w:tc>
          <w:tcPr>
            <w:tcW w:w="2545" w:type="dxa"/>
          </w:tcPr>
          <w:p w14:paraId="532F205D" w14:textId="77777777" w:rsidR="00047E69" w:rsidRPr="000B2B22" w:rsidRDefault="00047E69" w:rsidP="00F1460D">
            <w:pPr>
              <w:pStyle w:val="1"/>
              <w:widowControl/>
              <w:tabs>
                <w:tab w:val="left" w:pos="1248"/>
              </w:tabs>
              <w:adjustRightInd/>
              <w:snapToGrid/>
              <w:rPr>
                <w:b w:val="0"/>
                <w:bCs w:val="0"/>
              </w:rPr>
            </w:pPr>
          </w:p>
        </w:tc>
        <w:tc>
          <w:tcPr>
            <w:tcW w:w="3685" w:type="dxa"/>
          </w:tcPr>
          <w:p w14:paraId="51F9679A" w14:textId="77777777" w:rsidR="00047E69"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b/>
                <w:bCs/>
              </w:rPr>
              <w:t>Arm 1</w:t>
            </w:r>
          </w:p>
          <w:p w14:paraId="68085FC0" w14:textId="77777777" w:rsidR="00047E69" w:rsidRPr="000B2B22" w:rsidRDefault="00047E69" w:rsidP="00F1460D">
            <w:pPr>
              <w:pStyle w:val="TableParagraph"/>
              <w:widowControl/>
              <w:jc w:val="center"/>
              <w:rPr>
                <w:rFonts w:ascii="Times New Roman" w:eastAsia="Times New Roman" w:hAnsi="Times New Roman" w:cs="Times New Roman"/>
                <w:b/>
                <w:bCs/>
              </w:rPr>
            </w:pPr>
          </w:p>
          <w:p w14:paraId="244E3CAB" w14:textId="77777777" w:rsidR="00047E69" w:rsidRPr="000B2B22" w:rsidRDefault="00C210A5" w:rsidP="00F1460D">
            <w:pPr>
              <w:pStyle w:val="1"/>
              <w:widowControl/>
              <w:tabs>
                <w:tab w:val="left" w:pos="1248"/>
              </w:tabs>
              <w:adjustRightInd/>
              <w:snapToGrid/>
              <w:jc w:val="center"/>
            </w:pPr>
            <w:r w:rsidRPr="000B2B22">
              <w:t>Carboplatin/Paclitaxel</w:t>
            </w:r>
          </w:p>
        </w:tc>
        <w:tc>
          <w:tcPr>
            <w:tcW w:w="3161" w:type="dxa"/>
            <w:vAlign w:val="bottom"/>
          </w:tcPr>
          <w:p w14:paraId="687A1F85" w14:textId="77777777" w:rsidR="00047E69"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b/>
                <w:bCs/>
              </w:rPr>
              <w:t>Arm 2</w:t>
            </w:r>
          </w:p>
          <w:p w14:paraId="30182262" w14:textId="77777777" w:rsidR="00047E69" w:rsidRPr="000B2B22" w:rsidRDefault="00047E69" w:rsidP="00F1460D">
            <w:pPr>
              <w:pStyle w:val="TableParagraph"/>
              <w:widowControl/>
              <w:jc w:val="center"/>
              <w:rPr>
                <w:rFonts w:ascii="Times New Roman" w:eastAsia="Times New Roman" w:hAnsi="Times New Roman" w:cs="Times New Roman"/>
                <w:b/>
                <w:bCs/>
              </w:rPr>
            </w:pPr>
          </w:p>
          <w:p w14:paraId="28EBE71D" w14:textId="77777777" w:rsidR="00047E69"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b/>
                <w:bCs/>
              </w:rPr>
              <w:t>Carboplatin/Paclitaxel + Bevacizumab</w:t>
            </w:r>
          </w:p>
          <w:p w14:paraId="7D0E1162" w14:textId="77777777" w:rsidR="00047E69" w:rsidRPr="000B2B22" w:rsidRDefault="00C210A5" w:rsidP="00F1460D">
            <w:pPr>
              <w:pStyle w:val="1"/>
              <w:widowControl/>
              <w:tabs>
                <w:tab w:val="left" w:pos="1248"/>
              </w:tabs>
              <w:adjustRightInd/>
              <w:snapToGrid/>
              <w:jc w:val="center"/>
            </w:pPr>
            <w:r w:rsidRPr="000B2B22">
              <w:t>15 mg/kg q 3 weeks</w:t>
            </w:r>
          </w:p>
        </w:tc>
      </w:tr>
      <w:tr w:rsidR="00A27683" w:rsidRPr="000B2B22" w14:paraId="1EEE7655" w14:textId="77777777" w:rsidTr="004228B0">
        <w:tc>
          <w:tcPr>
            <w:tcW w:w="2545" w:type="dxa"/>
          </w:tcPr>
          <w:p w14:paraId="50374EE4" w14:textId="77777777" w:rsidR="00047E69" w:rsidRPr="000B2B22" w:rsidRDefault="00C210A5" w:rsidP="00F1460D">
            <w:pPr>
              <w:pStyle w:val="1"/>
              <w:widowControl/>
              <w:tabs>
                <w:tab w:val="left" w:pos="1248"/>
              </w:tabs>
              <w:adjustRightInd/>
              <w:snapToGrid/>
              <w:rPr>
                <w:b w:val="0"/>
                <w:bCs w:val="0"/>
              </w:rPr>
            </w:pPr>
            <w:r w:rsidRPr="000B2B22">
              <w:rPr>
                <w:b w:val="0"/>
                <w:bCs w:val="0"/>
              </w:rPr>
              <w:t>Number of patients</w:t>
            </w:r>
          </w:p>
        </w:tc>
        <w:tc>
          <w:tcPr>
            <w:tcW w:w="3685" w:type="dxa"/>
            <w:vAlign w:val="center"/>
          </w:tcPr>
          <w:p w14:paraId="74DA6DC5"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444</w:t>
            </w:r>
          </w:p>
        </w:tc>
        <w:tc>
          <w:tcPr>
            <w:tcW w:w="3161" w:type="dxa"/>
            <w:vAlign w:val="center"/>
          </w:tcPr>
          <w:p w14:paraId="7AB222D0"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434</w:t>
            </w:r>
          </w:p>
        </w:tc>
      </w:tr>
      <w:tr w:rsidR="00A46B65" w:rsidRPr="000B2B22" w14:paraId="1C72F229" w14:textId="77777777" w:rsidTr="004228B0">
        <w:tc>
          <w:tcPr>
            <w:tcW w:w="9391" w:type="dxa"/>
            <w:gridSpan w:val="3"/>
          </w:tcPr>
          <w:p w14:paraId="3D3E5C97" w14:textId="77777777" w:rsidR="00047E69" w:rsidRPr="000B2B22" w:rsidRDefault="00C210A5" w:rsidP="00F1460D">
            <w:pPr>
              <w:pStyle w:val="1"/>
              <w:widowControl/>
              <w:tabs>
                <w:tab w:val="left" w:pos="1248"/>
              </w:tabs>
              <w:adjustRightInd/>
              <w:snapToGrid/>
              <w:rPr>
                <w:b w:val="0"/>
                <w:bCs w:val="0"/>
              </w:rPr>
            </w:pPr>
            <w:r w:rsidRPr="000B2B22">
              <w:rPr>
                <w:b w:val="0"/>
                <w:bCs w:val="0"/>
              </w:rPr>
              <w:t>Overall survival</w:t>
            </w:r>
          </w:p>
        </w:tc>
      </w:tr>
      <w:tr w:rsidR="00A27683" w:rsidRPr="000B2B22" w14:paraId="6A5506F9" w14:textId="77777777" w:rsidTr="004228B0">
        <w:tc>
          <w:tcPr>
            <w:tcW w:w="2545" w:type="dxa"/>
          </w:tcPr>
          <w:p w14:paraId="00C0D88E" w14:textId="77777777" w:rsidR="00047E69" w:rsidRPr="000B2B22" w:rsidRDefault="00C210A5" w:rsidP="00F1460D">
            <w:pPr>
              <w:pStyle w:val="1"/>
              <w:widowControl/>
              <w:tabs>
                <w:tab w:val="left" w:pos="1248"/>
              </w:tabs>
              <w:adjustRightInd/>
              <w:snapToGrid/>
              <w:rPr>
                <w:b w:val="0"/>
                <w:bCs w:val="0"/>
              </w:rPr>
            </w:pPr>
            <w:r w:rsidRPr="000B2B22">
              <w:rPr>
                <w:b w:val="0"/>
                <w:bCs w:val="0"/>
              </w:rPr>
              <w:t>Median (months)</w:t>
            </w:r>
          </w:p>
        </w:tc>
        <w:tc>
          <w:tcPr>
            <w:tcW w:w="3685" w:type="dxa"/>
            <w:vAlign w:val="center"/>
          </w:tcPr>
          <w:p w14:paraId="014061E8"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10.3</w:t>
            </w:r>
          </w:p>
        </w:tc>
        <w:tc>
          <w:tcPr>
            <w:tcW w:w="3161" w:type="dxa"/>
            <w:vAlign w:val="center"/>
          </w:tcPr>
          <w:p w14:paraId="1DF8BC1B"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12.3</w:t>
            </w:r>
          </w:p>
        </w:tc>
      </w:tr>
      <w:tr w:rsidR="00A27683" w:rsidRPr="000B2B22" w14:paraId="64252162" w14:textId="77777777" w:rsidTr="004228B0">
        <w:tc>
          <w:tcPr>
            <w:tcW w:w="2545" w:type="dxa"/>
          </w:tcPr>
          <w:p w14:paraId="5AF961A0" w14:textId="77777777" w:rsidR="00047E69" w:rsidRPr="000B2B22" w:rsidRDefault="00C210A5" w:rsidP="00F1460D">
            <w:pPr>
              <w:pStyle w:val="1"/>
              <w:widowControl/>
              <w:tabs>
                <w:tab w:val="left" w:pos="1248"/>
              </w:tabs>
              <w:adjustRightInd/>
              <w:snapToGrid/>
              <w:rPr>
                <w:b w:val="0"/>
                <w:bCs w:val="0"/>
              </w:rPr>
            </w:pPr>
            <w:r w:rsidRPr="000B2B22">
              <w:rPr>
                <w:b w:val="0"/>
                <w:bCs w:val="0"/>
              </w:rPr>
              <w:t>Hazard ratio</w:t>
            </w:r>
          </w:p>
        </w:tc>
        <w:tc>
          <w:tcPr>
            <w:tcW w:w="6846" w:type="dxa"/>
            <w:gridSpan w:val="2"/>
            <w:vAlign w:val="center"/>
          </w:tcPr>
          <w:p w14:paraId="2C230D25" w14:textId="4EFF32D1"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0.80 (p</w:t>
            </w:r>
            <w:r w:rsidR="00F90061" w:rsidRPr="000B2B22">
              <w:rPr>
                <w:rFonts w:ascii="Times New Roman"/>
              </w:rPr>
              <w:t xml:space="preserve"> </w:t>
            </w:r>
            <w:r w:rsidRPr="000B2B22">
              <w:rPr>
                <w:rFonts w:ascii="Times New Roman"/>
              </w:rPr>
              <w:t>=</w:t>
            </w:r>
            <w:r w:rsidR="00F90061" w:rsidRPr="000B2B22">
              <w:rPr>
                <w:rFonts w:ascii="Times New Roman"/>
              </w:rPr>
              <w:t xml:space="preserve"> </w:t>
            </w:r>
            <w:r w:rsidRPr="000B2B22">
              <w:rPr>
                <w:rFonts w:ascii="Times New Roman"/>
              </w:rPr>
              <w:t>0.003)</w:t>
            </w:r>
          </w:p>
          <w:p w14:paraId="57BC0BFF"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95% CI (0.69; 0.93)</w:t>
            </w:r>
          </w:p>
        </w:tc>
      </w:tr>
      <w:tr w:rsidR="00A46B65" w:rsidRPr="000B2B22" w14:paraId="351DA188" w14:textId="77777777" w:rsidTr="004228B0">
        <w:tc>
          <w:tcPr>
            <w:tcW w:w="9391" w:type="dxa"/>
            <w:gridSpan w:val="3"/>
          </w:tcPr>
          <w:p w14:paraId="7F7E8E14" w14:textId="6F5F82E4" w:rsidR="00047E69" w:rsidRPr="000B2B22" w:rsidRDefault="00C210A5" w:rsidP="00F1460D">
            <w:pPr>
              <w:pStyle w:val="1"/>
              <w:widowControl/>
              <w:tabs>
                <w:tab w:val="left" w:pos="1248"/>
              </w:tabs>
              <w:adjustRightInd/>
              <w:snapToGrid/>
            </w:pPr>
            <w:r w:rsidRPr="000B2B22">
              <w:rPr>
                <w:b w:val="0"/>
                <w:bCs w:val="0"/>
              </w:rPr>
              <w:t>Progression</w:t>
            </w:r>
            <w:r w:rsidR="00FD0731" w:rsidRPr="000B2B22">
              <w:rPr>
                <w:b w:val="0"/>
                <w:bCs w:val="0"/>
              </w:rPr>
              <w:noBreakHyphen/>
            </w:r>
            <w:r w:rsidRPr="000B2B22">
              <w:rPr>
                <w:b w:val="0"/>
                <w:bCs w:val="0"/>
              </w:rPr>
              <w:t>free survival</w:t>
            </w:r>
          </w:p>
        </w:tc>
      </w:tr>
      <w:tr w:rsidR="00A27683" w:rsidRPr="000B2B22" w14:paraId="3AC61013" w14:textId="77777777" w:rsidTr="004228B0">
        <w:tc>
          <w:tcPr>
            <w:tcW w:w="2545" w:type="dxa"/>
          </w:tcPr>
          <w:p w14:paraId="4CCAB972" w14:textId="77777777" w:rsidR="00047E69" w:rsidRPr="000B2B22" w:rsidRDefault="00C210A5" w:rsidP="00F1460D">
            <w:pPr>
              <w:pStyle w:val="1"/>
              <w:widowControl/>
              <w:tabs>
                <w:tab w:val="left" w:pos="1248"/>
              </w:tabs>
              <w:adjustRightInd/>
              <w:snapToGrid/>
              <w:rPr>
                <w:b w:val="0"/>
                <w:bCs w:val="0"/>
              </w:rPr>
            </w:pPr>
            <w:r w:rsidRPr="000B2B22">
              <w:rPr>
                <w:b w:val="0"/>
                <w:bCs w:val="0"/>
              </w:rPr>
              <w:t>Median (months)</w:t>
            </w:r>
          </w:p>
        </w:tc>
        <w:tc>
          <w:tcPr>
            <w:tcW w:w="3685" w:type="dxa"/>
            <w:vAlign w:val="center"/>
          </w:tcPr>
          <w:p w14:paraId="1839187E"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4.8</w:t>
            </w:r>
          </w:p>
        </w:tc>
        <w:tc>
          <w:tcPr>
            <w:tcW w:w="3161" w:type="dxa"/>
            <w:vAlign w:val="center"/>
          </w:tcPr>
          <w:p w14:paraId="616D5796"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6.4</w:t>
            </w:r>
          </w:p>
        </w:tc>
      </w:tr>
      <w:tr w:rsidR="00A27683" w:rsidRPr="000B2B22" w14:paraId="1CE78A59" w14:textId="77777777" w:rsidTr="004228B0">
        <w:tc>
          <w:tcPr>
            <w:tcW w:w="2545" w:type="dxa"/>
          </w:tcPr>
          <w:p w14:paraId="5B638909" w14:textId="77777777" w:rsidR="00047E69" w:rsidRPr="000B2B22" w:rsidRDefault="00C210A5" w:rsidP="00F1460D">
            <w:pPr>
              <w:pStyle w:val="1"/>
              <w:widowControl/>
              <w:tabs>
                <w:tab w:val="left" w:pos="1248"/>
              </w:tabs>
              <w:adjustRightInd/>
              <w:snapToGrid/>
              <w:rPr>
                <w:b w:val="0"/>
                <w:bCs w:val="0"/>
              </w:rPr>
            </w:pPr>
            <w:r w:rsidRPr="000B2B22">
              <w:rPr>
                <w:b w:val="0"/>
                <w:bCs w:val="0"/>
              </w:rPr>
              <w:t>Hazard ratio</w:t>
            </w:r>
          </w:p>
        </w:tc>
        <w:tc>
          <w:tcPr>
            <w:tcW w:w="6846" w:type="dxa"/>
            <w:gridSpan w:val="2"/>
            <w:vAlign w:val="center"/>
          </w:tcPr>
          <w:p w14:paraId="148CF9D6"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0.65 (p &lt; 0.0001)</w:t>
            </w:r>
          </w:p>
          <w:p w14:paraId="7F5938DE"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95% CI (0.56; 0.76)</w:t>
            </w:r>
          </w:p>
        </w:tc>
      </w:tr>
      <w:tr w:rsidR="00A27683" w:rsidRPr="000B2B22" w14:paraId="69317B0B" w14:textId="77777777" w:rsidTr="004228B0">
        <w:tc>
          <w:tcPr>
            <w:tcW w:w="9391" w:type="dxa"/>
            <w:gridSpan w:val="3"/>
            <w:vAlign w:val="center"/>
          </w:tcPr>
          <w:p w14:paraId="79B328CF" w14:textId="77777777" w:rsidR="00047E69" w:rsidRPr="000B2B22" w:rsidRDefault="00C210A5" w:rsidP="00F1460D">
            <w:pPr>
              <w:pStyle w:val="1"/>
              <w:widowControl/>
              <w:tabs>
                <w:tab w:val="left" w:pos="1248"/>
              </w:tabs>
              <w:adjustRightInd/>
              <w:snapToGrid/>
              <w:jc w:val="both"/>
              <w:rPr>
                <w:b w:val="0"/>
                <w:bCs w:val="0"/>
              </w:rPr>
            </w:pPr>
            <w:r w:rsidRPr="000B2B22">
              <w:rPr>
                <w:b w:val="0"/>
                <w:bCs w:val="0"/>
              </w:rPr>
              <w:t>Overall response rate</w:t>
            </w:r>
          </w:p>
        </w:tc>
      </w:tr>
      <w:tr w:rsidR="00A27683" w:rsidRPr="000B2B22" w14:paraId="28B7B3DE" w14:textId="77777777" w:rsidTr="004228B0">
        <w:tc>
          <w:tcPr>
            <w:tcW w:w="2545" w:type="dxa"/>
          </w:tcPr>
          <w:p w14:paraId="2A4A39ED" w14:textId="3E2D4D47" w:rsidR="00047E69" w:rsidRPr="000B2B22" w:rsidRDefault="002700BA" w:rsidP="00F1460D">
            <w:pPr>
              <w:pStyle w:val="1"/>
              <w:widowControl/>
              <w:tabs>
                <w:tab w:val="left" w:pos="1248"/>
              </w:tabs>
              <w:adjustRightInd/>
              <w:snapToGrid/>
              <w:rPr>
                <w:b w:val="0"/>
                <w:bCs w:val="0"/>
              </w:rPr>
            </w:pPr>
            <w:r w:rsidRPr="000B2B22">
              <w:rPr>
                <w:b w:val="0"/>
                <w:bCs w:val="0"/>
              </w:rPr>
              <w:t>Rate (percent)</w:t>
            </w:r>
          </w:p>
        </w:tc>
        <w:tc>
          <w:tcPr>
            <w:tcW w:w="3685" w:type="dxa"/>
            <w:vAlign w:val="center"/>
          </w:tcPr>
          <w:p w14:paraId="7C9D0645" w14:textId="752F6210" w:rsidR="00047E69" w:rsidRPr="000B2B22" w:rsidRDefault="00C210A5" w:rsidP="00F1460D">
            <w:pPr>
              <w:pStyle w:val="1"/>
              <w:widowControl/>
              <w:tabs>
                <w:tab w:val="left" w:pos="1248"/>
              </w:tabs>
              <w:adjustRightInd/>
              <w:snapToGrid/>
              <w:jc w:val="center"/>
              <w:rPr>
                <w:b w:val="0"/>
                <w:bCs w:val="0"/>
              </w:rPr>
            </w:pPr>
            <w:r w:rsidRPr="000B2B22">
              <w:rPr>
                <w:b w:val="0"/>
                <w:bCs w:val="0"/>
              </w:rPr>
              <w:t>12.9</w:t>
            </w:r>
          </w:p>
        </w:tc>
        <w:tc>
          <w:tcPr>
            <w:tcW w:w="3161" w:type="dxa"/>
            <w:vAlign w:val="center"/>
          </w:tcPr>
          <w:p w14:paraId="2F0688B7" w14:textId="77777777" w:rsidR="00047E69" w:rsidRPr="000B2B22" w:rsidRDefault="00C210A5" w:rsidP="00F1460D">
            <w:pPr>
              <w:pStyle w:val="1"/>
              <w:widowControl/>
              <w:tabs>
                <w:tab w:val="left" w:pos="1248"/>
              </w:tabs>
              <w:adjustRightInd/>
              <w:snapToGrid/>
              <w:jc w:val="center"/>
              <w:rPr>
                <w:b w:val="0"/>
                <w:bCs w:val="0"/>
              </w:rPr>
            </w:pPr>
            <w:r w:rsidRPr="000B2B22">
              <w:rPr>
                <w:b w:val="0"/>
                <w:bCs w:val="0"/>
              </w:rPr>
              <w:t>29.0 (p &lt; 0.0001)</w:t>
            </w:r>
          </w:p>
        </w:tc>
      </w:tr>
    </w:tbl>
    <w:p w14:paraId="2A7C07E4" w14:textId="77777777" w:rsidR="00047E69" w:rsidRPr="000B2B22" w:rsidRDefault="00047E69" w:rsidP="00F1460D">
      <w:pPr>
        <w:widowControl/>
        <w:adjustRightInd w:val="0"/>
        <w:snapToGrid w:val="0"/>
        <w:rPr>
          <w:rFonts w:ascii="Times New Roman" w:eastAsia="Times New Roman" w:hAnsi="Times New Roman" w:cs="Times New Roman"/>
          <w:b/>
          <w:bCs/>
          <w:sz w:val="14"/>
          <w:szCs w:val="14"/>
        </w:rPr>
      </w:pPr>
    </w:p>
    <w:p w14:paraId="7347912A" w14:textId="70A3F868" w:rsidR="00047E69" w:rsidRPr="000B2B22" w:rsidRDefault="00C210A5" w:rsidP="00F1460D">
      <w:pPr>
        <w:pStyle w:val="a5"/>
        <w:widowControl/>
        <w:adjustRightInd w:val="0"/>
        <w:snapToGrid w:val="0"/>
      </w:pPr>
      <w:r w:rsidRPr="000B2B22">
        <w:t xml:space="preserve">In an exploratory analysis, the extent of bevacizumab benefit on </w:t>
      </w:r>
      <w:r w:rsidR="00410031" w:rsidRPr="000B2B22">
        <w:t>OS</w:t>
      </w:r>
      <w:r w:rsidRPr="000B2B22">
        <w:t xml:space="preserve"> was less pronounced in the subgroup of patients who did not have adenocarcinoma histology.</w:t>
      </w:r>
    </w:p>
    <w:p w14:paraId="1B98E235"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532ADF19"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BO17704</w:t>
      </w:r>
    </w:p>
    <w:p w14:paraId="2EBDA5BD" w14:textId="7E4C2491" w:rsidR="00047E69" w:rsidRPr="000B2B22" w:rsidRDefault="00C210A5" w:rsidP="00F1460D">
      <w:pPr>
        <w:pStyle w:val="a5"/>
        <w:widowControl/>
        <w:adjustRightInd w:val="0"/>
        <w:snapToGrid w:val="0"/>
      </w:pPr>
      <w:r w:rsidRPr="000B2B22">
        <w:t>Trial BO17704 was a randomised, double</w:t>
      </w:r>
      <w:r w:rsidR="00FD0731" w:rsidRPr="000B2B22">
        <w:noBreakHyphen/>
      </w:r>
      <w:r w:rsidRPr="000B2B22">
        <w:t>blind phase III trial of bevacizumab in addition to cisplatin and gemcitabine versus placebo, cisplatin and gemcitabine in patients with locally advanced (stage IIIb with supraclavicular lymph node metastases or with malignant pleural or pericardial effusion), metastatic or recurrent non</w:t>
      </w:r>
      <w:r w:rsidR="00FD0731" w:rsidRPr="000B2B22">
        <w:noBreakHyphen/>
      </w:r>
      <w:r w:rsidRPr="000B2B22">
        <w:t xml:space="preserve">squamous NSCLC, who had not received prior chemotherapy. The primary endpoint was </w:t>
      </w:r>
      <w:r w:rsidR="00A135EE" w:rsidRPr="000B2B22">
        <w:t>PFS</w:t>
      </w:r>
      <w:r w:rsidRPr="000B2B22">
        <w:t>, secondary endpoints for the trial included the duration of</w:t>
      </w:r>
      <w:r w:rsidR="00A135EE" w:rsidRPr="000B2B22">
        <w:t xml:space="preserve"> OS.</w:t>
      </w:r>
    </w:p>
    <w:p w14:paraId="3C8C0D77" w14:textId="77777777" w:rsidR="00047E69" w:rsidRPr="000B2B22" w:rsidRDefault="00047E69" w:rsidP="00F1460D">
      <w:pPr>
        <w:widowControl/>
        <w:adjustRightInd w:val="0"/>
        <w:snapToGrid w:val="0"/>
        <w:rPr>
          <w:rFonts w:ascii="Times New Roman" w:eastAsia="Times New Roman" w:hAnsi="Times New Roman" w:cs="Times New Roman"/>
          <w:sz w:val="20"/>
          <w:szCs w:val="20"/>
        </w:rPr>
      </w:pPr>
    </w:p>
    <w:p w14:paraId="63ED64D9" w14:textId="7E6662AC" w:rsidR="00047E69" w:rsidRPr="000B2B22" w:rsidRDefault="00C210A5" w:rsidP="00F1460D">
      <w:pPr>
        <w:pStyle w:val="a5"/>
        <w:widowControl/>
        <w:adjustRightInd w:val="0"/>
        <w:snapToGrid w:val="0"/>
      </w:pPr>
      <w:r w:rsidRPr="000B2B22">
        <w:t>Patients were randomised to platinum</w:t>
      </w:r>
      <w:r w:rsidR="00FD0731" w:rsidRPr="000B2B22">
        <w:noBreakHyphen/>
      </w:r>
      <w:r w:rsidRPr="000B2B22">
        <w:t>based chemotherapy, cisplatin 80 mg/m</w:t>
      </w:r>
      <w:r w:rsidRPr="000B2B22">
        <w:rPr>
          <w:position w:val="9"/>
          <w:sz w:val="14"/>
        </w:rPr>
        <w:t xml:space="preserve">2 </w:t>
      </w:r>
      <w:r w:rsidRPr="000B2B22">
        <w:t>intravenous infusion on day 1 and gemcitabine 1250 mg/m</w:t>
      </w:r>
      <w:r w:rsidRPr="000B2B22">
        <w:rPr>
          <w:position w:val="9"/>
          <w:sz w:val="14"/>
        </w:rPr>
        <w:t xml:space="preserve">2 </w:t>
      </w:r>
      <w:r w:rsidRPr="000B2B22">
        <w:t>intravenous infusion on days 1 and 8 of every 3</w:t>
      </w:r>
      <w:r w:rsidR="00FD0731" w:rsidRPr="000B2B22">
        <w:noBreakHyphen/>
      </w:r>
      <w:r w:rsidRPr="000B2B22">
        <w:t xml:space="preserve">week cycle for up to 6 cycles (CG) with placebo or CG with bevacizumab at a dose of 7.5 or 15 mg/kg </w:t>
      </w:r>
      <w:r w:rsidR="005603A9" w:rsidRPr="000B2B22">
        <w:t>intravenous</w:t>
      </w:r>
      <w:r w:rsidRPr="000B2B22">
        <w:t xml:space="preserve"> infusion day 1 of every 3</w:t>
      </w:r>
      <w:r w:rsidR="00FD0731" w:rsidRPr="000B2B22">
        <w:noBreakHyphen/>
      </w:r>
      <w:r w:rsidRPr="000B2B22">
        <w:t>week cycle. In the bevacizumab</w:t>
      </w:r>
      <w:r w:rsidR="00FD0731" w:rsidRPr="000B2B22">
        <w:noBreakHyphen/>
      </w:r>
      <w:r w:rsidRPr="000B2B22">
        <w:t xml:space="preserve">containing arms, patients could receive </w:t>
      </w:r>
      <w:r w:rsidRPr="000B2B22">
        <w:lastRenderedPageBreak/>
        <w:t>bevacizumab as a single</w:t>
      </w:r>
      <w:r w:rsidR="00FD0731" w:rsidRPr="000B2B22">
        <w:noBreakHyphen/>
      </w:r>
      <w:r w:rsidRPr="000B2B22">
        <w:t>agent every 3 weeks until disease progression or unacceptable toxicity. Trial results show that 94% (277 / 296) of eligible patients went on to receive single agent bevacizumab at cycle 7. A high proportion of patients (approximately 62%) went on to receive a variety of non</w:t>
      </w:r>
      <w:r w:rsidR="00FD0731" w:rsidRPr="000B2B22">
        <w:noBreakHyphen/>
      </w:r>
      <w:r w:rsidRPr="000B2B22">
        <w:t>protocol specified anti</w:t>
      </w:r>
      <w:r w:rsidR="00FD0731" w:rsidRPr="000B2B22">
        <w:noBreakHyphen/>
      </w:r>
      <w:r w:rsidRPr="000B2B22">
        <w:t xml:space="preserve">cancer therapies, which may have impacted the analysis of </w:t>
      </w:r>
      <w:r w:rsidR="00410031" w:rsidRPr="000B2B22">
        <w:t>OS</w:t>
      </w:r>
      <w:r w:rsidRPr="000B2B22">
        <w:t>.</w:t>
      </w:r>
    </w:p>
    <w:p w14:paraId="556F9CA6" w14:textId="77777777" w:rsidR="00A135EE" w:rsidRPr="000B2B22" w:rsidRDefault="00A135EE" w:rsidP="00F1460D">
      <w:pPr>
        <w:pStyle w:val="a5"/>
        <w:widowControl/>
        <w:adjustRightInd w:val="0"/>
        <w:snapToGrid w:val="0"/>
      </w:pPr>
    </w:p>
    <w:p w14:paraId="0AAAC3B6" w14:textId="77777777" w:rsidR="00047E69" w:rsidRPr="000B2B22" w:rsidRDefault="00C210A5" w:rsidP="00F1460D">
      <w:pPr>
        <w:pStyle w:val="a5"/>
        <w:widowControl/>
        <w:adjustRightInd w:val="0"/>
        <w:snapToGrid w:val="0"/>
      </w:pPr>
      <w:r w:rsidRPr="000B2B22">
        <w:t>The efficacy results are presented in Table 13.</w:t>
      </w:r>
    </w:p>
    <w:p w14:paraId="4EDBC297" w14:textId="2AFA39BE" w:rsidR="00C06DE8" w:rsidRPr="000B2B22" w:rsidRDefault="00C06DE8" w:rsidP="00F1460D">
      <w:pPr>
        <w:widowControl/>
        <w:rPr>
          <w:rFonts w:ascii="Times New Roman" w:eastAsia="Times New Roman" w:hAnsi="Times New Roman"/>
          <w:b/>
          <w:bCs/>
        </w:rPr>
      </w:pPr>
    </w:p>
    <w:p w14:paraId="58415686" w14:textId="48F93252" w:rsidR="00047E69" w:rsidRPr="00536B4F" w:rsidRDefault="00DB7BA6" w:rsidP="00536B4F">
      <w:pPr>
        <w:ind w:left="1134" w:hanging="1134"/>
        <w:rPr>
          <w:rFonts w:ascii="Times New Roman" w:hAnsi="Times New Roman" w:cs="Times New Roman"/>
          <w:b/>
          <w:bCs/>
        </w:rPr>
      </w:pPr>
      <w:r w:rsidRPr="00536B4F">
        <w:rPr>
          <w:rFonts w:ascii="Times New Roman" w:hAnsi="Times New Roman" w:cs="Times New Roman"/>
          <w:b/>
          <w:bCs/>
        </w:rPr>
        <w:t>Table 13</w:t>
      </w:r>
      <w:r w:rsidRPr="00536B4F">
        <w:rPr>
          <w:rFonts w:ascii="Times New Roman" w:hAnsi="Times New Roman" w:cs="Times New Roman"/>
          <w:b/>
          <w:bCs/>
        </w:rPr>
        <w:tab/>
      </w:r>
      <w:r w:rsidR="00C210A5" w:rsidRPr="00536B4F">
        <w:rPr>
          <w:rFonts w:ascii="Times New Roman" w:hAnsi="Times New Roman" w:cs="Times New Roman"/>
          <w:b/>
          <w:bCs/>
        </w:rPr>
        <w:t>Efficacy results for trial BO17704</w:t>
      </w:r>
    </w:p>
    <w:p w14:paraId="7C29A1A8" w14:textId="77777777" w:rsidR="00AF607F" w:rsidRPr="000B2B22" w:rsidRDefault="00AF607F" w:rsidP="005E4476">
      <w:pPr>
        <w:rPr>
          <w:b/>
          <w:bCs/>
        </w:rPr>
      </w:pP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2025"/>
        <w:gridCol w:w="2311"/>
        <w:gridCol w:w="2389"/>
        <w:gridCol w:w="2339"/>
      </w:tblGrid>
      <w:tr w:rsidR="005A5348" w:rsidRPr="000B2B22" w14:paraId="63A5356F" w14:textId="77777777" w:rsidTr="004228B0">
        <w:tc>
          <w:tcPr>
            <w:tcW w:w="1117" w:type="pct"/>
          </w:tcPr>
          <w:p w14:paraId="0F6E8B5D" w14:textId="77777777" w:rsidR="00047E69" w:rsidRPr="000B2B22" w:rsidRDefault="00047E69" w:rsidP="00F1460D">
            <w:pPr>
              <w:widowControl/>
              <w:rPr>
                <w:sz w:val="20"/>
                <w:szCs w:val="20"/>
              </w:rPr>
            </w:pPr>
          </w:p>
        </w:tc>
        <w:tc>
          <w:tcPr>
            <w:tcW w:w="1275" w:type="pct"/>
          </w:tcPr>
          <w:p w14:paraId="1EE53931"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Cisplatin/Gemcitabine</w:t>
            </w:r>
          </w:p>
          <w:p w14:paraId="5ACFCE70"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 placebo</w:t>
            </w:r>
          </w:p>
        </w:tc>
        <w:tc>
          <w:tcPr>
            <w:tcW w:w="1318" w:type="pct"/>
          </w:tcPr>
          <w:p w14:paraId="712F7D05"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Cisplatin/Gemcitabine</w:t>
            </w:r>
          </w:p>
          <w:p w14:paraId="45DC1CF5"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 Bevacizumab</w:t>
            </w:r>
          </w:p>
          <w:p w14:paraId="284FAB76"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7.5 mg/kg q 3 weeks</w:t>
            </w:r>
          </w:p>
        </w:tc>
        <w:tc>
          <w:tcPr>
            <w:tcW w:w="1290" w:type="pct"/>
          </w:tcPr>
          <w:p w14:paraId="13719A26"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Cisplatin/Gemcitabine</w:t>
            </w:r>
          </w:p>
          <w:p w14:paraId="083353D6"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 Bevacizumab</w:t>
            </w:r>
          </w:p>
          <w:p w14:paraId="3423FCC7" w14:textId="77777777" w:rsidR="00047E69" w:rsidRPr="000B2B22" w:rsidRDefault="00C210A5" w:rsidP="00F1460D">
            <w:pPr>
              <w:pStyle w:val="TableParagraph"/>
              <w:widowControl/>
              <w:jc w:val="center"/>
              <w:rPr>
                <w:rFonts w:ascii="Times New Roman" w:eastAsia="Times New Roman" w:hAnsi="Times New Roman" w:cs="Times New Roman"/>
                <w:b/>
                <w:bCs/>
                <w:sz w:val="20"/>
                <w:szCs w:val="20"/>
              </w:rPr>
            </w:pPr>
            <w:r w:rsidRPr="000B2B22">
              <w:rPr>
                <w:rFonts w:ascii="Times New Roman"/>
                <w:b/>
                <w:bCs/>
                <w:sz w:val="20"/>
                <w:szCs w:val="20"/>
              </w:rPr>
              <w:t>15 mg/kg q 3 weeks</w:t>
            </w:r>
          </w:p>
        </w:tc>
      </w:tr>
      <w:tr w:rsidR="005A5348" w:rsidRPr="000B2B22" w14:paraId="0D447BDA" w14:textId="77777777" w:rsidTr="004228B0">
        <w:tc>
          <w:tcPr>
            <w:tcW w:w="1117" w:type="pct"/>
          </w:tcPr>
          <w:p w14:paraId="53FFC6AE" w14:textId="77777777" w:rsidR="00047E69" w:rsidRPr="000B2B22" w:rsidRDefault="00C210A5" w:rsidP="00F1460D">
            <w:pPr>
              <w:pStyle w:val="TableParagraph"/>
              <w:widowControl/>
              <w:rPr>
                <w:rFonts w:ascii="Times New Roman" w:eastAsia="Times New Roman" w:hAnsi="Times New Roman" w:cs="Times New Roman"/>
                <w:sz w:val="20"/>
                <w:szCs w:val="20"/>
              </w:rPr>
            </w:pPr>
            <w:r w:rsidRPr="000B2B22">
              <w:rPr>
                <w:rFonts w:ascii="Times New Roman"/>
                <w:sz w:val="20"/>
                <w:szCs w:val="20"/>
              </w:rPr>
              <w:t>Number of patients</w:t>
            </w:r>
          </w:p>
        </w:tc>
        <w:tc>
          <w:tcPr>
            <w:tcW w:w="1275" w:type="pct"/>
          </w:tcPr>
          <w:p w14:paraId="1675D582"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347</w:t>
            </w:r>
          </w:p>
        </w:tc>
        <w:tc>
          <w:tcPr>
            <w:tcW w:w="1318" w:type="pct"/>
          </w:tcPr>
          <w:p w14:paraId="418C9CF7"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345</w:t>
            </w:r>
          </w:p>
        </w:tc>
        <w:tc>
          <w:tcPr>
            <w:tcW w:w="1290" w:type="pct"/>
          </w:tcPr>
          <w:p w14:paraId="4A6E872C"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351</w:t>
            </w:r>
          </w:p>
        </w:tc>
      </w:tr>
      <w:tr w:rsidR="00A27683" w:rsidRPr="000B2B22" w14:paraId="2EA9F26F" w14:textId="77777777" w:rsidTr="004228B0">
        <w:tc>
          <w:tcPr>
            <w:tcW w:w="5000" w:type="pct"/>
            <w:gridSpan w:val="4"/>
          </w:tcPr>
          <w:p w14:paraId="792C2C3C" w14:textId="04A61740" w:rsidR="00552B55" w:rsidRPr="000B2B22" w:rsidRDefault="00C210A5" w:rsidP="00F1460D">
            <w:pPr>
              <w:widowControl/>
              <w:rPr>
                <w:b/>
                <w:bCs/>
                <w:sz w:val="20"/>
                <w:szCs w:val="20"/>
              </w:rPr>
            </w:pPr>
            <w:r w:rsidRPr="000B2B22">
              <w:rPr>
                <w:rFonts w:ascii="Times New Roman"/>
                <w:b/>
                <w:bCs/>
                <w:sz w:val="20"/>
                <w:szCs w:val="20"/>
              </w:rPr>
              <w:t>Progression</w:t>
            </w:r>
            <w:r w:rsidR="00FD0731" w:rsidRPr="000B2B22">
              <w:rPr>
                <w:rFonts w:ascii="Times New Roman"/>
                <w:b/>
                <w:bCs/>
                <w:sz w:val="20"/>
                <w:szCs w:val="20"/>
              </w:rPr>
              <w:noBreakHyphen/>
            </w:r>
            <w:r w:rsidRPr="000B2B22">
              <w:rPr>
                <w:rFonts w:ascii="Times New Roman"/>
                <w:b/>
                <w:bCs/>
                <w:sz w:val="20"/>
                <w:szCs w:val="20"/>
              </w:rPr>
              <w:t>free survival</w:t>
            </w:r>
          </w:p>
        </w:tc>
      </w:tr>
      <w:tr w:rsidR="005A5348" w:rsidRPr="000B2B22" w14:paraId="7E4E46AE" w14:textId="77777777" w:rsidTr="004228B0">
        <w:tc>
          <w:tcPr>
            <w:tcW w:w="1117" w:type="pct"/>
          </w:tcPr>
          <w:p w14:paraId="48C650E2" w14:textId="77777777" w:rsidR="00047E69" w:rsidRPr="000B2B22" w:rsidRDefault="00C210A5" w:rsidP="00F1460D">
            <w:pPr>
              <w:pStyle w:val="TableParagraph"/>
              <w:widowControl/>
              <w:rPr>
                <w:rFonts w:ascii="Times New Roman" w:eastAsia="Times New Roman" w:hAnsi="Times New Roman" w:cs="Times New Roman"/>
                <w:sz w:val="20"/>
                <w:szCs w:val="20"/>
              </w:rPr>
            </w:pPr>
            <w:r w:rsidRPr="000B2B22">
              <w:rPr>
                <w:rFonts w:ascii="Times New Roman"/>
                <w:sz w:val="20"/>
                <w:szCs w:val="20"/>
              </w:rPr>
              <w:t>Median (months)</w:t>
            </w:r>
          </w:p>
        </w:tc>
        <w:tc>
          <w:tcPr>
            <w:tcW w:w="1275" w:type="pct"/>
          </w:tcPr>
          <w:p w14:paraId="7B19CFA8"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6.1</w:t>
            </w:r>
          </w:p>
        </w:tc>
        <w:tc>
          <w:tcPr>
            <w:tcW w:w="1318" w:type="pct"/>
          </w:tcPr>
          <w:p w14:paraId="28404CE7" w14:textId="170A54E8" w:rsidR="00047E69" w:rsidRPr="000B2B22" w:rsidRDefault="00C210A5" w:rsidP="00F1460D">
            <w:pPr>
              <w:pStyle w:val="TableParagraph"/>
              <w:widowControl/>
              <w:jc w:val="center"/>
              <w:rPr>
                <w:rFonts w:ascii="Times New Roman"/>
                <w:sz w:val="20"/>
                <w:szCs w:val="20"/>
              </w:rPr>
            </w:pPr>
            <w:r w:rsidRPr="000B2B22">
              <w:rPr>
                <w:rFonts w:ascii="Times New Roman"/>
                <w:sz w:val="20"/>
                <w:szCs w:val="20"/>
              </w:rPr>
              <w:t>6.7</w:t>
            </w:r>
          </w:p>
          <w:p w14:paraId="45D310E9"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(p=0.0026)</w:t>
            </w:r>
          </w:p>
        </w:tc>
        <w:tc>
          <w:tcPr>
            <w:tcW w:w="1290" w:type="pct"/>
          </w:tcPr>
          <w:p w14:paraId="4D3C9010" w14:textId="0267F937" w:rsidR="00047E69" w:rsidRPr="000B2B22" w:rsidRDefault="00C210A5" w:rsidP="00F1460D">
            <w:pPr>
              <w:pStyle w:val="TableParagraph"/>
              <w:widowControl/>
              <w:jc w:val="center"/>
              <w:rPr>
                <w:rFonts w:ascii="Times New Roman"/>
                <w:sz w:val="20"/>
                <w:szCs w:val="20"/>
              </w:rPr>
            </w:pPr>
            <w:r w:rsidRPr="000B2B22">
              <w:rPr>
                <w:rFonts w:ascii="Times New Roman"/>
                <w:sz w:val="20"/>
                <w:szCs w:val="20"/>
              </w:rPr>
              <w:t>6.5</w:t>
            </w:r>
          </w:p>
          <w:p w14:paraId="276F925A"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(p=0.0301)</w:t>
            </w:r>
          </w:p>
        </w:tc>
      </w:tr>
      <w:tr w:rsidR="005A5348" w:rsidRPr="000B2B22" w14:paraId="3BF457D2" w14:textId="77777777" w:rsidTr="004228B0">
        <w:tc>
          <w:tcPr>
            <w:tcW w:w="1117" w:type="pct"/>
          </w:tcPr>
          <w:p w14:paraId="1BFA8610" w14:textId="77777777" w:rsidR="00047E69" w:rsidRPr="000B2B22" w:rsidRDefault="00C210A5" w:rsidP="00F1460D">
            <w:pPr>
              <w:pStyle w:val="TableParagraph"/>
              <w:widowControl/>
              <w:rPr>
                <w:rFonts w:ascii="Times New Roman" w:eastAsia="Times New Roman" w:hAnsi="Times New Roman" w:cs="Times New Roman"/>
                <w:sz w:val="20"/>
                <w:szCs w:val="20"/>
              </w:rPr>
            </w:pPr>
            <w:r w:rsidRPr="000B2B22">
              <w:rPr>
                <w:rFonts w:ascii="Times New Roman"/>
                <w:sz w:val="20"/>
                <w:szCs w:val="20"/>
              </w:rPr>
              <w:t>Hazard ratio</w:t>
            </w:r>
          </w:p>
        </w:tc>
        <w:tc>
          <w:tcPr>
            <w:tcW w:w="1275" w:type="pct"/>
          </w:tcPr>
          <w:p w14:paraId="74F5C93C" w14:textId="77777777" w:rsidR="00047E69" w:rsidRPr="000B2B22" w:rsidRDefault="00047E69" w:rsidP="00F1460D">
            <w:pPr>
              <w:widowControl/>
              <w:rPr>
                <w:sz w:val="20"/>
                <w:szCs w:val="20"/>
              </w:rPr>
            </w:pPr>
          </w:p>
        </w:tc>
        <w:tc>
          <w:tcPr>
            <w:tcW w:w="1318" w:type="pct"/>
          </w:tcPr>
          <w:p w14:paraId="1435F032"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0.75</w:t>
            </w:r>
          </w:p>
          <w:p w14:paraId="744C6921"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[0.62; 0.91]</w:t>
            </w:r>
          </w:p>
        </w:tc>
        <w:tc>
          <w:tcPr>
            <w:tcW w:w="1290" w:type="pct"/>
          </w:tcPr>
          <w:p w14:paraId="326A1552"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0.82</w:t>
            </w:r>
          </w:p>
          <w:p w14:paraId="2AC0A7DB"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[0.68; 0.98]</w:t>
            </w:r>
          </w:p>
        </w:tc>
      </w:tr>
      <w:tr w:rsidR="005A5348" w:rsidRPr="000B2B22" w14:paraId="48B1052E" w14:textId="77777777" w:rsidTr="004228B0">
        <w:tc>
          <w:tcPr>
            <w:tcW w:w="1117" w:type="pct"/>
          </w:tcPr>
          <w:p w14:paraId="27D9F645" w14:textId="77777777" w:rsidR="00047E69" w:rsidRPr="000B2B22" w:rsidRDefault="00C210A5" w:rsidP="00F1460D">
            <w:pPr>
              <w:pStyle w:val="TableParagraph"/>
              <w:widowControl/>
              <w:rPr>
                <w:rFonts w:ascii="Times New Roman" w:eastAsia="Times New Roman" w:hAnsi="Times New Roman" w:cs="Times New Roman"/>
                <w:sz w:val="20"/>
                <w:szCs w:val="20"/>
              </w:rPr>
            </w:pPr>
            <w:r w:rsidRPr="000B2B22">
              <w:rPr>
                <w:rFonts w:ascii="Times New Roman"/>
                <w:sz w:val="20"/>
                <w:szCs w:val="20"/>
              </w:rPr>
              <w:t>Best overall response</w:t>
            </w:r>
            <w:r w:rsidR="00CC5F76" w:rsidRPr="000B2B22">
              <w:rPr>
                <w:rFonts w:ascii="Times New Roman"/>
                <w:sz w:val="20"/>
                <w:szCs w:val="20"/>
              </w:rPr>
              <w:t xml:space="preserve"> </w:t>
            </w:r>
            <w:r w:rsidRPr="000B2B22">
              <w:rPr>
                <w:rFonts w:ascii="Times New Roman"/>
                <w:sz w:val="20"/>
                <w:szCs w:val="20"/>
              </w:rPr>
              <w:t>rate</w:t>
            </w:r>
            <w:r w:rsidR="00CC5F76" w:rsidRPr="000B2B22">
              <w:rPr>
                <w:rFonts w:ascii="Times New Roman"/>
                <w:sz w:val="20"/>
                <w:szCs w:val="20"/>
                <w:vertAlign w:val="superscript"/>
              </w:rPr>
              <w:t>a</w:t>
            </w:r>
          </w:p>
        </w:tc>
        <w:tc>
          <w:tcPr>
            <w:tcW w:w="1275" w:type="pct"/>
          </w:tcPr>
          <w:p w14:paraId="6FC98CE1"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20.1%</w:t>
            </w:r>
          </w:p>
        </w:tc>
        <w:tc>
          <w:tcPr>
            <w:tcW w:w="1318" w:type="pct"/>
          </w:tcPr>
          <w:p w14:paraId="222E8F72"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34.1%</w:t>
            </w:r>
          </w:p>
          <w:p w14:paraId="6F41DE0E" w14:textId="77777777" w:rsidR="00047E69"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(p &lt; 0.0001)</w:t>
            </w:r>
          </w:p>
        </w:tc>
        <w:tc>
          <w:tcPr>
            <w:tcW w:w="1290" w:type="pct"/>
          </w:tcPr>
          <w:p w14:paraId="4CF0B087" w14:textId="77777777" w:rsidR="00047E69" w:rsidRPr="000B2B22" w:rsidRDefault="00C210A5" w:rsidP="00F1460D">
            <w:pPr>
              <w:pStyle w:val="TableParagraph"/>
              <w:widowControl/>
              <w:rPr>
                <w:rFonts w:ascii="Times New Roman" w:eastAsia="Times New Roman" w:hAnsi="Times New Roman" w:cs="Times New Roman"/>
                <w:sz w:val="20"/>
                <w:szCs w:val="20"/>
              </w:rPr>
            </w:pPr>
            <w:r w:rsidRPr="000B2B22">
              <w:rPr>
                <w:rFonts w:ascii="Times New Roman"/>
                <w:sz w:val="20"/>
                <w:szCs w:val="20"/>
              </w:rPr>
              <w:t>30.4% (p=0.0023)</w:t>
            </w:r>
          </w:p>
        </w:tc>
      </w:tr>
      <w:tr w:rsidR="00A27683" w:rsidRPr="000B2B22" w14:paraId="54D948B1" w14:textId="77777777" w:rsidTr="00422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14:paraId="2E001959" w14:textId="77777777" w:rsidR="000674F2" w:rsidRPr="000B2B22" w:rsidRDefault="00C210A5" w:rsidP="00F1460D">
            <w:pPr>
              <w:pStyle w:val="TableParagraph"/>
              <w:widowControl/>
              <w:rPr>
                <w:rFonts w:ascii="Times New Roman" w:eastAsia="Times New Roman" w:hAnsi="Times New Roman" w:cs="Times New Roman"/>
                <w:b/>
                <w:bCs/>
                <w:sz w:val="20"/>
                <w:szCs w:val="20"/>
              </w:rPr>
            </w:pPr>
            <w:r w:rsidRPr="000B2B22">
              <w:rPr>
                <w:rFonts w:ascii="Times New Roman"/>
                <w:b/>
                <w:bCs/>
                <w:sz w:val="20"/>
                <w:szCs w:val="20"/>
              </w:rPr>
              <w:t>Overall survival</w:t>
            </w:r>
          </w:p>
        </w:tc>
      </w:tr>
      <w:tr w:rsidR="00A27683" w:rsidRPr="000B2B22" w14:paraId="73FB9757" w14:textId="77777777" w:rsidTr="00422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7" w:type="pct"/>
            <w:tcBorders>
              <w:top w:val="single" w:sz="4" w:space="0" w:color="auto"/>
              <w:left w:val="single" w:sz="4" w:space="0" w:color="auto"/>
              <w:bottom w:val="single" w:sz="4" w:space="0" w:color="auto"/>
              <w:right w:val="single" w:sz="4" w:space="0" w:color="auto"/>
            </w:tcBorders>
          </w:tcPr>
          <w:p w14:paraId="2EC69494" w14:textId="77777777" w:rsidR="000674F2" w:rsidRPr="000B2B22" w:rsidRDefault="00C210A5" w:rsidP="00F1460D">
            <w:pPr>
              <w:pStyle w:val="TableParagraph"/>
              <w:widowControl/>
              <w:rPr>
                <w:rFonts w:ascii="Times New Roman"/>
                <w:sz w:val="20"/>
                <w:szCs w:val="20"/>
              </w:rPr>
            </w:pPr>
            <w:r w:rsidRPr="000B2B22">
              <w:rPr>
                <w:rFonts w:ascii="Times New Roman"/>
                <w:sz w:val="20"/>
                <w:szCs w:val="20"/>
              </w:rPr>
              <w:t>Median (months)</w:t>
            </w:r>
          </w:p>
        </w:tc>
        <w:tc>
          <w:tcPr>
            <w:tcW w:w="1275" w:type="pct"/>
            <w:tcBorders>
              <w:top w:val="single" w:sz="4" w:space="0" w:color="auto"/>
              <w:left w:val="single" w:sz="4" w:space="0" w:color="auto"/>
              <w:bottom w:val="single" w:sz="4" w:space="0" w:color="auto"/>
              <w:right w:val="single" w:sz="4" w:space="0" w:color="auto"/>
            </w:tcBorders>
          </w:tcPr>
          <w:p w14:paraId="133EC949" w14:textId="77777777"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13.1</w:t>
            </w:r>
          </w:p>
        </w:tc>
        <w:tc>
          <w:tcPr>
            <w:tcW w:w="1318" w:type="pct"/>
            <w:tcBorders>
              <w:top w:val="single" w:sz="4" w:space="0" w:color="auto"/>
              <w:left w:val="single" w:sz="4" w:space="0" w:color="auto"/>
              <w:bottom w:val="single" w:sz="4" w:space="0" w:color="auto"/>
              <w:right w:val="single" w:sz="4" w:space="0" w:color="auto"/>
            </w:tcBorders>
          </w:tcPr>
          <w:p w14:paraId="6ABCAEFD" w14:textId="77777777"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13.6 (p=0.4203)</w:t>
            </w:r>
          </w:p>
        </w:tc>
        <w:tc>
          <w:tcPr>
            <w:tcW w:w="1290" w:type="pct"/>
            <w:tcBorders>
              <w:top w:val="single" w:sz="4" w:space="0" w:color="auto"/>
              <w:left w:val="single" w:sz="4" w:space="0" w:color="auto"/>
              <w:bottom w:val="single" w:sz="4" w:space="0" w:color="auto"/>
              <w:right w:val="single" w:sz="4" w:space="0" w:color="auto"/>
            </w:tcBorders>
          </w:tcPr>
          <w:p w14:paraId="639205F6" w14:textId="77777777"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13.4 (p=0.7613)</w:t>
            </w:r>
          </w:p>
        </w:tc>
      </w:tr>
      <w:tr w:rsidR="00A27683" w:rsidRPr="000B2B22" w14:paraId="3CBF911D" w14:textId="77777777" w:rsidTr="00422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7" w:type="pct"/>
            <w:tcBorders>
              <w:top w:val="single" w:sz="4" w:space="0" w:color="auto"/>
              <w:left w:val="single" w:sz="4" w:space="0" w:color="auto"/>
              <w:bottom w:val="single" w:sz="4" w:space="0" w:color="auto"/>
              <w:right w:val="single" w:sz="4" w:space="0" w:color="auto"/>
            </w:tcBorders>
          </w:tcPr>
          <w:p w14:paraId="15E9D0CE" w14:textId="77777777" w:rsidR="000674F2" w:rsidRPr="000B2B22" w:rsidRDefault="00C210A5" w:rsidP="00F1460D">
            <w:pPr>
              <w:pStyle w:val="TableParagraph"/>
              <w:widowControl/>
              <w:rPr>
                <w:rFonts w:ascii="Times New Roman" w:eastAsia="Times New Roman" w:hAnsi="Times New Roman" w:cs="Times New Roman"/>
                <w:sz w:val="20"/>
                <w:szCs w:val="20"/>
              </w:rPr>
            </w:pPr>
            <w:r w:rsidRPr="000B2B22">
              <w:rPr>
                <w:rFonts w:ascii="Times New Roman"/>
                <w:sz w:val="20"/>
                <w:szCs w:val="20"/>
              </w:rPr>
              <w:t>Hazard ratio</w:t>
            </w:r>
          </w:p>
        </w:tc>
        <w:tc>
          <w:tcPr>
            <w:tcW w:w="1275" w:type="pct"/>
            <w:tcBorders>
              <w:top w:val="single" w:sz="4" w:space="0" w:color="auto"/>
              <w:left w:val="single" w:sz="4" w:space="0" w:color="auto"/>
              <w:bottom w:val="single" w:sz="4" w:space="0" w:color="auto"/>
              <w:right w:val="single" w:sz="4" w:space="0" w:color="auto"/>
            </w:tcBorders>
          </w:tcPr>
          <w:p w14:paraId="45FC2D67" w14:textId="77777777" w:rsidR="000674F2" w:rsidRPr="000B2B22" w:rsidRDefault="000674F2" w:rsidP="00F1460D">
            <w:pPr>
              <w:widowControl/>
              <w:jc w:val="center"/>
              <w:rPr>
                <w:sz w:val="20"/>
                <w:szCs w:val="20"/>
              </w:rPr>
            </w:pPr>
          </w:p>
        </w:tc>
        <w:tc>
          <w:tcPr>
            <w:tcW w:w="1318" w:type="pct"/>
            <w:tcBorders>
              <w:top w:val="single" w:sz="4" w:space="0" w:color="auto"/>
              <w:left w:val="single" w:sz="4" w:space="0" w:color="auto"/>
              <w:bottom w:val="single" w:sz="4" w:space="0" w:color="auto"/>
              <w:right w:val="single" w:sz="4" w:space="0" w:color="auto"/>
            </w:tcBorders>
          </w:tcPr>
          <w:p w14:paraId="76669597" w14:textId="77777777"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0.93</w:t>
            </w:r>
          </w:p>
          <w:p w14:paraId="5885C581" w14:textId="77777777"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[0.78; 1.11]</w:t>
            </w:r>
          </w:p>
        </w:tc>
        <w:tc>
          <w:tcPr>
            <w:tcW w:w="1290" w:type="pct"/>
            <w:tcBorders>
              <w:top w:val="single" w:sz="4" w:space="0" w:color="auto"/>
              <w:left w:val="single" w:sz="4" w:space="0" w:color="auto"/>
              <w:bottom w:val="single" w:sz="4" w:space="0" w:color="auto"/>
              <w:right w:val="single" w:sz="4" w:space="0" w:color="auto"/>
            </w:tcBorders>
          </w:tcPr>
          <w:p w14:paraId="1EF6C540" w14:textId="77777777"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1.03</w:t>
            </w:r>
          </w:p>
          <w:p w14:paraId="7BF9E47D" w14:textId="3C222363" w:rsidR="000674F2" w:rsidRPr="000B2B22" w:rsidRDefault="00C210A5" w:rsidP="00F1460D">
            <w:pPr>
              <w:pStyle w:val="TableParagraph"/>
              <w:widowControl/>
              <w:jc w:val="center"/>
              <w:rPr>
                <w:rFonts w:ascii="Times New Roman" w:eastAsia="Times New Roman" w:hAnsi="Times New Roman" w:cs="Times New Roman"/>
                <w:sz w:val="20"/>
                <w:szCs w:val="20"/>
              </w:rPr>
            </w:pPr>
            <w:r w:rsidRPr="000B2B22">
              <w:rPr>
                <w:rFonts w:ascii="Times New Roman"/>
                <w:sz w:val="20"/>
                <w:szCs w:val="20"/>
              </w:rPr>
              <w:t>[0.86</w:t>
            </w:r>
            <w:r w:rsidR="00033651" w:rsidRPr="000B2B22">
              <w:rPr>
                <w:rFonts w:ascii="Times New Roman"/>
                <w:sz w:val="20"/>
                <w:szCs w:val="20"/>
              </w:rPr>
              <w:t>;</w:t>
            </w:r>
            <w:r w:rsidRPr="000B2B22">
              <w:rPr>
                <w:rFonts w:ascii="Times New Roman"/>
                <w:sz w:val="20"/>
                <w:szCs w:val="20"/>
              </w:rPr>
              <w:t xml:space="preserve"> 1.23]</w:t>
            </w:r>
          </w:p>
        </w:tc>
      </w:tr>
    </w:tbl>
    <w:p w14:paraId="1071F317" w14:textId="77777777" w:rsidR="00536AFA" w:rsidRPr="000B2B22" w:rsidRDefault="00C210A5" w:rsidP="00F1460D">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a </w:t>
      </w:r>
      <w:r w:rsidRPr="000B2B22">
        <w:rPr>
          <w:rFonts w:ascii="Times New Roman"/>
          <w:sz w:val="20"/>
        </w:rPr>
        <w:t>patients with measurable disease at baseline</w:t>
      </w:r>
    </w:p>
    <w:p w14:paraId="3C606C56" w14:textId="77777777" w:rsidR="00047E69" w:rsidRPr="000B2B22" w:rsidRDefault="00047E69" w:rsidP="00F1460D">
      <w:pPr>
        <w:widowControl/>
        <w:adjustRightInd w:val="0"/>
        <w:snapToGrid w:val="0"/>
        <w:rPr>
          <w:rFonts w:ascii="Times New Roman" w:eastAsia="Times New Roman" w:hAnsi="Times New Roman" w:cs="Times New Roman"/>
          <w:sz w:val="14"/>
          <w:szCs w:val="14"/>
        </w:rPr>
      </w:pPr>
    </w:p>
    <w:p w14:paraId="5A28F2C9" w14:textId="5833CD2D"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First</w:t>
      </w:r>
      <w:r w:rsidR="00FD0731" w:rsidRPr="000B2B22">
        <w:rPr>
          <w:rFonts w:ascii="Times New Roman"/>
          <w:i/>
        </w:rPr>
        <w:noBreakHyphen/>
      </w:r>
      <w:r w:rsidRPr="000B2B22">
        <w:rPr>
          <w:rFonts w:ascii="Times New Roman"/>
          <w:i/>
        </w:rPr>
        <w:t>line treatment of non</w:t>
      </w:r>
      <w:r w:rsidR="00FD0731" w:rsidRPr="000B2B22">
        <w:rPr>
          <w:rFonts w:ascii="Times New Roman"/>
          <w:i/>
        </w:rPr>
        <w:noBreakHyphen/>
      </w:r>
      <w:r w:rsidRPr="000B2B22">
        <w:rPr>
          <w:rFonts w:ascii="Times New Roman"/>
          <w:i/>
        </w:rPr>
        <w:t>squamous NSCLC with EGFR activating mutations in combination with erlotinib</w:t>
      </w:r>
    </w:p>
    <w:p w14:paraId="6FF6F729" w14:textId="77777777" w:rsidR="00047E69" w:rsidRPr="000B2B22" w:rsidRDefault="00047E69" w:rsidP="00F1460D">
      <w:pPr>
        <w:adjustRightInd w:val="0"/>
        <w:snapToGrid w:val="0"/>
        <w:rPr>
          <w:rFonts w:ascii="Times New Roman" w:eastAsia="Times New Roman" w:hAnsi="Times New Roman" w:cs="Times New Roman"/>
          <w:i/>
        </w:rPr>
      </w:pPr>
    </w:p>
    <w:p w14:paraId="7074E08B" w14:textId="77777777" w:rsidR="00047E69" w:rsidRPr="000B2B22" w:rsidRDefault="00C210A5" w:rsidP="00F1460D">
      <w:pPr>
        <w:adjustRightInd w:val="0"/>
        <w:snapToGrid w:val="0"/>
        <w:rPr>
          <w:rFonts w:ascii="Times New Roman" w:eastAsia="Times New Roman" w:hAnsi="Times New Roman" w:cs="Times New Roman"/>
        </w:rPr>
      </w:pPr>
      <w:r w:rsidRPr="000B2B22">
        <w:rPr>
          <w:rFonts w:ascii="Times New Roman"/>
          <w:i/>
        </w:rPr>
        <w:t>JO25567</w:t>
      </w:r>
    </w:p>
    <w:p w14:paraId="4ED7300D" w14:textId="58E78BD8" w:rsidR="00047E69" w:rsidRPr="000B2B22" w:rsidRDefault="00C210A5" w:rsidP="00F1460D">
      <w:pPr>
        <w:pStyle w:val="a5"/>
        <w:adjustRightInd w:val="0"/>
        <w:snapToGrid w:val="0"/>
        <w:ind w:hanging="1"/>
      </w:pPr>
      <w:r w:rsidRPr="000B2B22">
        <w:t>Study JO25567 was a randomized, open</w:t>
      </w:r>
      <w:r w:rsidR="00FD0731" w:rsidRPr="000B2B22">
        <w:noBreakHyphen/>
      </w:r>
      <w:r w:rsidRPr="000B2B22">
        <w:t>label, multi</w:t>
      </w:r>
      <w:r w:rsidR="00FD0731" w:rsidRPr="000B2B22">
        <w:noBreakHyphen/>
      </w:r>
      <w:r w:rsidRPr="000B2B22">
        <w:t>center Phase II study conducted in Japan to evaluate the efficacy and safety of bevacizumab used in addition to erlotinib in patients with non</w:t>
      </w:r>
      <w:r w:rsidR="00FD0731" w:rsidRPr="000B2B22">
        <w:noBreakHyphen/>
      </w:r>
      <w:r w:rsidRPr="000B2B22">
        <w:t>squamous NSCLC with EGFR activating mutations (exon 19 deletion or exon 21 L858R mutation) who had not received prior systemic therapy for Stage IIIB/IV or recurrent disease.</w:t>
      </w:r>
    </w:p>
    <w:p w14:paraId="305B50CB" w14:textId="77777777" w:rsidR="00047E69" w:rsidRPr="000B2B22" w:rsidRDefault="00047E69" w:rsidP="00F1460D">
      <w:pPr>
        <w:adjustRightInd w:val="0"/>
        <w:snapToGrid w:val="0"/>
        <w:rPr>
          <w:rFonts w:ascii="Times New Roman" w:eastAsia="Times New Roman" w:hAnsi="Times New Roman" w:cs="Times New Roman"/>
          <w:sz w:val="21"/>
          <w:szCs w:val="21"/>
        </w:rPr>
      </w:pPr>
    </w:p>
    <w:p w14:paraId="3A374F11" w14:textId="58A4AE54" w:rsidR="00047E69" w:rsidRPr="000B2B22" w:rsidRDefault="00C210A5" w:rsidP="00F1460D">
      <w:pPr>
        <w:pStyle w:val="a5"/>
        <w:adjustRightInd w:val="0"/>
        <w:snapToGrid w:val="0"/>
      </w:pPr>
      <w:r w:rsidRPr="000B2B22">
        <w:t xml:space="preserve">The primary endpoint was PFS based on independent review assessment. Secondary endpoints included </w:t>
      </w:r>
      <w:r w:rsidR="00410031" w:rsidRPr="000B2B22">
        <w:t>OS</w:t>
      </w:r>
      <w:r w:rsidRPr="000B2B22">
        <w:t>, response rate, disease control rate, duration of response, and safety.</w:t>
      </w:r>
    </w:p>
    <w:p w14:paraId="76E1186A" w14:textId="77777777" w:rsidR="00047E69" w:rsidRPr="000B2B22" w:rsidRDefault="00047E69" w:rsidP="00F1460D">
      <w:pPr>
        <w:adjustRightInd w:val="0"/>
        <w:snapToGrid w:val="0"/>
        <w:rPr>
          <w:rFonts w:ascii="Times New Roman" w:eastAsia="Times New Roman" w:hAnsi="Times New Roman" w:cs="Times New Roman"/>
        </w:rPr>
      </w:pPr>
    </w:p>
    <w:p w14:paraId="27D1D60A" w14:textId="36693C43" w:rsidR="00047E69" w:rsidRPr="000B2B22" w:rsidRDefault="00C210A5" w:rsidP="00F1460D">
      <w:pPr>
        <w:pStyle w:val="a5"/>
        <w:adjustRightInd w:val="0"/>
        <w:snapToGrid w:val="0"/>
      </w:pPr>
      <w:r w:rsidRPr="000B2B22">
        <w:t>EGFR mutation status was determined for each patient prior to patient screening and 154 patients were randomised to receive either erlotinib + bevacizumab (erlotinib 150 mg oral daily + bevacizumab [15</w:t>
      </w:r>
      <w:r w:rsidR="000871AA">
        <w:t> </w:t>
      </w:r>
      <w:r w:rsidRPr="000B2B22">
        <w:t xml:space="preserve">mg/kg </w:t>
      </w:r>
      <w:r w:rsidR="005603A9" w:rsidRPr="000B2B22">
        <w:t>intravenous</w:t>
      </w:r>
      <w:r w:rsidRPr="000B2B22">
        <w:t xml:space="preserve"> every 3 weeks]) or erlotinib monotherapy (150 mg oral daily) until disease progression (PD) or unacceptable toxicity. In the absence of PD, discontinuation of one component of study treatment in the erlotinib + bevacizumab arm did not lead to discontinuation of the other component of study treatment as specified in the study protocol.</w:t>
      </w:r>
    </w:p>
    <w:p w14:paraId="22329CEC" w14:textId="77777777" w:rsidR="00A135EE" w:rsidRPr="000B2B22" w:rsidRDefault="00A135EE" w:rsidP="00F1460D">
      <w:pPr>
        <w:pStyle w:val="a5"/>
        <w:adjustRightInd w:val="0"/>
        <w:snapToGrid w:val="0"/>
      </w:pPr>
    </w:p>
    <w:p w14:paraId="69306FCA" w14:textId="789FB6BE" w:rsidR="00047E69" w:rsidRPr="000B2B22" w:rsidRDefault="00C210A5" w:rsidP="00F1460D">
      <w:pPr>
        <w:pStyle w:val="a5"/>
        <w:adjustRightInd w:val="0"/>
        <w:snapToGrid w:val="0"/>
      </w:pPr>
      <w:r w:rsidRPr="000B2B22">
        <w:t>The efficacy results of the study are presented in Table 14.</w:t>
      </w:r>
    </w:p>
    <w:p w14:paraId="71DB4FFC" w14:textId="74D3CCF9" w:rsidR="00373D33" w:rsidRPr="000B2B22" w:rsidRDefault="00373D33" w:rsidP="005E4476"/>
    <w:p w14:paraId="0FD16724" w14:textId="43BE2D44"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14</w:t>
      </w:r>
      <w:r w:rsidRPr="00536B4F">
        <w:rPr>
          <w:rFonts w:ascii="Times New Roman" w:hAnsi="Times New Roman" w:cs="Times New Roman"/>
          <w:b/>
          <w:bCs/>
        </w:rPr>
        <w:tab/>
        <w:t>Efficacy results for study JO25567</w:t>
      </w:r>
    </w:p>
    <w:p w14:paraId="323B7D0F" w14:textId="77777777" w:rsidR="00AF607F" w:rsidRPr="000B2B22" w:rsidRDefault="00AF607F" w:rsidP="005E4476">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4389"/>
        <w:gridCol w:w="2026"/>
        <w:gridCol w:w="2649"/>
      </w:tblGrid>
      <w:tr w:rsidR="00A27683" w:rsidRPr="000B2B22" w14:paraId="41346A31" w14:textId="77777777" w:rsidTr="00F1460D">
        <w:trPr>
          <w:tblHeader/>
        </w:trPr>
        <w:tc>
          <w:tcPr>
            <w:tcW w:w="4297" w:type="dxa"/>
            <w:tcBorders>
              <w:top w:val="single" w:sz="4" w:space="0" w:color="auto"/>
              <w:left w:val="single" w:sz="4" w:space="0" w:color="auto"/>
              <w:bottom w:val="single" w:sz="4" w:space="0" w:color="auto"/>
              <w:right w:val="single" w:sz="4" w:space="0" w:color="auto"/>
            </w:tcBorders>
          </w:tcPr>
          <w:p w14:paraId="005D48E0" w14:textId="77777777" w:rsidR="00047E69" w:rsidRPr="000B2B22" w:rsidRDefault="00047E69" w:rsidP="00F1460D"/>
        </w:tc>
        <w:tc>
          <w:tcPr>
            <w:tcW w:w="1984" w:type="dxa"/>
            <w:tcBorders>
              <w:top w:val="single" w:sz="4" w:space="0" w:color="auto"/>
              <w:left w:val="single" w:sz="4" w:space="0" w:color="auto"/>
              <w:bottom w:val="single" w:sz="4" w:space="0" w:color="auto"/>
              <w:right w:val="single" w:sz="4" w:space="0" w:color="auto"/>
            </w:tcBorders>
          </w:tcPr>
          <w:p w14:paraId="15C159F9"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b/>
              </w:rPr>
              <w:t>Erlotinib N = 77</w:t>
            </w:r>
            <w:r w:rsidR="00CC5F76" w:rsidRPr="000B2B22">
              <w:rPr>
                <w:rFonts w:ascii="Times New Roman"/>
                <w:b/>
                <w:vertAlign w:val="superscript"/>
              </w:rPr>
              <w:t>#</w:t>
            </w:r>
          </w:p>
        </w:tc>
        <w:tc>
          <w:tcPr>
            <w:tcW w:w="2594" w:type="dxa"/>
            <w:tcBorders>
              <w:top w:val="single" w:sz="4" w:space="0" w:color="auto"/>
              <w:left w:val="single" w:sz="4" w:space="0" w:color="auto"/>
              <w:bottom w:val="single" w:sz="4" w:space="0" w:color="auto"/>
              <w:right w:val="single" w:sz="4" w:space="0" w:color="auto"/>
            </w:tcBorders>
          </w:tcPr>
          <w:p w14:paraId="35A55976" w14:textId="77777777" w:rsidR="00047E69" w:rsidRPr="000B2B22" w:rsidRDefault="00C210A5" w:rsidP="00F1460D">
            <w:pPr>
              <w:pStyle w:val="TableParagraph"/>
              <w:jc w:val="center"/>
              <w:rPr>
                <w:rFonts w:ascii="Times New Roman"/>
                <w:b/>
              </w:rPr>
            </w:pPr>
            <w:r w:rsidRPr="000B2B22">
              <w:rPr>
                <w:rFonts w:ascii="Times New Roman"/>
                <w:b/>
              </w:rPr>
              <w:t>Erlotinib +</w:t>
            </w:r>
          </w:p>
          <w:p w14:paraId="2365C7F6" w14:textId="77777777" w:rsidR="00047E69" w:rsidRPr="000B2B22" w:rsidRDefault="00C210A5" w:rsidP="00F1460D">
            <w:pPr>
              <w:pStyle w:val="TableParagraph"/>
              <w:jc w:val="center"/>
              <w:rPr>
                <w:rFonts w:ascii="Times New Roman"/>
                <w:b/>
              </w:rPr>
            </w:pPr>
            <w:r w:rsidRPr="000B2B22">
              <w:rPr>
                <w:rFonts w:ascii="Times New Roman"/>
                <w:b/>
              </w:rPr>
              <w:t>Bevacizumab</w:t>
            </w:r>
          </w:p>
          <w:p w14:paraId="12B4E7FC"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b/>
              </w:rPr>
              <w:t>N = 75</w:t>
            </w:r>
            <w:r w:rsidR="00CC5F76" w:rsidRPr="000B2B22">
              <w:rPr>
                <w:rFonts w:ascii="Times New Roman"/>
                <w:b/>
                <w:vertAlign w:val="superscript"/>
              </w:rPr>
              <w:t>#</w:t>
            </w:r>
          </w:p>
        </w:tc>
      </w:tr>
      <w:tr w:rsidR="00A27683" w:rsidRPr="000B2B22" w14:paraId="4F9B2AD0" w14:textId="77777777" w:rsidTr="004228B0">
        <w:tc>
          <w:tcPr>
            <w:tcW w:w="4297" w:type="dxa"/>
            <w:tcBorders>
              <w:top w:val="single" w:sz="4" w:space="0" w:color="auto"/>
              <w:left w:val="single" w:sz="4" w:space="0" w:color="auto"/>
              <w:bottom w:val="single" w:sz="4" w:space="0" w:color="auto"/>
              <w:right w:val="single" w:sz="4" w:space="0" w:color="auto"/>
            </w:tcBorders>
          </w:tcPr>
          <w:p w14:paraId="12DAA3C2" w14:textId="3D8E7135" w:rsidR="00047E69" w:rsidRPr="000B2B22" w:rsidRDefault="00C210A5" w:rsidP="00F1460D">
            <w:pPr>
              <w:pStyle w:val="TableParagraph"/>
              <w:rPr>
                <w:rFonts w:ascii="Times New Roman" w:eastAsia="Times New Roman" w:hAnsi="Times New Roman" w:cs="Times New Roman"/>
              </w:rPr>
            </w:pPr>
            <w:r w:rsidRPr="000B2B22">
              <w:rPr>
                <w:rFonts w:ascii="Times New Roman"/>
                <w:b/>
                <w:bCs/>
              </w:rPr>
              <w:t>PFS^</w:t>
            </w:r>
            <w:r w:rsidRPr="000B2B22">
              <w:rPr>
                <w:rFonts w:ascii="Times New Roman"/>
              </w:rPr>
              <w:t xml:space="preserve"> </w:t>
            </w:r>
          </w:p>
          <w:p w14:paraId="68C907AA" w14:textId="70EF65F9" w:rsidR="00047E69" w:rsidRPr="000B2B22" w:rsidRDefault="00C210A5" w:rsidP="00F1460D">
            <w:pPr>
              <w:pStyle w:val="TableParagraph"/>
              <w:rPr>
                <w:rFonts w:ascii="Times New Roman" w:eastAsia="Times New Roman" w:hAnsi="Times New Roman" w:cs="Times New Roman"/>
              </w:rPr>
            </w:pPr>
            <w:r w:rsidRPr="000B2B22">
              <w:rPr>
                <w:rFonts w:ascii="Times New Roman" w:hint="eastAsia"/>
                <w:lang w:eastAsia="ko-KR"/>
              </w:rPr>
              <w:t>Median</w:t>
            </w:r>
            <w:r w:rsidR="001D0819" w:rsidRPr="000B2B22">
              <w:rPr>
                <w:rFonts w:ascii="Times New Roman"/>
                <w:lang w:eastAsia="ko-KR"/>
              </w:rPr>
              <w:t xml:space="preserve"> </w:t>
            </w:r>
            <w:r w:rsidR="001D0819" w:rsidRPr="000B2B22">
              <w:rPr>
                <w:rFonts w:ascii="Times New Roman"/>
              </w:rPr>
              <w:t>(months)</w:t>
            </w:r>
          </w:p>
        </w:tc>
        <w:tc>
          <w:tcPr>
            <w:tcW w:w="1984" w:type="dxa"/>
            <w:tcBorders>
              <w:top w:val="single" w:sz="4" w:space="0" w:color="auto"/>
              <w:left w:val="single" w:sz="4" w:space="0" w:color="auto"/>
              <w:bottom w:val="single" w:sz="4" w:space="0" w:color="auto"/>
              <w:right w:val="single" w:sz="4" w:space="0" w:color="auto"/>
            </w:tcBorders>
          </w:tcPr>
          <w:p w14:paraId="0337FBD3" w14:textId="77777777" w:rsidR="00047E69" w:rsidRPr="000B2B22" w:rsidRDefault="00047E69" w:rsidP="00F1460D">
            <w:pPr>
              <w:pStyle w:val="TableParagraph"/>
              <w:jc w:val="center"/>
              <w:rPr>
                <w:rFonts w:ascii="Times New Roman" w:eastAsia="Times New Roman" w:hAnsi="Times New Roman" w:cs="Times New Roman"/>
                <w:b/>
                <w:bCs/>
              </w:rPr>
            </w:pPr>
          </w:p>
          <w:p w14:paraId="15C472D2"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9.7</w:t>
            </w:r>
          </w:p>
        </w:tc>
        <w:tc>
          <w:tcPr>
            <w:tcW w:w="2594" w:type="dxa"/>
            <w:tcBorders>
              <w:top w:val="single" w:sz="4" w:space="0" w:color="auto"/>
              <w:left w:val="single" w:sz="4" w:space="0" w:color="auto"/>
              <w:bottom w:val="single" w:sz="4" w:space="0" w:color="auto"/>
              <w:right w:val="single" w:sz="4" w:space="0" w:color="auto"/>
            </w:tcBorders>
          </w:tcPr>
          <w:p w14:paraId="2C75995D" w14:textId="77777777" w:rsidR="00047E69" w:rsidRPr="000B2B22" w:rsidRDefault="00047E69" w:rsidP="00F1460D">
            <w:pPr>
              <w:pStyle w:val="TableParagraph"/>
              <w:jc w:val="center"/>
              <w:rPr>
                <w:rFonts w:ascii="Times New Roman" w:eastAsia="Times New Roman" w:hAnsi="Times New Roman" w:cs="Times New Roman"/>
                <w:b/>
                <w:bCs/>
              </w:rPr>
            </w:pPr>
          </w:p>
          <w:p w14:paraId="368962AC"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16.0</w:t>
            </w:r>
          </w:p>
        </w:tc>
      </w:tr>
      <w:tr w:rsidR="00A27683" w:rsidRPr="000B2B22" w14:paraId="3B9FCE36" w14:textId="77777777" w:rsidTr="004228B0">
        <w:tc>
          <w:tcPr>
            <w:tcW w:w="4297" w:type="dxa"/>
            <w:tcBorders>
              <w:top w:val="single" w:sz="4" w:space="0" w:color="auto"/>
              <w:left w:val="single" w:sz="4" w:space="0" w:color="auto"/>
              <w:bottom w:val="single" w:sz="4" w:space="0" w:color="auto"/>
              <w:right w:val="single" w:sz="4" w:space="0" w:color="auto"/>
            </w:tcBorders>
          </w:tcPr>
          <w:p w14:paraId="0EC64E99" w14:textId="77777777" w:rsidR="00047E69" w:rsidRPr="000B2B22" w:rsidRDefault="00C210A5" w:rsidP="00F1460D">
            <w:pPr>
              <w:pStyle w:val="TableParagraph"/>
              <w:rPr>
                <w:rFonts w:ascii="Times New Roman"/>
              </w:rPr>
            </w:pPr>
            <w:r w:rsidRPr="000B2B22">
              <w:rPr>
                <w:rFonts w:ascii="Times New Roman"/>
              </w:rPr>
              <w:t>HR (95% CI)</w:t>
            </w:r>
          </w:p>
          <w:p w14:paraId="68C1FFAC" w14:textId="1C99E2F6" w:rsidR="00047E69" w:rsidRPr="000B2B22" w:rsidRDefault="00C210A5" w:rsidP="00F1460D">
            <w:r w:rsidRPr="000B2B22">
              <w:rPr>
                <w:rFonts w:ascii="Times New Roman"/>
              </w:rPr>
              <w:t>p</w:t>
            </w:r>
            <w:r w:rsidR="00FD0731" w:rsidRPr="000B2B22">
              <w:rPr>
                <w:rFonts w:ascii="Times New Roman"/>
              </w:rPr>
              <w:noBreakHyphen/>
            </w:r>
            <w:r w:rsidRPr="000B2B22">
              <w:rPr>
                <w:rFonts w:ascii="Times New Roman"/>
              </w:rPr>
              <w:t>value</w:t>
            </w:r>
          </w:p>
        </w:tc>
        <w:tc>
          <w:tcPr>
            <w:tcW w:w="4578" w:type="dxa"/>
            <w:gridSpan w:val="2"/>
            <w:tcBorders>
              <w:top w:val="single" w:sz="4" w:space="0" w:color="auto"/>
              <w:left w:val="single" w:sz="4" w:space="0" w:color="auto"/>
              <w:bottom w:val="single" w:sz="4" w:space="0" w:color="auto"/>
              <w:right w:val="single" w:sz="4" w:space="0" w:color="auto"/>
            </w:tcBorders>
          </w:tcPr>
          <w:p w14:paraId="757A5D3F"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0.54 (0.36; 0.79)</w:t>
            </w:r>
          </w:p>
          <w:p w14:paraId="72582C13"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0.0015</w:t>
            </w:r>
          </w:p>
        </w:tc>
      </w:tr>
      <w:tr w:rsidR="00A27683" w:rsidRPr="000B2B22" w14:paraId="00072777" w14:textId="77777777" w:rsidTr="004228B0">
        <w:tc>
          <w:tcPr>
            <w:tcW w:w="4297" w:type="dxa"/>
            <w:tcBorders>
              <w:top w:val="single" w:sz="4" w:space="0" w:color="auto"/>
              <w:left w:val="single" w:sz="4" w:space="0" w:color="auto"/>
              <w:bottom w:val="single" w:sz="4" w:space="0" w:color="auto"/>
              <w:right w:val="single" w:sz="4" w:space="0" w:color="auto"/>
            </w:tcBorders>
          </w:tcPr>
          <w:p w14:paraId="7CB6CA73" w14:textId="06F2E9DE" w:rsidR="00047E69" w:rsidRPr="000B2B22" w:rsidRDefault="00C210A5" w:rsidP="00F1460D">
            <w:pPr>
              <w:pStyle w:val="TableParagraph"/>
              <w:rPr>
                <w:rFonts w:ascii="Times New Roman" w:eastAsia="Times New Roman" w:hAnsi="Times New Roman" w:cs="Times New Roman"/>
              </w:rPr>
            </w:pPr>
            <w:r w:rsidRPr="000B2B22">
              <w:rPr>
                <w:rFonts w:ascii="Times New Roman"/>
                <w:b/>
              </w:rPr>
              <w:t xml:space="preserve">Overall </w:t>
            </w:r>
            <w:r w:rsidR="00AF607F" w:rsidRPr="000B2B22">
              <w:rPr>
                <w:rFonts w:ascii="Times New Roman"/>
                <w:b/>
              </w:rPr>
              <w:t>r</w:t>
            </w:r>
            <w:r w:rsidRPr="000B2B22">
              <w:rPr>
                <w:rFonts w:ascii="Times New Roman"/>
                <w:b/>
              </w:rPr>
              <w:t xml:space="preserve">esponse </w:t>
            </w:r>
            <w:r w:rsidR="00AF607F" w:rsidRPr="000B2B22">
              <w:rPr>
                <w:rFonts w:ascii="Times New Roman"/>
                <w:b/>
              </w:rPr>
              <w:t>r</w:t>
            </w:r>
            <w:r w:rsidRPr="000B2B22">
              <w:rPr>
                <w:rFonts w:ascii="Times New Roman"/>
                <w:b/>
              </w:rPr>
              <w:t>ate</w:t>
            </w:r>
          </w:p>
          <w:p w14:paraId="0B81A002" w14:textId="77777777" w:rsidR="00047E69" w:rsidRPr="000B2B22" w:rsidRDefault="00C210A5" w:rsidP="00F1460D">
            <w:pPr>
              <w:pStyle w:val="TableParagraph"/>
              <w:rPr>
                <w:rFonts w:ascii="Times New Roman" w:eastAsia="Times New Roman" w:hAnsi="Times New Roman" w:cs="Times New Roman"/>
              </w:rPr>
            </w:pPr>
            <w:r w:rsidRPr="000B2B22">
              <w:rPr>
                <w:rFonts w:ascii="Times New Roman"/>
              </w:rPr>
              <w:t xml:space="preserve">Rate (n) </w:t>
            </w:r>
          </w:p>
        </w:tc>
        <w:tc>
          <w:tcPr>
            <w:tcW w:w="1984" w:type="dxa"/>
            <w:tcBorders>
              <w:top w:val="single" w:sz="4" w:space="0" w:color="auto"/>
              <w:left w:val="single" w:sz="4" w:space="0" w:color="auto"/>
              <w:bottom w:val="single" w:sz="4" w:space="0" w:color="auto"/>
              <w:right w:val="single" w:sz="4" w:space="0" w:color="auto"/>
            </w:tcBorders>
          </w:tcPr>
          <w:p w14:paraId="06E41484" w14:textId="77777777" w:rsidR="00047E69" w:rsidRPr="000B2B22" w:rsidRDefault="00047E69" w:rsidP="00F1460D">
            <w:pPr>
              <w:pStyle w:val="TableParagraph"/>
              <w:jc w:val="center"/>
              <w:rPr>
                <w:rFonts w:ascii="Times New Roman" w:eastAsia="Times New Roman" w:hAnsi="Times New Roman" w:cs="Times New Roman"/>
                <w:b/>
                <w:bCs/>
              </w:rPr>
            </w:pPr>
          </w:p>
          <w:p w14:paraId="76F3D0BC"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63.6% (49)</w:t>
            </w:r>
          </w:p>
        </w:tc>
        <w:tc>
          <w:tcPr>
            <w:tcW w:w="2594" w:type="dxa"/>
            <w:tcBorders>
              <w:top w:val="single" w:sz="4" w:space="0" w:color="auto"/>
              <w:left w:val="single" w:sz="4" w:space="0" w:color="auto"/>
              <w:bottom w:val="single" w:sz="4" w:space="0" w:color="auto"/>
              <w:right w:val="single" w:sz="4" w:space="0" w:color="auto"/>
            </w:tcBorders>
          </w:tcPr>
          <w:p w14:paraId="029BB2C3" w14:textId="77777777" w:rsidR="00047E69" w:rsidRPr="000B2B22" w:rsidRDefault="00047E69" w:rsidP="00F1460D">
            <w:pPr>
              <w:pStyle w:val="TableParagraph"/>
              <w:jc w:val="center"/>
              <w:rPr>
                <w:rFonts w:ascii="Times New Roman" w:eastAsia="Times New Roman" w:hAnsi="Times New Roman" w:cs="Times New Roman"/>
                <w:b/>
                <w:bCs/>
              </w:rPr>
            </w:pPr>
          </w:p>
          <w:p w14:paraId="2A259D10"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69.3% (52)</w:t>
            </w:r>
          </w:p>
        </w:tc>
      </w:tr>
      <w:tr w:rsidR="00A27683" w:rsidRPr="000B2B22" w14:paraId="461B5F1B" w14:textId="77777777" w:rsidTr="004228B0">
        <w:tc>
          <w:tcPr>
            <w:tcW w:w="4297" w:type="dxa"/>
            <w:tcBorders>
              <w:top w:val="single" w:sz="4" w:space="0" w:color="auto"/>
              <w:left w:val="single" w:sz="4" w:space="0" w:color="auto"/>
              <w:bottom w:val="single" w:sz="4" w:space="0" w:color="auto"/>
              <w:right w:val="single" w:sz="4" w:space="0" w:color="auto"/>
            </w:tcBorders>
          </w:tcPr>
          <w:p w14:paraId="2D81B0A3" w14:textId="3002A179" w:rsidR="00047E69" w:rsidRPr="000B2B22" w:rsidRDefault="00C210A5" w:rsidP="00F1460D">
            <w:r w:rsidRPr="000B2B22">
              <w:rPr>
                <w:rFonts w:ascii="Times New Roman"/>
              </w:rPr>
              <w:lastRenderedPageBreak/>
              <w:t>p</w:t>
            </w:r>
            <w:r w:rsidR="00FD0731" w:rsidRPr="000B2B22">
              <w:rPr>
                <w:rFonts w:ascii="Times New Roman"/>
              </w:rPr>
              <w:noBreakHyphen/>
            </w:r>
            <w:r w:rsidRPr="000B2B22">
              <w:rPr>
                <w:rFonts w:ascii="Times New Roman"/>
              </w:rPr>
              <w:t>value</w:t>
            </w:r>
          </w:p>
        </w:tc>
        <w:tc>
          <w:tcPr>
            <w:tcW w:w="4578" w:type="dxa"/>
            <w:gridSpan w:val="2"/>
            <w:tcBorders>
              <w:top w:val="single" w:sz="4" w:space="0" w:color="auto"/>
              <w:left w:val="single" w:sz="4" w:space="0" w:color="auto"/>
              <w:bottom w:val="single" w:sz="4" w:space="0" w:color="auto"/>
              <w:right w:val="single" w:sz="4" w:space="0" w:color="auto"/>
            </w:tcBorders>
          </w:tcPr>
          <w:p w14:paraId="63621DBA"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0.4951</w:t>
            </w:r>
          </w:p>
        </w:tc>
      </w:tr>
      <w:tr w:rsidR="00A27683" w:rsidRPr="000B2B22" w14:paraId="45B4ED1A" w14:textId="77777777" w:rsidTr="004228B0">
        <w:tc>
          <w:tcPr>
            <w:tcW w:w="4297" w:type="dxa"/>
            <w:tcBorders>
              <w:top w:val="single" w:sz="4" w:space="0" w:color="auto"/>
              <w:left w:val="single" w:sz="4" w:space="0" w:color="auto"/>
              <w:bottom w:val="single" w:sz="4" w:space="0" w:color="auto"/>
              <w:right w:val="single" w:sz="4" w:space="0" w:color="auto"/>
            </w:tcBorders>
          </w:tcPr>
          <w:p w14:paraId="231C7649" w14:textId="6FF95ECB" w:rsidR="00047E69" w:rsidRPr="000B2B22" w:rsidRDefault="00C210A5" w:rsidP="00F1460D">
            <w:pPr>
              <w:pStyle w:val="TableParagraph"/>
              <w:jc w:val="both"/>
              <w:rPr>
                <w:rFonts w:ascii="Times New Roman"/>
                <w:b/>
              </w:rPr>
            </w:pPr>
            <w:r w:rsidRPr="000B2B22">
              <w:rPr>
                <w:rFonts w:ascii="Times New Roman"/>
                <w:b/>
              </w:rPr>
              <w:t xml:space="preserve">Overall </w:t>
            </w:r>
            <w:r w:rsidR="00AF607F" w:rsidRPr="000B2B22">
              <w:rPr>
                <w:rFonts w:ascii="Times New Roman"/>
                <w:b/>
              </w:rPr>
              <w:t>s</w:t>
            </w:r>
            <w:r w:rsidRPr="000B2B22">
              <w:rPr>
                <w:rFonts w:ascii="Times New Roman"/>
                <w:b/>
              </w:rPr>
              <w:t>urvival*</w:t>
            </w:r>
          </w:p>
          <w:p w14:paraId="184E8D50" w14:textId="7C5C7E17" w:rsidR="00047E69" w:rsidRPr="000B2B22" w:rsidRDefault="001F1DFD" w:rsidP="00F1460D">
            <w:pPr>
              <w:pStyle w:val="TableParagraph"/>
              <w:jc w:val="both"/>
              <w:rPr>
                <w:rFonts w:ascii="Times New Roman" w:eastAsia="Times New Roman" w:hAnsi="Times New Roman" w:cs="Times New Roman"/>
              </w:rPr>
            </w:pPr>
            <w:r w:rsidRPr="000B2B22">
              <w:rPr>
                <w:rFonts w:ascii="Times New Roman"/>
              </w:rPr>
              <w:t xml:space="preserve">Median </w:t>
            </w:r>
            <w:r w:rsidR="00C210A5" w:rsidRPr="000B2B22">
              <w:rPr>
                <w:rFonts w:ascii="Times New Roman"/>
              </w:rPr>
              <w:t xml:space="preserve">(months) </w:t>
            </w:r>
          </w:p>
        </w:tc>
        <w:tc>
          <w:tcPr>
            <w:tcW w:w="1984" w:type="dxa"/>
            <w:tcBorders>
              <w:top w:val="single" w:sz="4" w:space="0" w:color="auto"/>
              <w:left w:val="single" w:sz="4" w:space="0" w:color="auto"/>
              <w:bottom w:val="single" w:sz="4" w:space="0" w:color="auto"/>
              <w:right w:val="single" w:sz="4" w:space="0" w:color="auto"/>
            </w:tcBorders>
          </w:tcPr>
          <w:p w14:paraId="188FFBC0" w14:textId="77777777" w:rsidR="00047E69" w:rsidRPr="000B2B22" w:rsidRDefault="00047E69" w:rsidP="00F1460D">
            <w:pPr>
              <w:pStyle w:val="TableParagraph"/>
              <w:jc w:val="center"/>
              <w:rPr>
                <w:rFonts w:ascii="Times New Roman" w:eastAsia="Times New Roman" w:hAnsi="Times New Roman" w:cs="Times New Roman"/>
                <w:b/>
                <w:bCs/>
              </w:rPr>
            </w:pPr>
          </w:p>
          <w:p w14:paraId="66B9A560"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47.4</w:t>
            </w:r>
          </w:p>
        </w:tc>
        <w:tc>
          <w:tcPr>
            <w:tcW w:w="2594" w:type="dxa"/>
            <w:tcBorders>
              <w:top w:val="single" w:sz="4" w:space="0" w:color="auto"/>
              <w:left w:val="single" w:sz="4" w:space="0" w:color="auto"/>
              <w:bottom w:val="single" w:sz="4" w:space="0" w:color="auto"/>
              <w:right w:val="single" w:sz="4" w:space="0" w:color="auto"/>
            </w:tcBorders>
          </w:tcPr>
          <w:p w14:paraId="7B0A4FA7" w14:textId="77777777" w:rsidR="00047E69" w:rsidRPr="000B2B22" w:rsidRDefault="00047E69" w:rsidP="00F1460D">
            <w:pPr>
              <w:pStyle w:val="TableParagraph"/>
              <w:jc w:val="center"/>
              <w:rPr>
                <w:rFonts w:ascii="Times New Roman" w:eastAsia="Times New Roman" w:hAnsi="Times New Roman" w:cs="Times New Roman"/>
                <w:b/>
                <w:bCs/>
              </w:rPr>
            </w:pPr>
          </w:p>
          <w:p w14:paraId="559EBC91"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47.0</w:t>
            </w:r>
          </w:p>
        </w:tc>
      </w:tr>
      <w:tr w:rsidR="00A27683" w:rsidRPr="000B2B22" w14:paraId="5B84A77D" w14:textId="77777777" w:rsidTr="004228B0">
        <w:tc>
          <w:tcPr>
            <w:tcW w:w="4297" w:type="dxa"/>
            <w:tcBorders>
              <w:top w:val="single" w:sz="4" w:space="0" w:color="auto"/>
              <w:left w:val="single" w:sz="4" w:space="0" w:color="auto"/>
              <w:bottom w:val="single" w:sz="4" w:space="0" w:color="auto"/>
              <w:right w:val="single" w:sz="4" w:space="0" w:color="auto"/>
            </w:tcBorders>
          </w:tcPr>
          <w:p w14:paraId="48F8E3E6" w14:textId="77777777" w:rsidR="00047E69" w:rsidRPr="000B2B22" w:rsidRDefault="00C210A5" w:rsidP="00F1460D">
            <w:pPr>
              <w:pStyle w:val="TableParagraph"/>
              <w:rPr>
                <w:rFonts w:ascii="Times New Roman" w:eastAsia="Times New Roman" w:hAnsi="Times New Roman" w:cs="Times New Roman"/>
              </w:rPr>
            </w:pPr>
            <w:r w:rsidRPr="000B2B22">
              <w:rPr>
                <w:rFonts w:ascii="Times New Roman"/>
              </w:rPr>
              <w:t>HR (95% CI)</w:t>
            </w:r>
          </w:p>
          <w:p w14:paraId="0F4BC626" w14:textId="035E3989" w:rsidR="00047E69" w:rsidRPr="000B2B22" w:rsidRDefault="00C210A5" w:rsidP="00F1460D">
            <w:r w:rsidRPr="000B2B22">
              <w:rPr>
                <w:rFonts w:ascii="Times New Roman"/>
              </w:rPr>
              <w:t>p</w:t>
            </w:r>
            <w:r w:rsidR="00FD0731" w:rsidRPr="000B2B22">
              <w:rPr>
                <w:rFonts w:ascii="Times New Roman"/>
              </w:rPr>
              <w:noBreakHyphen/>
            </w:r>
            <w:r w:rsidRPr="000B2B22">
              <w:rPr>
                <w:rFonts w:ascii="Times New Roman"/>
              </w:rPr>
              <w:t>value</w:t>
            </w:r>
          </w:p>
        </w:tc>
        <w:tc>
          <w:tcPr>
            <w:tcW w:w="4578" w:type="dxa"/>
            <w:gridSpan w:val="2"/>
            <w:tcBorders>
              <w:top w:val="single" w:sz="4" w:space="0" w:color="auto"/>
              <w:left w:val="single" w:sz="4" w:space="0" w:color="auto"/>
              <w:bottom w:val="single" w:sz="4" w:space="0" w:color="auto"/>
              <w:right w:val="single" w:sz="4" w:space="0" w:color="auto"/>
            </w:tcBorders>
          </w:tcPr>
          <w:p w14:paraId="68FD603E"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0.81 (0.53; 1.23)</w:t>
            </w:r>
          </w:p>
          <w:p w14:paraId="5B620C74" w14:textId="77777777" w:rsidR="00047E69" w:rsidRPr="000B2B22" w:rsidRDefault="00C210A5" w:rsidP="00F1460D">
            <w:pPr>
              <w:pStyle w:val="TableParagraph"/>
              <w:jc w:val="center"/>
              <w:rPr>
                <w:rFonts w:ascii="Times New Roman" w:eastAsia="Times New Roman" w:hAnsi="Times New Roman" w:cs="Times New Roman"/>
              </w:rPr>
            </w:pPr>
            <w:r w:rsidRPr="000B2B22">
              <w:rPr>
                <w:rFonts w:ascii="Times New Roman"/>
              </w:rPr>
              <w:t>0.3267</w:t>
            </w:r>
          </w:p>
        </w:tc>
      </w:tr>
    </w:tbl>
    <w:p w14:paraId="0B1A4F17" w14:textId="77777777" w:rsidR="00047E69" w:rsidRPr="000B2B22" w:rsidRDefault="00C210A5" w:rsidP="00F1460D">
      <w:pPr>
        <w:widowControl/>
        <w:adjustRightInd w:val="0"/>
        <w:snapToGrid w:val="0"/>
        <w:rPr>
          <w:rFonts w:ascii="Times New Roman"/>
          <w:sz w:val="20"/>
        </w:rPr>
      </w:pPr>
      <w:r w:rsidRPr="000B2B22">
        <w:rPr>
          <w:rFonts w:ascii="Times New Roman"/>
          <w:sz w:val="20"/>
        </w:rPr>
        <w:t># A total of 154 patients (ECOG Performance Status 0 or 1) were randomized. However, two of the randomized patients discontinued the study before receiving any study treatment</w:t>
      </w:r>
    </w:p>
    <w:p w14:paraId="0B58CF52" w14:textId="50D1F5F0" w:rsidR="00047E69" w:rsidRPr="000B2B22" w:rsidRDefault="00C210A5" w:rsidP="00F1460D">
      <w:pPr>
        <w:widowControl/>
        <w:adjustRightInd w:val="0"/>
        <w:snapToGrid w:val="0"/>
        <w:rPr>
          <w:rFonts w:ascii="Times New Roman"/>
          <w:sz w:val="20"/>
        </w:rPr>
      </w:pPr>
      <w:r w:rsidRPr="000B2B22">
        <w:rPr>
          <w:rFonts w:ascii="Times New Roman"/>
          <w:sz w:val="20"/>
        </w:rPr>
        <w:t>^ Blinded independent review (protocol</w:t>
      </w:r>
      <w:r w:rsidR="00FD0731" w:rsidRPr="000B2B22">
        <w:rPr>
          <w:rFonts w:ascii="Times New Roman"/>
          <w:sz w:val="20"/>
        </w:rPr>
        <w:noBreakHyphen/>
      </w:r>
      <w:r w:rsidRPr="000B2B22">
        <w:rPr>
          <w:rFonts w:ascii="Times New Roman"/>
          <w:sz w:val="20"/>
        </w:rPr>
        <w:t>defined primary analysis)</w:t>
      </w:r>
    </w:p>
    <w:p w14:paraId="69162579" w14:textId="77777777" w:rsidR="00047E69" w:rsidRPr="000B2B22" w:rsidRDefault="00C210A5" w:rsidP="00F1460D">
      <w:pPr>
        <w:widowControl/>
        <w:adjustRightInd w:val="0"/>
        <w:snapToGrid w:val="0"/>
        <w:rPr>
          <w:rFonts w:ascii="Times New Roman"/>
          <w:sz w:val="20"/>
        </w:rPr>
      </w:pPr>
      <w:r w:rsidRPr="000B2B22">
        <w:rPr>
          <w:rFonts w:ascii="Times New Roman"/>
          <w:sz w:val="20"/>
        </w:rPr>
        <w:t>*Exploratory analysis: final OS analysis at clinical cut off on 31 October 2017, approx. 59% of patients had died.</w:t>
      </w:r>
    </w:p>
    <w:p w14:paraId="11A88500" w14:textId="77777777" w:rsidR="00047E69" w:rsidRPr="000B2B22" w:rsidRDefault="00047E69" w:rsidP="00F1460D">
      <w:pPr>
        <w:widowControl/>
        <w:adjustRightInd w:val="0"/>
        <w:snapToGrid w:val="0"/>
        <w:rPr>
          <w:rFonts w:ascii="Times New Roman" w:eastAsia="Times New Roman" w:hAnsi="Times New Roman" w:cs="Times New Roman"/>
          <w:sz w:val="28"/>
          <w:szCs w:val="28"/>
        </w:rPr>
      </w:pPr>
    </w:p>
    <w:p w14:paraId="09031603" w14:textId="77777777" w:rsidR="00047E69" w:rsidRPr="000B2B22" w:rsidRDefault="00C210A5" w:rsidP="00F1460D">
      <w:pPr>
        <w:widowControl/>
        <w:adjustRightInd w:val="0"/>
        <w:snapToGrid w:val="0"/>
        <w:rPr>
          <w:rFonts w:ascii="Times New Roman" w:eastAsia="Times New Roman" w:hAnsi="Times New Roman" w:cs="Times New Roman"/>
          <w:sz w:val="20"/>
          <w:szCs w:val="20"/>
        </w:rPr>
      </w:pPr>
      <w:r w:rsidRPr="000B2B22">
        <w:rPr>
          <w:rFonts w:ascii="Times New Roman"/>
          <w:sz w:val="20"/>
        </w:rPr>
        <w:t>CI, confidence interval; HR, Hazard ratio from unstratified Cox regression analysis; NR, not reached.</w:t>
      </w:r>
    </w:p>
    <w:p w14:paraId="56702FBB" w14:textId="77777777" w:rsidR="00047E69" w:rsidRPr="000B2B22" w:rsidRDefault="00047E69" w:rsidP="00F1460D">
      <w:pPr>
        <w:widowControl/>
        <w:adjustRightInd w:val="0"/>
        <w:snapToGrid w:val="0"/>
        <w:rPr>
          <w:rFonts w:ascii="Times New Roman" w:eastAsia="Times New Roman" w:hAnsi="Times New Roman" w:cs="Times New Roman"/>
        </w:rPr>
      </w:pPr>
    </w:p>
    <w:p w14:paraId="28E3ED14"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u w:val="single" w:color="000000"/>
        </w:rPr>
        <w:t>Advanced and/or metastatic renal cell cancer (mRCC)</w:t>
      </w:r>
    </w:p>
    <w:p w14:paraId="4B0AF16E" w14:textId="77777777" w:rsidR="00047E69" w:rsidRPr="000B2B22" w:rsidRDefault="00047E69" w:rsidP="00F1460D">
      <w:pPr>
        <w:widowControl/>
        <w:adjustRightInd w:val="0"/>
        <w:snapToGrid w:val="0"/>
        <w:rPr>
          <w:rFonts w:ascii="Times New Roman" w:eastAsia="Times New Roman" w:hAnsi="Times New Roman" w:cs="Times New Roman"/>
          <w:i/>
          <w:sz w:val="15"/>
          <w:szCs w:val="15"/>
        </w:rPr>
      </w:pPr>
    </w:p>
    <w:p w14:paraId="7DDCE8A4" w14:textId="4373A9BB"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Bevacizumab in combination with interferon alfa</w:t>
      </w:r>
      <w:r w:rsidR="00FD0731" w:rsidRPr="000B2B22">
        <w:rPr>
          <w:rFonts w:ascii="Times New Roman"/>
          <w:i/>
        </w:rPr>
        <w:noBreakHyphen/>
      </w:r>
      <w:r w:rsidRPr="000B2B22">
        <w:rPr>
          <w:rFonts w:ascii="Times New Roman"/>
          <w:i/>
        </w:rPr>
        <w:t>2a for the first</w:t>
      </w:r>
      <w:r w:rsidR="00FD0731" w:rsidRPr="000B2B22">
        <w:rPr>
          <w:rFonts w:ascii="Times New Roman"/>
          <w:i/>
        </w:rPr>
        <w:noBreakHyphen/>
      </w:r>
      <w:r w:rsidRPr="000B2B22">
        <w:rPr>
          <w:rFonts w:ascii="Times New Roman"/>
          <w:i/>
        </w:rPr>
        <w:t xml:space="preserve">line treatment of advanced and/ or </w:t>
      </w:r>
      <w:r w:rsidR="00355E84" w:rsidRPr="000B2B22">
        <w:rPr>
          <w:rFonts w:ascii="Times New Roman"/>
          <w:i/>
        </w:rPr>
        <w:t>mRCC</w:t>
      </w:r>
      <w:r w:rsidRPr="000B2B22">
        <w:rPr>
          <w:rFonts w:ascii="Times New Roman"/>
          <w:i/>
        </w:rPr>
        <w:t xml:space="preserve"> (BO17705)</w:t>
      </w:r>
    </w:p>
    <w:p w14:paraId="1ED5DA0F" w14:textId="77777777" w:rsidR="00047E69" w:rsidRPr="000B2B22" w:rsidRDefault="00047E69" w:rsidP="00F1460D">
      <w:pPr>
        <w:widowControl/>
        <w:adjustRightInd w:val="0"/>
        <w:snapToGrid w:val="0"/>
        <w:rPr>
          <w:rFonts w:ascii="Times New Roman" w:eastAsia="Times New Roman" w:hAnsi="Times New Roman" w:cs="Times New Roman"/>
          <w:i/>
          <w:sz w:val="21"/>
          <w:szCs w:val="21"/>
        </w:rPr>
      </w:pPr>
    </w:p>
    <w:p w14:paraId="0D1B3C4E" w14:textId="1ED3225E" w:rsidR="00047E69" w:rsidRPr="000B2B22" w:rsidRDefault="00C210A5" w:rsidP="00F1460D">
      <w:pPr>
        <w:pStyle w:val="a5"/>
        <w:widowControl/>
        <w:adjustRightInd w:val="0"/>
        <w:snapToGrid w:val="0"/>
      </w:pPr>
      <w:r w:rsidRPr="000B2B22">
        <w:t>This was a phase III randomised double</w:t>
      </w:r>
      <w:r w:rsidR="00FD0731" w:rsidRPr="000B2B22">
        <w:noBreakHyphen/>
      </w:r>
      <w:r w:rsidRPr="000B2B22">
        <w:t>blind trial conducted to evaluate the efficacy and safety of bevacizumab in combination with interferon (IFN) alfa</w:t>
      </w:r>
      <w:r w:rsidR="00FD0731" w:rsidRPr="000B2B22">
        <w:noBreakHyphen/>
      </w:r>
      <w:r w:rsidRPr="000B2B22">
        <w:t>2a versus IFN alfa</w:t>
      </w:r>
      <w:r w:rsidR="00FD0731" w:rsidRPr="000B2B22">
        <w:noBreakHyphen/>
      </w:r>
      <w:r w:rsidRPr="000B2B22">
        <w:t>2a alone as first</w:t>
      </w:r>
      <w:r w:rsidR="00FD0731" w:rsidRPr="000B2B22">
        <w:noBreakHyphen/>
      </w:r>
      <w:r w:rsidRPr="000B2B22">
        <w:t xml:space="preserve">line treatment in mRCC. The 649 randomised patients (641 treated) had Karnofsky Performance Status (KPS) of </w:t>
      </w:r>
      <w:r w:rsidRPr="000B2B22">
        <w:rPr>
          <w:rFonts w:cs="Times New Roman"/>
        </w:rPr>
        <w:t xml:space="preserve">≥ </w:t>
      </w:r>
      <w:r w:rsidRPr="000B2B22">
        <w:t>70%, no CNS metastases and adequate organ function. Patients were nephrectomised for primary renal cell carcinoma. Bevacizumab 10 mg/kg was given every 2 weeks until disease progression. IFN alfa</w:t>
      </w:r>
      <w:r w:rsidR="00FD0731" w:rsidRPr="000B2B22">
        <w:noBreakHyphen/>
      </w:r>
      <w:r w:rsidRPr="000B2B22">
        <w:t>2a was given up to 52 weeks or until disease progression at a recommended starting dose of 9 MIU three times a week, allowing a dose reduction to 3 MIU three times a week in 2 steps. Patients were stratified according to country and Motzer score and the treatment arms were shown to be well balanced for the prognostic factors.</w:t>
      </w:r>
    </w:p>
    <w:p w14:paraId="68E5416B"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3E0B91D8" w14:textId="3DF8346E" w:rsidR="00047E69" w:rsidRPr="000B2B22" w:rsidRDefault="00C210A5" w:rsidP="00F1460D">
      <w:pPr>
        <w:pStyle w:val="a5"/>
        <w:widowControl/>
        <w:adjustRightInd w:val="0"/>
        <w:snapToGrid w:val="0"/>
      </w:pPr>
      <w:r w:rsidRPr="000B2B22">
        <w:t xml:space="preserve">The primary endpoint was </w:t>
      </w:r>
      <w:r w:rsidR="00A135EE" w:rsidRPr="000B2B22">
        <w:t>OS</w:t>
      </w:r>
      <w:r w:rsidRPr="000B2B22">
        <w:t xml:space="preserve">, with secondary endpoints for the trial including </w:t>
      </w:r>
      <w:r w:rsidR="00A135EE" w:rsidRPr="000B2B22">
        <w:t>PFS</w:t>
      </w:r>
      <w:r w:rsidRPr="000B2B22">
        <w:t>. The addition of bevacizumab to IFN</w:t>
      </w:r>
      <w:r w:rsidR="00FD0731" w:rsidRPr="000B2B22">
        <w:noBreakHyphen/>
      </w:r>
      <w:r w:rsidRPr="000B2B22">
        <w:t>alpha</w:t>
      </w:r>
      <w:r w:rsidR="00FD0731" w:rsidRPr="000B2B22">
        <w:noBreakHyphen/>
      </w:r>
      <w:r w:rsidRPr="000B2B22">
        <w:t xml:space="preserve">2a significantly increased PFS and objective tumour response rate. These results have been confirmed through an independent radiological review. However, the increase in the primary endpoint of </w:t>
      </w:r>
      <w:r w:rsidR="00410031" w:rsidRPr="000B2B22">
        <w:t>OS</w:t>
      </w:r>
      <w:r w:rsidRPr="000B2B22">
        <w:t xml:space="preserve"> by 2 months was not significant (HR= 0.91). A high proportion of patients (approximately 63% IFN/placebo; 55% bevacizumab/IFN) received a variety of non</w:t>
      </w:r>
      <w:r w:rsidR="00FD0731" w:rsidRPr="000B2B22">
        <w:noBreakHyphen/>
      </w:r>
      <w:r w:rsidRPr="000B2B22">
        <w:t>specified post</w:t>
      </w:r>
      <w:r w:rsidR="00FD0731" w:rsidRPr="000B2B22">
        <w:noBreakHyphen/>
      </w:r>
      <w:r w:rsidRPr="000B2B22">
        <w:t>trial anti</w:t>
      </w:r>
      <w:r w:rsidR="00FD0731" w:rsidRPr="000B2B22">
        <w:noBreakHyphen/>
      </w:r>
      <w:r w:rsidRPr="000B2B22">
        <w:t xml:space="preserve">cancer therapies, including antineoplastic agents, which may have impacted the analysis of </w:t>
      </w:r>
      <w:r w:rsidR="00410031" w:rsidRPr="000B2B22">
        <w:t>OS</w:t>
      </w:r>
      <w:r w:rsidRPr="000B2B22">
        <w:t>.</w:t>
      </w:r>
    </w:p>
    <w:p w14:paraId="4F63AAC7" w14:textId="77777777" w:rsidR="00A135EE" w:rsidRPr="000B2B22" w:rsidRDefault="00A135EE" w:rsidP="00F1460D">
      <w:pPr>
        <w:pStyle w:val="a5"/>
        <w:widowControl/>
        <w:adjustRightInd w:val="0"/>
        <w:snapToGrid w:val="0"/>
      </w:pPr>
    </w:p>
    <w:p w14:paraId="1F7F4A51" w14:textId="5A38C829" w:rsidR="00047E69" w:rsidRPr="000B2B22" w:rsidRDefault="00C210A5" w:rsidP="00F1460D">
      <w:pPr>
        <w:pStyle w:val="a5"/>
        <w:widowControl/>
        <w:adjustRightInd w:val="0"/>
        <w:snapToGrid w:val="0"/>
      </w:pPr>
      <w:r w:rsidRPr="000B2B22">
        <w:t>The efficacy results are presented in Table 15</w:t>
      </w:r>
    </w:p>
    <w:p w14:paraId="7152BB39" w14:textId="77777777" w:rsidR="00047E69" w:rsidRPr="000B2B22" w:rsidRDefault="00047E69" w:rsidP="00F1460D">
      <w:pPr>
        <w:widowControl/>
        <w:adjustRightInd w:val="0"/>
        <w:snapToGrid w:val="0"/>
        <w:rPr>
          <w:rFonts w:ascii="Times New Roman" w:eastAsia="Times New Roman" w:hAnsi="Times New Roman" w:cs="Times New Roman"/>
        </w:rPr>
      </w:pPr>
    </w:p>
    <w:p w14:paraId="417E5E9F" w14:textId="77777777" w:rsidR="00373D33" w:rsidRPr="000B2B22" w:rsidRDefault="00373D33" w:rsidP="00F1460D">
      <w:pPr>
        <w:widowControl/>
        <w:rPr>
          <w:rFonts w:ascii="Times New Roman" w:eastAsia="Times New Roman" w:hAnsi="Times New Roman"/>
          <w:b/>
          <w:bCs/>
        </w:rPr>
      </w:pPr>
      <w:r w:rsidRPr="000B2B22">
        <w:br w:type="page"/>
      </w:r>
    </w:p>
    <w:p w14:paraId="0DE56396" w14:textId="7FCCDBF5" w:rsidR="00047E69" w:rsidRPr="00536B4F" w:rsidRDefault="00DB7BA6" w:rsidP="00536B4F">
      <w:pPr>
        <w:ind w:left="1134" w:hanging="1134"/>
        <w:rPr>
          <w:rFonts w:ascii="Times New Roman" w:hAnsi="Times New Roman" w:cs="Times New Roman"/>
          <w:b/>
          <w:bCs/>
        </w:rPr>
      </w:pPr>
      <w:r w:rsidRPr="00536B4F">
        <w:rPr>
          <w:rFonts w:ascii="Times New Roman" w:hAnsi="Times New Roman" w:cs="Times New Roman"/>
          <w:b/>
          <w:bCs/>
        </w:rPr>
        <w:lastRenderedPageBreak/>
        <w:t>Table 15</w:t>
      </w:r>
      <w:r w:rsidRPr="00536B4F">
        <w:rPr>
          <w:rFonts w:ascii="Times New Roman" w:hAnsi="Times New Roman" w:cs="Times New Roman"/>
          <w:b/>
          <w:bCs/>
        </w:rPr>
        <w:tab/>
      </w:r>
      <w:r w:rsidR="00C210A5" w:rsidRPr="00536B4F">
        <w:rPr>
          <w:rFonts w:ascii="Times New Roman" w:hAnsi="Times New Roman" w:cs="Times New Roman"/>
          <w:b/>
          <w:bCs/>
        </w:rPr>
        <w:t>Efficacy results for trial BO17705</w:t>
      </w:r>
    </w:p>
    <w:p w14:paraId="486806A9" w14:textId="77777777" w:rsidR="00AF607F" w:rsidRPr="000B2B22" w:rsidRDefault="00AF607F" w:rsidP="005E4476">
      <w:pPr>
        <w:rPr>
          <w:b/>
          <w:bCs/>
        </w:rPr>
      </w:pP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4080"/>
        <w:gridCol w:w="4984"/>
      </w:tblGrid>
      <w:tr w:rsidR="00A27683" w:rsidRPr="000B2B22" w14:paraId="226B312A" w14:textId="77777777" w:rsidTr="004228B0">
        <w:tc>
          <w:tcPr>
            <w:tcW w:w="3686" w:type="dxa"/>
            <w:vMerge w:val="restart"/>
          </w:tcPr>
          <w:p w14:paraId="4DE4E645" w14:textId="77777777" w:rsidR="00047E69" w:rsidRPr="000B2B22" w:rsidRDefault="00047E69" w:rsidP="00F1460D">
            <w:pPr>
              <w:widowControl/>
            </w:pPr>
          </w:p>
        </w:tc>
        <w:tc>
          <w:tcPr>
            <w:tcW w:w="4502" w:type="dxa"/>
          </w:tcPr>
          <w:p w14:paraId="6162B29E" w14:textId="77777777" w:rsidR="00047E69" w:rsidRPr="000B2B22" w:rsidRDefault="00C210A5" w:rsidP="00F1460D">
            <w:pPr>
              <w:pStyle w:val="TableParagraph"/>
              <w:widowControl/>
              <w:jc w:val="center"/>
              <w:rPr>
                <w:rFonts w:ascii="Times New Roman" w:eastAsia="Times New Roman" w:hAnsi="Times New Roman" w:cs="Times New Roman"/>
                <w:b/>
                <w:bCs/>
              </w:rPr>
            </w:pPr>
            <w:r w:rsidRPr="000B2B22">
              <w:rPr>
                <w:rFonts w:ascii="Times New Roman"/>
                <w:b/>
                <w:bCs/>
              </w:rPr>
              <w:t>BO17705</w:t>
            </w:r>
          </w:p>
        </w:tc>
      </w:tr>
      <w:tr w:rsidR="00A27683" w:rsidRPr="000B2B22" w14:paraId="2EB78997" w14:textId="77777777" w:rsidTr="004228B0">
        <w:tc>
          <w:tcPr>
            <w:tcW w:w="3686" w:type="dxa"/>
            <w:vMerge/>
          </w:tcPr>
          <w:p w14:paraId="0549E2F7" w14:textId="77777777" w:rsidR="00047E69" w:rsidRPr="000B2B22" w:rsidRDefault="00047E69" w:rsidP="00F1460D">
            <w:pPr>
              <w:widowControl/>
            </w:pPr>
          </w:p>
        </w:tc>
        <w:tc>
          <w:tcPr>
            <w:tcW w:w="4502" w:type="dxa"/>
          </w:tcPr>
          <w:p w14:paraId="7E94D4E0" w14:textId="77777777" w:rsidR="00047E69" w:rsidRPr="000B2B22" w:rsidRDefault="00C210A5" w:rsidP="00F1460D">
            <w:pPr>
              <w:pStyle w:val="TableParagraph"/>
              <w:widowControl/>
              <w:tabs>
                <w:tab w:val="left" w:pos="2927"/>
              </w:tabs>
              <w:jc w:val="center"/>
              <w:rPr>
                <w:rFonts w:ascii="Times New Roman" w:eastAsia="Times New Roman" w:hAnsi="Times New Roman" w:cs="Times New Roman"/>
                <w:b/>
                <w:bCs/>
              </w:rPr>
            </w:pPr>
            <w:r w:rsidRPr="000B2B22">
              <w:rPr>
                <w:rFonts w:ascii="Times New Roman"/>
                <w:b/>
                <w:bCs/>
              </w:rPr>
              <w:t>Placebo + IFN</w:t>
            </w:r>
            <w:r w:rsidRPr="000B2B22">
              <w:rPr>
                <w:rFonts w:ascii="Times New Roman"/>
                <w:b/>
                <w:bCs/>
                <w:position w:val="9"/>
                <w:sz w:val="18"/>
                <w:szCs w:val="18"/>
              </w:rPr>
              <w:t>a</w:t>
            </w:r>
            <w:r w:rsidRPr="000B2B22">
              <w:rPr>
                <w:rFonts w:ascii="Times New Roman"/>
                <w:b/>
                <w:bCs/>
                <w:position w:val="9"/>
              </w:rPr>
              <w:tab/>
            </w:r>
            <w:r w:rsidRPr="000B2B22">
              <w:rPr>
                <w:rFonts w:ascii="Times New Roman"/>
                <w:b/>
                <w:bCs/>
              </w:rPr>
              <w:t>Bv</w:t>
            </w:r>
            <w:r w:rsidRPr="000B2B22">
              <w:rPr>
                <w:rFonts w:ascii="Times New Roman"/>
                <w:b/>
                <w:bCs/>
                <w:position w:val="9"/>
                <w:sz w:val="18"/>
                <w:szCs w:val="18"/>
              </w:rPr>
              <w:t>b</w:t>
            </w:r>
            <w:r w:rsidRPr="000B2B22">
              <w:rPr>
                <w:rFonts w:ascii="Times New Roman"/>
                <w:b/>
                <w:bCs/>
                <w:position w:val="9"/>
              </w:rPr>
              <w:t xml:space="preserve"> </w:t>
            </w:r>
            <w:r w:rsidRPr="000B2B22">
              <w:rPr>
                <w:rFonts w:ascii="Times New Roman"/>
                <w:b/>
                <w:bCs/>
              </w:rPr>
              <w:t>+ IFN</w:t>
            </w:r>
            <w:r w:rsidRPr="000B2B22">
              <w:rPr>
                <w:rFonts w:ascii="Times New Roman"/>
                <w:b/>
                <w:bCs/>
                <w:position w:val="9"/>
                <w:sz w:val="18"/>
                <w:szCs w:val="18"/>
              </w:rPr>
              <w:t>a</w:t>
            </w:r>
          </w:p>
        </w:tc>
      </w:tr>
      <w:tr w:rsidR="00A27683" w:rsidRPr="000B2B22" w14:paraId="442F10F0" w14:textId="77777777" w:rsidTr="004228B0">
        <w:tc>
          <w:tcPr>
            <w:tcW w:w="3686" w:type="dxa"/>
          </w:tcPr>
          <w:p w14:paraId="52263534"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Number of patients</w:t>
            </w:r>
          </w:p>
        </w:tc>
        <w:tc>
          <w:tcPr>
            <w:tcW w:w="4502" w:type="dxa"/>
          </w:tcPr>
          <w:p w14:paraId="1ED3F372" w14:textId="77777777" w:rsidR="00047E69" w:rsidRPr="000B2B22" w:rsidRDefault="00C210A5" w:rsidP="00F1460D">
            <w:pPr>
              <w:pStyle w:val="TableParagraph"/>
              <w:widowControl/>
              <w:tabs>
                <w:tab w:val="left" w:pos="3248"/>
              </w:tabs>
              <w:jc w:val="center"/>
              <w:rPr>
                <w:rFonts w:ascii="Times New Roman" w:eastAsia="Times New Roman" w:hAnsi="Times New Roman" w:cs="Times New Roman"/>
              </w:rPr>
            </w:pPr>
            <w:r w:rsidRPr="000B2B22">
              <w:rPr>
                <w:rFonts w:ascii="Times New Roman"/>
              </w:rPr>
              <w:t>322</w:t>
            </w:r>
            <w:r w:rsidRPr="000B2B22">
              <w:rPr>
                <w:rFonts w:ascii="Times New Roman"/>
              </w:rPr>
              <w:tab/>
              <w:t>327</w:t>
            </w:r>
          </w:p>
        </w:tc>
      </w:tr>
      <w:tr w:rsidR="00A27683" w:rsidRPr="000B2B22" w14:paraId="09A662BA" w14:textId="77777777" w:rsidTr="004228B0">
        <w:tc>
          <w:tcPr>
            <w:tcW w:w="3686" w:type="dxa"/>
          </w:tcPr>
          <w:p w14:paraId="252EB236" w14:textId="4A4C1B68" w:rsidR="00F76145" w:rsidRPr="000B2B22" w:rsidRDefault="00C210A5" w:rsidP="00F1460D">
            <w:pPr>
              <w:pStyle w:val="TableParagraph"/>
              <w:widowControl/>
              <w:rPr>
                <w:rFonts w:ascii="Times New Roman"/>
              </w:rPr>
            </w:pPr>
            <w:r w:rsidRPr="000B2B22">
              <w:rPr>
                <w:rFonts w:ascii="Times New Roman"/>
              </w:rPr>
              <w:t>Progression</w:t>
            </w:r>
            <w:r w:rsidR="00FD0731" w:rsidRPr="000B2B22">
              <w:rPr>
                <w:rFonts w:ascii="Times New Roman"/>
              </w:rPr>
              <w:noBreakHyphen/>
            </w:r>
            <w:r w:rsidRPr="000B2B22">
              <w:rPr>
                <w:rFonts w:ascii="Times New Roman"/>
              </w:rPr>
              <w:t xml:space="preserve">free survival </w:t>
            </w:r>
          </w:p>
          <w:p w14:paraId="39988902" w14:textId="77777777" w:rsidR="00F76145" w:rsidRPr="000B2B22" w:rsidRDefault="00C210A5" w:rsidP="00F1460D">
            <w:pPr>
              <w:pStyle w:val="TableParagraph"/>
              <w:widowControl/>
              <w:rPr>
                <w:rFonts w:ascii="Times New Roman"/>
              </w:rPr>
            </w:pPr>
            <w:r w:rsidRPr="000B2B22">
              <w:rPr>
                <w:rFonts w:ascii="Times New Roman"/>
              </w:rPr>
              <w:t xml:space="preserve">Median (months) </w:t>
            </w:r>
          </w:p>
          <w:p w14:paraId="5CA9ADB0" w14:textId="679AD2DE"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Hazard ratio</w:t>
            </w:r>
          </w:p>
          <w:p w14:paraId="7479255B"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95% CI</w:t>
            </w:r>
          </w:p>
        </w:tc>
        <w:tc>
          <w:tcPr>
            <w:tcW w:w="4502" w:type="dxa"/>
          </w:tcPr>
          <w:p w14:paraId="669B0DE4" w14:textId="77777777" w:rsidR="00047E69" w:rsidRPr="000B2B22" w:rsidRDefault="00047E69" w:rsidP="00F1460D">
            <w:pPr>
              <w:pStyle w:val="TableParagraph"/>
              <w:widowControl/>
              <w:rPr>
                <w:rFonts w:ascii="Times New Roman" w:eastAsia="Times New Roman" w:hAnsi="Times New Roman" w:cs="Times New Roman"/>
                <w:b/>
                <w:bCs/>
              </w:rPr>
            </w:pPr>
          </w:p>
          <w:p w14:paraId="6570CB27" w14:textId="77777777" w:rsidR="00047E69" w:rsidRPr="000B2B22" w:rsidRDefault="00C210A5" w:rsidP="00F1460D">
            <w:pPr>
              <w:pStyle w:val="TableParagraph"/>
              <w:widowControl/>
              <w:tabs>
                <w:tab w:val="left" w:pos="2347"/>
              </w:tabs>
              <w:jc w:val="center"/>
              <w:rPr>
                <w:rFonts w:ascii="Times New Roman" w:eastAsia="Times New Roman" w:hAnsi="Times New Roman" w:cs="Times New Roman"/>
              </w:rPr>
            </w:pPr>
            <w:r w:rsidRPr="000B2B22">
              <w:rPr>
                <w:rFonts w:ascii="Times New Roman"/>
              </w:rPr>
              <w:t>5.4</w:t>
            </w:r>
            <w:r w:rsidRPr="000B2B22">
              <w:rPr>
                <w:rFonts w:ascii="Times New Roman"/>
              </w:rPr>
              <w:tab/>
              <w:t>10.2</w:t>
            </w:r>
          </w:p>
          <w:p w14:paraId="332E8384" w14:textId="77777777"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0.63</w:t>
            </w:r>
          </w:p>
          <w:p w14:paraId="1A782B75" w14:textId="205C84AC"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rPr>
              <w:t>0.52, 0.75</w:t>
            </w:r>
          </w:p>
          <w:p w14:paraId="0F27EC71" w14:textId="64C450AD"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eastAsia="Times New Roman" w:hAnsi="Times New Roman" w:cs="Times New Roman"/>
              </w:rPr>
              <w:t>(p</w:t>
            </w:r>
            <w:r w:rsidR="00FD0731" w:rsidRPr="000B2B22">
              <w:rPr>
                <w:rFonts w:ascii="Times New Roman" w:eastAsia="Times New Roman" w:hAnsi="Times New Roman" w:cs="Times New Roman"/>
              </w:rPr>
              <w:noBreakHyphen/>
            </w:r>
            <w:r w:rsidRPr="000B2B22">
              <w:rPr>
                <w:rFonts w:ascii="Times New Roman" w:eastAsia="Times New Roman" w:hAnsi="Times New Roman" w:cs="Times New Roman"/>
              </w:rPr>
              <w:t xml:space="preserve">value </w:t>
            </w:r>
            <w:r w:rsidRPr="000B2B22">
              <w:rPr>
                <w:rFonts w:ascii="Symbol" w:eastAsia="Symbol" w:hAnsi="Symbol" w:cs="Symbol"/>
              </w:rPr>
              <w:sym w:font="Symbol" w:char="F03C"/>
            </w:r>
            <w:r w:rsidRPr="000B2B22">
              <w:rPr>
                <w:rFonts w:ascii="Symbol" w:eastAsia="Symbol" w:hAnsi="Symbol" w:cs="Symbol"/>
              </w:rPr>
              <w:sym w:font="Symbol" w:char="F020"/>
            </w:r>
            <w:r w:rsidRPr="000B2B22">
              <w:rPr>
                <w:rFonts w:ascii="Times New Roman" w:eastAsia="Times New Roman" w:hAnsi="Times New Roman" w:cs="Times New Roman"/>
              </w:rPr>
              <w:t>0.0001)</w:t>
            </w:r>
          </w:p>
        </w:tc>
      </w:tr>
      <w:tr w:rsidR="00A27683" w:rsidRPr="000B2B22" w14:paraId="0F3D3697" w14:textId="77777777" w:rsidTr="004228B0">
        <w:tc>
          <w:tcPr>
            <w:tcW w:w="3686" w:type="dxa"/>
          </w:tcPr>
          <w:p w14:paraId="4F262B79" w14:textId="5A57EC44"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 xml:space="preserve">Objective response rate (%) in </w:t>
            </w:r>
            <w:r w:rsidR="00F76145" w:rsidRPr="000B2B22">
              <w:rPr>
                <w:rFonts w:ascii="Times New Roman"/>
              </w:rPr>
              <w:t>p</w:t>
            </w:r>
            <w:r w:rsidRPr="000B2B22">
              <w:rPr>
                <w:rFonts w:ascii="Times New Roman"/>
              </w:rPr>
              <w:t>atients with measurable disease</w:t>
            </w:r>
          </w:p>
          <w:p w14:paraId="065E99C0"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N</w:t>
            </w:r>
          </w:p>
          <w:p w14:paraId="763D1797" w14:textId="77777777" w:rsidR="00047E69" w:rsidRPr="000B2B22" w:rsidRDefault="00C210A5" w:rsidP="00F1460D">
            <w:pPr>
              <w:pStyle w:val="TableParagraph"/>
              <w:widowControl/>
              <w:rPr>
                <w:rFonts w:ascii="Times New Roman" w:eastAsia="Times New Roman" w:hAnsi="Times New Roman" w:cs="Times New Roman"/>
              </w:rPr>
            </w:pPr>
            <w:r w:rsidRPr="000B2B22">
              <w:rPr>
                <w:rFonts w:ascii="Times New Roman"/>
              </w:rPr>
              <w:t>Response rate</w:t>
            </w:r>
          </w:p>
        </w:tc>
        <w:tc>
          <w:tcPr>
            <w:tcW w:w="4502" w:type="dxa"/>
          </w:tcPr>
          <w:p w14:paraId="20BEE894" w14:textId="77777777" w:rsidR="00047E69" w:rsidRPr="000B2B22" w:rsidRDefault="00047E69" w:rsidP="00F1460D">
            <w:pPr>
              <w:pStyle w:val="TableParagraph"/>
              <w:widowControl/>
              <w:rPr>
                <w:rFonts w:ascii="Times New Roman" w:eastAsia="Times New Roman" w:hAnsi="Times New Roman" w:cs="Times New Roman"/>
                <w:b/>
                <w:bCs/>
              </w:rPr>
            </w:pPr>
          </w:p>
          <w:p w14:paraId="56ED3ED2" w14:textId="77777777" w:rsidR="00047E69" w:rsidRPr="000B2B22" w:rsidRDefault="00047E69" w:rsidP="00F1460D">
            <w:pPr>
              <w:pStyle w:val="TableParagraph"/>
              <w:widowControl/>
              <w:rPr>
                <w:rFonts w:ascii="Times New Roman" w:eastAsia="Times New Roman" w:hAnsi="Times New Roman" w:cs="Times New Roman"/>
                <w:b/>
                <w:bCs/>
              </w:rPr>
            </w:pPr>
          </w:p>
          <w:p w14:paraId="668FDBF3" w14:textId="77777777" w:rsidR="00047E69" w:rsidRPr="000B2B22" w:rsidRDefault="00C210A5" w:rsidP="00F1460D">
            <w:pPr>
              <w:pStyle w:val="TableParagraph"/>
              <w:widowControl/>
              <w:tabs>
                <w:tab w:val="left" w:pos="2346"/>
              </w:tabs>
              <w:jc w:val="center"/>
              <w:rPr>
                <w:rFonts w:ascii="Times New Roman" w:eastAsia="Times New Roman" w:hAnsi="Times New Roman" w:cs="Times New Roman"/>
              </w:rPr>
            </w:pPr>
            <w:r w:rsidRPr="000B2B22">
              <w:rPr>
                <w:rFonts w:ascii="Times New Roman"/>
              </w:rPr>
              <w:t>289</w:t>
            </w:r>
            <w:r w:rsidRPr="000B2B22">
              <w:rPr>
                <w:rFonts w:ascii="Times New Roman"/>
              </w:rPr>
              <w:tab/>
              <w:t>306</w:t>
            </w:r>
          </w:p>
          <w:p w14:paraId="37F5D511" w14:textId="77777777" w:rsidR="00047E69" w:rsidRPr="000B2B22" w:rsidRDefault="00C210A5" w:rsidP="00F1460D">
            <w:pPr>
              <w:pStyle w:val="TableParagraph"/>
              <w:widowControl/>
              <w:tabs>
                <w:tab w:val="left" w:pos="2348"/>
              </w:tabs>
              <w:jc w:val="center"/>
              <w:rPr>
                <w:rFonts w:ascii="Times New Roman" w:eastAsia="Times New Roman" w:hAnsi="Times New Roman" w:cs="Times New Roman"/>
              </w:rPr>
            </w:pPr>
            <w:r w:rsidRPr="000B2B22">
              <w:rPr>
                <w:rFonts w:ascii="Times New Roman"/>
              </w:rPr>
              <w:t>12.8%</w:t>
            </w:r>
            <w:r w:rsidRPr="000B2B22">
              <w:rPr>
                <w:rFonts w:ascii="Times New Roman"/>
              </w:rPr>
              <w:tab/>
              <w:t>31.4%</w:t>
            </w:r>
          </w:p>
          <w:p w14:paraId="6CFBB435" w14:textId="7A0FCA5C" w:rsidR="00047E69" w:rsidRPr="000B2B22" w:rsidRDefault="00C210A5" w:rsidP="00F1460D">
            <w:pPr>
              <w:pStyle w:val="TableParagraph"/>
              <w:widowControl/>
              <w:jc w:val="center"/>
              <w:rPr>
                <w:rFonts w:ascii="Times New Roman" w:eastAsia="Times New Roman" w:hAnsi="Times New Roman" w:cs="Times New Roman"/>
              </w:rPr>
            </w:pPr>
            <w:r w:rsidRPr="000B2B22">
              <w:rPr>
                <w:rFonts w:ascii="Times New Roman" w:eastAsia="Times New Roman" w:hAnsi="Times New Roman" w:cs="Times New Roman"/>
              </w:rPr>
              <w:t>(p</w:t>
            </w:r>
            <w:r w:rsidR="00FD0731" w:rsidRPr="000B2B22">
              <w:rPr>
                <w:rFonts w:ascii="Times New Roman" w:eastAsia="Times New Roman" w:hAnsi="Times New Roman" w:cs="Times New Roman"/>
              </w:rPr>
              <w:noBreakHyphen/>
            </w:r>
            <w:r w:rsidRPr="000B2B22">
              <w:rPr>
                <w:rFonts w:ascii="Times New Roman" w:eastAsia="Times New Roman" w:hAnsi="Times New Roman" w:cs="Times New Roman"/>
              </w:rPr>
              <w:t xml:space="preserve">value </w:t>
            </w:r>
            <w:r w:rsidRPr="000B2B22">
              <w:rPr>
                <w:rFonts w:ascii="Symbol" w:eastAsia="Symbol" w:hAnsi="Symbol" w:cs="Symbol"/>
              </w:rPr>
              <w:sym w:font="Symbol" w:char="F03C"/>
            </w:r>
            <w:r w:rsidRPr="000B2B22">
              <w:rPr>
                <w:rFonts w:ascii="Symbol" w:eastAsia="Symbol" w:hAnsi="Symbol" w:cs="Symbol"/>
              </w:rPr>
              <w:sym w:font="Symbol" w:char="F020"/>
            </w:r>
            <w:r w:rsidRPr="000B2B22">
              <w:rPr>
                <w:rFonts w:ascii="Symbol" w:eastAsia="Symbol" w:hAnsi="Symbol" w:cs="Symbol"/>
              </w:rPr>
              <w:sym w:font="Symbol" w:char="F030"/>
            </w:r>
            <w:r w:rsidRPr="000B2B22">
              <w:rPr>
                <w:rFonts w:ascii="Symbol" w:eastAsia="Symbol" w:hAnsi="Symbol" w:cs="Symbol"/>
              </w:rPr>
              <w:sym w:font="Symbol" w:char="F02E"/>
            </w:r>
            <w:r w:rsidRPr="000B2B22">
              <w:rPr>
                <w:rFonts w:ascii="Symbol" w:eastAsia="Symbol" w:hAnsi="Symbol" w:cs="Symbol"/>
              </w:rPr>
              <w:sym w:font="Symbol" w:char="F030"/>
            </w:r>
            <w:r w:rsidRPr="000B2B22">
              <w:rPr>
                <w:rFonts w:ascii="Symbol" w:eastAsia="Symbol" w:hAnsi="Symbol" w:cs="Symbol"/>
              </w:rPr>
              <w:sym w:font="Symbol" w:char="F030"/>
            </w:r>
            <w:r w:rsidRPr="000B2B22">
              <w:rPr>
                <w:rFonts w:ascii="Symbol" w:eastAsia="Symbol" w:hAnsi="Symbol" w:cs="Symbol"/>
              </w:rPr>
              <w:sym w:font="Symbol" w:char="F030"/>
            </w:r>
            <w:r w:rsidRPr="000B2B22">
              <w:rPr>
                <w:rFonts w:ascii="Symbol" w:eastAsia="Symbol" w:hAnsi="Symbol" w:cs="Symbol"/>
              </w:rPr>
              <w:sym w:font="Symbol" w:char="F031"/>
            </w:r>
            <w:r w:rsidRPr="000B2B22">
              <w:rPr>
                <w:rFonts w:ascii="Times New Roman" w:eastAsia="Times New Roman" w:hAnsi="Times New Roman" w:cs="Times New Roman"/>
              </w:rPr>
              <w:t>)</w:t>
            </w:r>
          </w:p>
        </w:tc>
      </w:tr>
      <w:tr w:rsidR="00A27683" w:rsidRPr="000B2B22" w14:paraId="241D4491" w14:textId="77777777" w:rsidTr="004228B0">
        <w:tc>
          <w:tcPr>
            <w:tcW w:w="3686" w:type="dxa"/>
          </w:tcPr>
          <w:p w14:paraId="70AE81BB" w14:textId="77777777" w:rsidR="001F1DFD" w:rsidRPr="000B2B22" w:rsidRDefault="00C210A5" w:rsidP="00F1460D">
            <w:pPr>
              <w:widowControl/>
              <w:rPr>
                <w:rFonts w:ascii="Times New Roman"/>
              </w:rPr>
            </w:pPr>
            <w:r w:rsidRPr="000B2B22">
              <w:rPr>
                <w:rFonts w:ascii="Times New Roman"/>
              </w:rPr>
              <w:t xml:space="preserve">Overall survival </w:t>
            </w:r>
          </w:p>
          <w:p w14:paraId="23702113" w14:textId="50EB5F29" w:rsidR="00F76145" w:rsidRPr="000B2B22" w:rsidRDefault="00C210A5" w:rsidP="00F1460D">
            <w:pPr>
              <w:widowControl/>
              <w:rPr>
                <w:rFonts w:ascii="Times New Roman"/>
              </w:rPr>
            </w:pPr>
            <w:r w:rsidRPr="000B2B22">
              <w:rPr>
                <w:rFonts w:ascii="Times New Roman"/>
              </w:rPr>
              <w:t>Median (months)</w:t>
            </w:r>
          </w:p>
          <w:p w14:paraId="5BC7AD98" w14:textId="4AD32D92" w:rsidR="00F76145" w:rsidRPr="000B2B22" w:rsidRDefault="00C210A5" w:rsidP="00F1460D">
            <w:pPr>
              <w:widowControl/>
              <w:rPr>
                <w:rFonts w:ascii="Times New Roman"/>
              </w:rPr>
            </w:pPr>
            <w:r w:rsidRPr="000B2B22">
              <w:rPr>
                <w:rFonts w:ascii="Times New Roman"/>
              </w:rPr>
              <w:t xml:space="preserve">Hazard ratio </w:t>
            </w:r>
          </w:p>
          <w:p w14:paraId="2B66452C" w14:textId="042D5FFA" w:rsidR="00F76145" w:rsidRPr="000B2B22" w:rsidRDefault="00C210A5" w:rsidP="00F1460D">
            <w:pPr>
              <w:widowControl/>
              <w:rPr>
                <w:rFonts w:ascii="Times New Roman" w:eastAsia="Times New Roman" w:hAnsi="Times New Roman" w:cs="Times New Roman"/>
              </w:rPr>
            </w:pPr>
            <w:r w:rsidRPr="000B2B22">
              <w:rPr>
                <w:rFonts w:ascii="Times New Roman"/>
              </w:rPr>
              <w:t>95% CI</w:t>
            </w:r>
          </w:p>
          <w:p w14:paraId="16143E0C" w14:textId="77777777" w:rsidR="00F76145" w:rsidRPr="000B2B22" w:rsidRDefault="00F76145" w:rsidP="00F1460D">
            <w:pPr>
              <w:pStyle w:val="TableParagraph"/>
              <w:widowControl/>
              <w:rPr>
                <w:rFonts w:ascii="Times New Roman"/>
              </w:rPr>
            </w:pPr>
          </w:p>
        </w:tc>
        <w:tc>
          <w:tcPr>
            <w:tcW w:w="4502" w:type="dxa"/>
          </w:tcPr>
          <w:p w14:paraId="65CB50D7" w14:textId="77777777" w:rsidR="00207CA8" w:rsidRPr="000B2B22" w:rsidRDefault="00207CA8" w:rsidP="00F1460D">
            <w:pPr>
              <w:widowControl/>
              <w:rPr>
                <w:rFonts w:ascii="Times New Roman" w:eastAsia="Times New Roman" w:hAnsi="Times New Roman" w:cs="Times New Roman"/>
                <w:sz w:val="32"/>
                <w:szCs w:val="32"/>
              </w:rPr>
            </w:pPr>
          </w:p>
          <w:p w14:paraId="2A32E575" w14:textId="77777777" w:rsidR="00F76145" w:rsidRPr="000B2B22" w:rsidRDefault="00C210A5" w:rsidP="00F1460D">
            <w:pPr>
              <w:widowControl/>
              <w:tabs>
                <w:tab w:val="left" w:pos="2284"/>
              </w:tabs>
              <w:jc w:val="center"/>
              <w:rPr>
                <w:rFonts w:ascii="Times New Roman" w:eastAsia="Times New Roman" w:hAnsi="Times New Roman" w:cs="Times New Roman"/>
              </w:rPr>
            </w:pPr>
            <w:r w:rsidRPr="000B2B22">
              <w:rPr>
                <w:rFonts w:ascii="Times New Roman"/>
              </w:rPr>
              <w:t>21.3</w:t>
            </w:r>
            <w:r w:rsidRPr="000B2B22">
              <w:rPr>
                <w:rFonts w:ascii="Times New Roman"/>
              </w:rPr>
              <w:tab/>
              <w:t>23.3</w:t>
            </w:r>
          </w:p>
          <w:p w14:paraId="7D997E0F" w14:textId="77777777" w:rsidR="00F76145" w:rsidRPr="000B2B22" w:rsidRDefault="00C210A5" w:rsidP="00F1460D">
            <w:pPr>
              <w:widowControl/>
              <w:jc w:val="center"/>
              <w:rPr>
                <w:rFonts w:ascii="Times New Roman" w:eastAsia="Times New Roman" w:hAnsi="Times New Roman" w:cs="Times New Roman"/>
              </w:rPr>
            </w:pPr>
            <w:r w:rsidRPr="000B2B22">
              <w:rPr>
                <w:rFonts w:ascii="Times New Roman"/>
              </w:rPr>
              <w:t>0.91</w:t>
            </w:r>
          </w:p>
          <w:p w14:paraId="04860D60" w14:textId="77777777" w:rsidR="00F76145" w:rsidRPr="000B2B22" w:rsidRDefault="00C210A5" w:rsidP="00F1460D">
            <w:pPr>
              <w:widowControl/>
              <w:jc w:val="center"/>
              <w:rPr>
                <w:rFonts w:ascii="Times New Roman" w:eastAsia="Times New Roman" w:hAnsi="Times New Roman" w:cs="Times New Roman"/>
              </w:rPr>
            </w:pPr>
            <w:r w:rsidRPr="000B2B22">
              <w:rPr>
                <w:rFonts w:ascii="Times New Roman"/>
              </w:rPr>
              <w:t>0.76, 1.10</w:t>
            </w:r>
          </w:p>
          <w:p w14:paraId="219D2190" w14:textId="008BD18A" w:rsidR="00F76145" w:rsidRPr="000B2B22" w:rsidRDefault="00C210A5" w:rsidP="00F1460D">
            <w:pPr>
              <w:widowControl/>
              <w:jc w:val="center"/>
            </w:pPr>
            <w:r w:rsidRPr="000B2B22">
              <w:rPr>
                <w:rFonts w:ascii="Times New Roman"/>
              </w:rPr>
              <w:t>(p</w:t>
            </w:r>
            <w:r w:rsidR="00FD0731" w:rsidRPr="000B2B22">
              <w:rPr>
                <w:rFonts w:ascii="Times New Roman"/>
              </w:rPr>
              <w:noBreakHyphen/>
            </w:r>
            <w:r w:rsidRPr="000B2B22">
              <w:rPr>
                <w:rFonts w:ascii="Times New Roman"/>
              </w:rPr>
              <w:t>value 0.3360)</w:t>
            </w:r>
          </w:p>
        </w:tc>
      </w:tr>
    </w:tbl>
    <w:p w14:paraId="2F271897" w14:textId="09DD6B11" w:rsidR="00F76145" w:rsidRPr="000B2B22" w:rsidRDefault="00C210A5" w:rsidP="00F1460D">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a </w:t>
      </w:r>
      <w:r w:rsidRPr="000B2B22">
        <w:rPr>
          <w:rFonts w:ascii="Times New Roman"/>
          <w:sz w:val="20"/>
        </w:rPr>
        <w:t>Interferon alfa</w:t>
      </w:r>
      <w:r w:rsidR="00FD0731" w:rsidRPr="000B2B22">
        <w:rPr>
          <w:rFonts w:ascii="Times New Roman"/>
          <w:sz w:val="20"/>
        </w:rPr>
        <w:noBreakHyphen/>
      </w:r>
      <w:r w:rsidRPr="000B2B22">
        <w:rPr>
          <w:rFonts w:ascii="Times New Roman"/>
          <w:sz w:val="20"/>
        </w:rPr>
        <w:t>2a 9 MIU 3x/week</w:t>
      </w:r>
    </w:p>
    <w:p w14:paraId="09E7169A" w14:textId="77777777" w:rsidR="00F76145" w:rsidRPr="000B2B22" w:rsidRDefault="00C210A5" w:rsidP="00F1460D">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b </w:t>
      </w:r>
      <w:r w:rsidRPr="000B2B22">
        <w:rPr>
          <w:rFonts w:ascii="Times New Roman"/>
          <w:sz w:val="20"/>
        </w:rPr>
        <w:t>Bevacizumab 10 mg/kg q 2 wk</w:t>
      </w:r>
    </w:p>
    <w:p w14:paraId="5079283C" w14:textId="77777777" w:rsidR="00047E69" w:rsidRPr="000B2B22" w:rsidRDefault="00047E69" w:rsidP="00F1460D">
      <w:pPr>
        <w:widowControl/>
        <w:adjustRightInd w:val="0"/>
        <w:snapToGrid w:val="0"/>
        <w:rPr>
          <w:rFonts w:ascii="Times New Roman" w:eastAsia="Times New Roman" w:hAnsi="Times New Roman" w:cs="Times New Roman"/>
          <w:sz w:val="14"/>
          <w:szCs w:val="14"/>
        </w:rPr>
      </w:pPr>
    </w:p>
    <w:p w14:paraId="53097404" w14:textId="3EED3DD3" w:rsidR="00047E69" w:rsidRPr="000B2B22" w:rsidRDefault="00C210A5" w:rsidP="00F1460D">
      <w:pPr>
        <w:pStyle w:val="a5"/>
        <w:widowControl/>
        <w:adjustRightInd w:val="0"/>
        <w:snapToGrid w:val="0"/>
      </w:pPr>
      <w:r w:rsidRPr="000B2B22">
        <w:t>An exploratory multivariate Cox regression model using backward selection indicated that the following baseline prognostic factors were strongly associated with survival independent of treatment: gender, white blood cell count, platelets, body weight loss in the 6 months prior to trial entry, number of metastatic sites, sum of longest diameter of target lesions, Motzer score. Adjustment for these baseline factors resulted in a treatment hazard ratio of 0.78 (95% CI [0.63; 0.96], p=0.0219), indicating a 22% reduction in the risk of death for patients in the bevacizumab + IFN alfa</w:t>
      </w:r>
      <w:r w:rsidR="00FD0731" w:rsidRPr="000B2B22">
        <w:noBreakHyphen/>
      </w:r>
      <w:r w:rsidRPr="000B2B22">
        <w:t>2a arm compared to IFN alfa</w:t>
      </w:r>
      <w:r w:rsidR="00FD0731" w:rsidRPr="000B2B22">
        <w:noBreakHyphen/>
      </w:r>
      <w:r w:rsidRPr="000B2B22">
        <w:t>2a arm.</w:t>
      </w:r>
    </w:p>
    <w:p w14:paraId="2CB49EB6"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28397D1E" w14:textId="4D315468" w:rsidR="00047E69" w:rsidRPr="000B2B22" w:rsidRDefault="00C210A5" w:rsidP="00F1460D">
      <w:pPr>
        <w:pStyle w:val="a5"/>
        <w:widowControl/>
        <w:adjustRightInd w:val="0"/>
        <w:snapToGrid w:val="0"/>
      </w:pPr>
      <w:r w:rsidRPr="000B2B22">
        <w:t>Ninety</w:t>
      </w:r>
      <w:r w:rsidR="00F85972">
        <w:rPr>
          <w:rFonts w:eastAsiaTheme="minorEastAsia" w:hint="eastAsia"/>
          <w:lang w:eastAsia="ko-KR"/>
        </w:rPr>
        <w:t>-</w:t>
      </w:r>
      <w:r w:rsidRPr="000B2B22">
        <w:t>seven (97) patients in the IFN alfa</w:t>
      </w:r>
      <w:r w:rsidR="00FD0731" w:rsidRPr="000B2B22">
        <w:noBreakHyphen/>
      </w:r>
      <w:r w:rsidRPr="000B2B22">
        <w:t>2a arm and 131 patients in the bevacizumab arm reduced the dose of IFN alfa</w:t>
      </w:r>
      <w:r w:rsidR="00FD0731" w:rsidRPr="000B2B22">
        <w:noBreakHyphen/>
      </w:r>
      <w:r w:rsidRPr="000B2B22">
        <w:t>2a from 9 MIU to either 6 or 3 MIU three times a week as pre</w:t>
      </w:r>
      <w:r w:rsidR="00FD0731" w:rsidRPr="000B2B22">
        <w:noBreakHyphen/>
      </w:r>
      <w:r w:rsidRPr="000B2B22">
        <w:t>specified in the protocol. Dose</w:t>
      </w:r>
      <w:r w:rsidR="00FD0731" w:rsidRPr="000B2B22">
        <w:noBreakHyphen/>
      </w:r>
      <w:r w:rsidRPr="000B2B22">
        <w:t>reduction of IFN alfa</w:t>
      </w:r>
      <w:r w:rsidR="00FD0731" w:rsidRPr="000B2B22">
        <w:noBreakHyphen/>
      </w:r>
      <w:r w:rsidRPr="000B2B22">
        <w:t>2a did not appear to affect the efficacy of the combination of bevacizumab and IFN alfa</w:t>
      </w:r>
      <w:r w:rsidR="00FD0731" w:rsidRPr="000B2B22">
        <w:noBreakHyphen/>
      </w:r>
      <w:r w:rsidRPr="000B2B22">
        <w:t>2a based on PFS event free rates over time, as shown by a sub</w:t>
      </w:r>
      <w:r w:rsidR="00FD0731" w:rsidRPr="000B2B22">
        <w:noBreakHyphen/>
      </w:r>
      <w:r w:rsidRPr="000B2B22">
        <w:t>group analysis. The 131 patients in the bevacizumab + IFN alfa</w:t>
      </w:r>
      <w:r w:rsidR="00FD0731" w:rsidRPr="000B2B22">
        <w:noBreakHyphen/>
      </w:r>
      <w:r w:rsidRPr="000B2B22">
        <w:t>2a arm who reduced and maintained the IFN alfa</w:t>
      </w:r>
      <w:r w:rsidR="00FD0731" w:rsidRPr="000B2B22">
        <w:noBreakHyphen/>
      </w:r>
      <w:r w:rsidRPr="000B2B22">
        <w:t>2a dose at 6 or 3 MIU during the trial, exhibited at 6, 12 and 18 months PFS event free rates of 73, 52 and 21% respectively, as compared to 61, 43 and 17% in the total population of patients receiving bevacizumab + IFN alfa</w:t>
      </w:r>
      <w:r w:rsidR="00FD0731" w:rsidRPr="000B2B22">
        <w:noBreakHyphen/>
      </w:r>
      <w:r w:rsidRPr="000B2B22">
        <w:t>2a.</w:t>
      </w:r>
    </w:p>
    <w:p w14:paraId="4081A8F0"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493ACC23"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AVF2938</w:t>
      </w:r>
    </w:p>
    <w:p w14:paraId="3F2CF92D" w14:textId="1B924116" w:rsidR="00047E69" w:rsidRPr="000B2B22" w:rsidRDefault="00C210A5" w:rsidP="00F1460D">
      <w:pPr>
        <w:pStyle w:val="a5"/>
        <w:widowControl/>
        <w:adjustRightInd w:val="0"/>
        <w:snapToGrid w:val="0"/>
        <w:ind w:hanging="1"/>
      </w:pPr>
      <w:r w:rsidRPr="000B2B22">
        <w:t>This was a randomised, double</w:t>
      </w:r>
      <w:r w:rsidR="00FD0731" w:rsidRPr="000B2B22">
        <w:noBreakHyphen/>
      </w:r>
      <w:r w:rsidRPr="000B2B22">
        <w:t>blind, phase II clinical trial investigating bevacizumab 10 mg/kg in a</w:t>
      </w:r>
      <w:r w:rsidR="008437AD" w:rsidRPr="000B2B22">
        <w:t xml:space="preserve"> </w:t>
      </w:r>
      <w:r w:rsidRPr="000B2B22">
        <w:t>2</w:t>
      </w:r>
      <w:r w:rsidR="008437AD" w:rsidRPr="000B2B22">
        <w:t xml:space="preserve"> </w:t>
      </w:r>
      <w:r w:rsidRPr="000B2B22">
        <w:t>weekly schedule with the same dose of bevacizumab in combination with 150 mg daily erlotinib, in patients with metastatic clear cell RCC. A total of 104 patients were randomised to treatment in this trial, 53 to bevacizumab 10 mg/kg every 2 weeks plus placebo and 51 to bevacizumab 10 mg/kg every 2 weeks plus erlotinib 150 mg daily. The analysis of the primary endpoint showed no difference between the bevacizumab + Placebo arm and the bevacizumab + Erlotinib arm (median PFS 8.5 versus 9.9 months). Seven patients in each arm had an objective response. The addition of erlotinib to bevacizumab did not result in an improvement in OS (HR = 1.764; p=0.1789), duration of objective response (6.7 vs 9.1 months) or time to symptom progression (HR = 1.172; p=0.5076).</w:t>
      </w:r>
    </w:p>
    <w:p w14:paraId="3B600DF0"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6F037AD0"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AVF0890</w:t>
      </w:r>
    </w:p>
    <w:p w14:paraId="48E61FA4" w14:textId="6D1C32FF" w:rsidR="00047E69" w:rsidRPr="000B2B22" w:rsidRDefault="00C210A5" w:rsidP="00F1460D">
      <w:pPr>
        <w:pStyle w:val="a5"/>
        <w:widowControl/>
        <w:adjustRightInd w:val="0"/>
        <w:snapToGrid w:val="0"/>
      </w:pPr>
      <w:r w:rsidRPr="000B2B22">
        <w:t xml:space="preserve">This was a randomised phase II trial conducted to compare the efficacy and safety of bevacizumab versus placebo. A total of 116 patients were randomised to receive bevacizumab 3 mg/kg every 2 weeks (n=39), 10 mg/kg every 2 weeks; (n=37), or placebo (n=40). An interim analysis showed there was a significant prolongation of the time to progression of disease in the 10 mg/kg group as compared with the placebo group (hazard ratio, 2.55; p &lt; 0.001). There was a small difference, of borderline </w:t>
      </w:r>
      <w:r w:rsidRPr="000B2B22">
        <w:lastRenderedPageBreak/>
        <w:t>significance, between the time to progression of disease in the 3 mg/kg group and that in the placebo group (hazard ratio, 1.26; p=0.053). Four patients had objective (partial) response, and all of these had received the 10 mg/kg dose bevacizumab; the ORR for the 10 mg/kg dose was 10%.</w:t>
      </w:r>
    </w:p>
    <w:p w14:paraId="3F58AC85"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47DF5145" w14:textId="77777777"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u w:val="single" w:color="000000"/>
        </w:rPr>
        <w:t>Epithelial ovarian, fallopian tube and primary peritoneal cancer</w:t>
      </w:r>
    </w:p>
    <w:p w14:paraId="5D3D8D92" w14:textId="77777777" w:rsidR="00047E69" w:rsidRPr="000B2B22" w:rsidRDefault="00047E69" w:rsidP="00F1460D">
      <w:pPr>
        <w:widowControl/>
        <w:adjustRightInd w:val="0"/>
        <w:snapToGrid w:val="0"/>
        <w:rPr>
          <w:rFonts w:ascii="Times New Roman" w:eastAsia="Times New Roman" w:hAnsi="Times New Roman" w:cs="Times New Roman"/>
          <w:i/>
          <w:sz w:val="15"/>
          <w:szCs w:val="15"/>
        </w:rPr>
      </w:pPr>
    </w:p>
    <w:p w14:paraId="1D6CFB26" w14:textId="73A55ADB"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Front</w:t>
      </w:r>
      <w:r w:rsidR="00FD0731" w:rsidRPr="000B2B22">
        <w:rPr>
          <w:rFonts w:ascii="Times New Roman"/>
          <w:i/>
        </w:rPr>
        <w:noBreakHyphen/>
      </w:r>
      <w:r w:rsidRPr="000B2B22">
        <w:rPr>
          <w:rFonts w:ascii="Times New Roman"/>
          <w:i/>
        </w:rPr>
        <w:t>line treatment of ovarian cancer</w:t>
      </w:r>
    </w:p>
    <w:p w14:paraId="78EBA3DD" w14:textId="77777777" w:rsidR="00047E69" w:rsidRPr="000B2B22" w:rsidRDefault="00047E69" w:rsidP="00F1460D">
      <w:pPr>
        <w:widowControl/>
        <w:adjustRightInd w:val="0"/>
        <w:snapToGrid w:val="0"/>
        <w:rPr>
          <w:rFonts w:ascii="Times New Roman" w:eastAsia="Times New Roman" w:hAnsi="Times New Roman" w:cs="Times New Roman"/>
          <w:i/>
          <w:sz w:val="21"/>
          <w:szCs w:val="21"/>
        </w:rPr>
      </w:pPr>
    </w:p>
    <w:p w14:paraId="02FA44EF" w14:textId="4D7F6892" w:rsidR="00047E69" w:rsidRPr="000B2B22" w:rsidRDefault="00C210A5" w:rsidP="00F1460D">
      <w:pPr>
        <w:pStyle w:val="a5"/>
        <w:widowControl/>
        <w:adjustRightInd w:val="0"/>
        <w:snapToGrid w:val="0"/>
      </w:pPr>
      <w:r w:rsidRPr="000B2B22">
        <w:t>The safety and efficacy of bevacizumab in the front</w:t>
      </w:r>
      <w:r w:rsidR="00FD0731" w:rsidRPr="000B2B22">
        <w:noBreakHyphen/>
      </w:r>
      <w:r w:rsidRPr="000B2B22">
        <w:t>line treatment of patients with epithelial ovarian, fallopian tube or primary peritoneal cancer were studied in two phase III trials (GOG</w:t>
      </w:r>
      <w:r w:rsidR="00FD0731" w:rsidRPr="000B2B22">
        <w:noBreakHyphen/>
      </w:r>
      <w:r w:rsidRPr="000B2B22">
        <w:t>0218 and BO17707) that evaluated the effect of the addition of bevacizumab to carboplatin and paclitaxel compared to the chemotherapy regimen alone.</w:t>
      </w:r>
    </w:p>
    <w:p w14:paraId="56332AD0"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03FE4AEE" w14:textId="2BDB81C1" w:rsidR="00047E69" w:rsidRPr="000B2B22" w:rsidRDefault="00C210A5" w:rsidP="00F1460D">
      <w:pPr>
        <w:widowControl/>
        <w:adjustRightInd w:val="0"/>
        <w:snapToGrid w:val="0"/>
        <w:rPr>
          <w:rFonts w:ascii="Times New Roman" w:eastAsia="Times New Roman" w:hAnsi="Times New Roman" w:cs="Times New Roman"/>
        </w:rPr>
      </w:pPr>
      <w:r w:rsidRPr="000B2B22">
        <w:rPr>
          <w:rFonts w:ascii="Times New Roman"/>
          <w:i/>
        </w:rPr>
        <w:t>GOG</w:t>
      </w:r>
      <w:r w:rsidR="00FD0731" w:rsidRPr="000B2B22">
        <w:rPr>
          <w:rFonts w:ascii="Times New Roman"/>
          <w:i/>
        </w:rPr>
        <w:noBreakHyphen/>
      </w:r>
      <w:r w:rsidRPr="000B2B22">
        <w:rPr>
          <w:rFonts w:ascii="Times New Roman"/>
          <w:i/>
        </w:rPr>
        <w:t>0218</w:t>
      </w:r>
    </w:p>
    <w:p w14:paraId="4D8D3D04" w14:textId="69B0DEF3" w:rsidR="00047E69" w:rsidRPr="000B2B22" w:rsidRDefault="00C210A5" w:rsidP="00F1460D">
      <w:pPr>
        <w:pStyle w:val="a5"/>
        <w:widowControl/>
        <w:adjustRightInd w:val="0"/>
        <w:snapToGrid w:val="0"/>
      </w:pPr>
      <w:r w:rsidRPr="000B2B22">
        <w:t>The GOG</w:t>
      </w:r>
      <w:r w:rsidR="00FD0731" w:rsidRPr="000B2B22">
        <w:noBreakHyphen/>
      </w:r>
      <w:r w:rsidRPr="000B2B22">
        <w:t>0218 study was a phase III multicentre, randomised, double</w:t>
      </w:r>
      <w:r w:rsidR="00FD0731" w:rsidRPr="000B2B22">
        <w:noBreakHyphen/>
      </w:r>
      <w:r w:rsidRPr="000B2B22">
        <w:t>blind, placebo</w:t>
      </w:r>
      <w:r w:rsidR="00FD0731" w:rsidRPr="000B2B22">
        <w:noBreakHyphen/>
      </w:r>
      <w:r w:rsidRPr="000B2B22">
        <w:t>controlled, three arm study evaluating the effect of adding bevacizumab to an approved chemotherapy regimen (carboplatin and paclitaxel) in patients with advanced (Stages IIIB, IIIC and IV according to FIGO staging version dated 1988) epithelial ovarian, fallopian tube or primary peritoneal cancer.</w:t>
      </w:r>
    </w:p>
    <w:p w14:paraId="3E6A90E7" w14:textId="77777777" w:rsidR="00047E69" w:rsidRPr="000B2B22" w:rsidRDefault="00047E69" w:rsidP="00F1460D">
      <w:pPr>
        <w:widowControl/>
        <w:adjustRightInd w:val="0"/>
        <w:snapToGrid w:val="0"/>
        <w:rPr>
          <w:rFonts w:ascii="Times New Roman" w:eastAsia="Times New Roman" w:hAnsi="Times New Roman" w:cs="Times New Roman"/>
        </w:rPr>
      </w:pPr>
    </w:p>
    <w:p w14:paraId="1945CE94" w14:textId="77777777" w:rsidR="00047E69" w:rsidRPr="000B2B22" w:rsidRDefault="00C210A5" w:rsidP="00F1460D">
      <w:pPr>
        <w:pStyle w:val="a5"/>
        <w:widowControl/>
        <w:adjustRightInd w:val="0"/>
        <w:snapToGrid w:val="0"/>
      </w:pPr>
      <w:r w:rsidRPr="000B2B22">
        <w:t>Patients who had received prior therapy with bevacizumab or prior systemic anticancer therapy for ovarian cancer (e.g. chemotherapy, monoclonal antibody therapy, tyrosine kinase inhibitor therapy, or hormonal therapy) or previous radiotherapy to the abdomen or pelvis were excluded from the study.</w:t>
      </w:r>
    </w:p>
    <w:p w14:paraId="2612C362"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38DE423F" w14:textId="77777777" w:rsidR="00047E69" w:rsidRPr="000B2B22" w:rsidRDefault="00C210A5" w:rsidP="00F1460D">
      <w:pPr>
        <w:pStyle w:val="a5"/>
        <w:widowControl/>
        <w:adjustRightInd w:val="0"/>
        <w:snapToGrid w:val="0"/>
      </w:pPr>
      <w:r w:rsidRPr="000B2B22">
        <w:t>A total of 1873 patients were randomised in equal proportions to the following three arms:</w:t>
      </w:r>
    </w:p>
    <w:p w14:paraId="41A034D7" w14:textId="77777777" w:rsidR="00047E69" w:rsidRPr="000B2B22" w:rsidRDefault="00047E69" w:rsidP="00F1460D">
      <w:pPr>
        <w:widowControl/>
        <w:adjustRightInd w:val="0"/>
        <w:snapToGrid w:val="0"/>
        <w:rPr>
          <w:rFonts w:ascii="Times New Roman" w:eastAsia="Times New Roman" w:hAnsi="Times New Roman" w:cs="Times New Roman"/>
        </w:rPr>
      </w:pPr>
    </w:p>
    <w:p w14:paraId="3A1800A9" w14:textId="77777777" w:rsidR="00047E69" w:rsidRPr="000B2B22" w:rsidRDefault="00C210A5" w:rsidP="00F1460D">
      <w:pPr>
        <w:pStyle w:val="a5"/>
        <w:widowControl/>
        <w:numPr>
          <w:ilvl w:val="1"/>
          <w:numId w:val="8"/>
        </w:numPr>
        <w:tabs>
          <w:tab w:val="left" w:pos="837"/>
        </w:tabs>
        <w:adjustRightInd w:val="0"/>
        <w:snapToGrid w:val="0"/>
        <w:ind w:left="567" w:hanging="567"/>
      </w:pPr>
      <w:r w:rsidRPr="000B2B22">
        <w:t>CPP arm: Five cycles of placebo (started cycle 2) in combination with carboplatin (AUC 6) and paclitaxel (175 mg/m</w:t>
      </w:r>
      <w:r w:rsidRPr="000B2B22">
        <w:rPr>
          <w:position w:val="9"/>
          <w:sz w:val="14"/>
        </w:rPr>
        <w:t>2</w:t>
      </w:r>
      <w:r w:rsidRPr="000B2B22">
        <w:t>) for 6 cycles followed by placebo alone, for a total of up to 15 months of therapy</w:t>
      </w:r>
    </w:p>
    <w:p w14:paraId="45DE2418" w14:textId="77777777" w:rsidR="00047E69" w:rsidRPr="000B2B22" w:rsidRDefault="00C210A5" w:rsidP="00F1460D">
      <w:pPr>
        <w:pStyle w:val="a5"/>
        <w:widowControl/>
        <w:numPr>
          <w:ilvl w:val="1"/>
          <w:numId w:val="8"/>
        </w:numPr>
        <w:tabs>
          <w:tab w:val="left" w:pos="836"/>
        </w:tabs>
        <w:adjustRightInd w:val="0"/>
        <w:snapToGrid w:val="0"/>
        <w:ind w:left="567" w:hanging="567"/>
      </w:pPr>
      <w:r w:rsidRPr="000B2B22">
        <w:t>CPB15 arm: Five cycles of bevacizumab (15 mg/kg q3w started cycle 2) in combination with carboplatin (AUC 6) and paclitaxel (175 mg/m</w:t>
      </w:r>
      <w:r w:rsidRPr="000B2B22">
        <w:rPr>
          <w:position w:val="9"/>
          <w:sz w:val="14"/>
        </w:rPr>
        <w:t>2</w:t>
      </w:r>
      <w:r w:rsidRPr="000B2B22">
        <w:t>) for 6 cycles followed by placebo alone, for a total of up to 15 months of therapy</w:t>
      </w:r>
    </w:p>
    <w:p w14:paraId="761B783E" w14:textId="77777777" w:rsidR="00047E69" w:rsidRPr="000B2B22" w:rsidRDefault="00C210A5" w:rsidP="00F1460D">
      <w:pPr>
        <w:pStyle w:val="a5"/>
        <w:widowControl/>
        <w:numPr>
          <w:ilvl w:val="1"/>
          <w:numId w:val="8"/>
        </w:numPr>
        <w:tabs>
          <w:tab w:val="left" w:pos="837"/>
        </w:tabs>
        <w:adjustRightInd w:val="0"/>
        <w:snapToGrid w:val="0"/>
        <w:ind w:left="567" w:hanging="567"/>
      </w:pPr>
      <w:r w:rsidRPr="000B2B22">
        <w:t>CPB15+ arm: Five cycles of bevacizumab (15 mg/kg q3w started cycle 2) in combination with carboplatin (AUC 6) and paclitaxel (175 mg/m</w:t>
      </w:r>
      <w:r w:rsidRPr="000B2B22">
        <w:rPr>
          <w:position w:val="9"/>
          <w:sz w:val="14"/>
        </w:rPr>
        <w:t>2</w:t>
      </w:r>
      <w:r w:rsidRPr="000B2B22">
        <w:t>) for 6 cycles followed by continued use of bevacizumab (15 mg/kg q3w) as single agent for a total of up to 15 months of therapy.</w:t>
      </w:r>
    </w:p>
    <w:p w14:paraId="16E0E653"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4CF0C51C" w14:textId="416610DB" w:rsidR="00047E69" w:rsidRPr="000B2B22" w:rsidRDefault="00C210A5" w:rsidP="00F1460D">
      <w:pPr>
        <w:pStyle w:val="a5"/>
        <w:widowControl/>
        <w:adjustRightInd w:val="0"/>
        <w:snapToGrid w:val="0"/>
      </w:pPr>
      <w:r w:rsidRPr="000B2B22">
        <w:t>The majority of patients included in the study were White (87% in all three arms); the median age was 60 years in CPP and CPB15 arms and 59 years in CPB15+ arm; and 29% of patients in CPP or CPB15 and 26% in CPB15+ were over 65 years of age. Overall approximately 50% of patients had a GOG PS of 0 at baseline, 43% a GOG PS score of 1, and 7% a GOG PS score of 2. Most patients had EOC (82% in CPP and CPB15, 85% in CPB15+) followed by PPC (16% in CPP, 15% in CPB15, 13% in CPB15+) and FTC (1% in CPP, 3% in CPB15, 2% in CPB15+). The majority of patients had serous adenocarcinoma histologic type (85% in CPP and CPB15, 86% in CPB15+). Overall approximately 34% of patients were FIGO Stage III optimally debulked with gross residual disease, 40% Stage III sub</w:t>
      </w:r>
      <w:r w:rsidR="00FD0731" w:rsidRPr="000B2B22">
        <w:noBreakHyphen/>
      </w:r>
      <w:r w:rsidRPr="000B2B22">
        <w:t>optimally debulked, and 26% were Stage IV patients.</w:t>
      </w:r>
    </w:p>
    <w:p w14:paraId="170E2B39" w14:textId="77777777" w:rsidR="00A135EE" w:rsidRPr="000B2B22" w:rsidRDefault="00A135EE" w:rsidP="00F1460D">
      <w:pPr>
        <w:pStyle w:val="a5"/>
        <w:widowControl/>
        <w:adjustRightInd w:val="0"/>
        <w:snapToGrid w:val="0"/>
      </w:pPr>
    </w:p>
    <w:p w14:paraId="1D966CDC" w14:textId="43EA3704" w:rsidR="00047E69" w:rsidRPr="000B2B22" w:rsidRDefault="00C210A5" w:rsidP="00F1460D">
      <w:pPr>
        <w:pStyle w:val="a5"/>
        <w:widowControl/>
        <w:adjustRightInd w:val="0"/>
        <w:snapToGrid w:val="0"/>
      </w:pPr>
      <w:r w:rsidRPr="000B2B22">
        <w:t>The primary endpoint was PFS based on investigator’s assessment of disease progression based on radiological scans or CA 125 levels, or symptomatic deterioration per protocol. In addition, a prespecified analysis of the data censoring for CA</w:t>
      </w:r>
      <w:r w:rsidR="00FD0731" w:rsidRPr="000B2B22">
        <w:noBreakHyphen/>
      </w:r>
      <w:r w:rsidRPr="000B2B22">
        <w:t>125 progression events was conducted, as well as an independent review of PFS as determined by radiological scans.</w:t>
      </w:r>
    </w:p>
    <w:p w14:paraId="2EDAF077"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2047D615" w14:textId="0B4D74F7" w:rsidR="00047E69" w:rsidRPr="000B2B22" w:rsidRDefault="00C210A5" w:rsidP="00F1460D">
      <w:pPr>
        <w:pStyle w:val="a5"/>
        <w:widowControl/>
        <w:adjustRightInd w:val="0"/>
        <w:snapToGrid w:val="0"/>
      </w:pPr>
      <w:r w:rsidRPr="000B2B22">
        <w:t>The trial met its primary objective of PFS improvement. Compared to patients treated with chemotherapy (carboplatin and paclitaxel) alone in the front</w:t>
      </w:r>
      <w:r w:rsidR="00FD0731" w:rsidRPr="000B2B22">
        <w:noBreakHyphen/>
      </w:r>
      <w:r w:rsidRPr="000B2B22">
        <w:t>line setting, patients who received bevacizumab at a dose of 15 mg/kg q3w in combination with chemotherapy and continued to receive bevacizumab alone (CPB15+), had a clinically meaningful and statistically significant improvement in PFS.</w:t>
      </w:r>
    </w:p>
    <w:p w14:paraId="7EEC96BA" w14:textId="77777777" w:rsidR="00047E69" w:rsidRPr="000B2B22" w:rsidRDefault="00047E69" w:rsidP="00F1460D">
      <w:pPr>
        <w:widowControl/>
        <w:adjustRightInd w:val="0"/>
        <w:snapToGrid w:val="0"/>
        <w:rPr>
          <w:rFonts w:ascii="Times New Roman" w:eastAsia="Times New Roman" w:hAnsi="Times New Roman" w:cs="Times New Roman"/>
        </w:rPr>
      </w:pPr>
    </w:p>
    <w:p w14:paraId="555F5920" w14:textId="77777777" w:rsidR="00047E69" w:rsidRPr="000B2B22" w:rsidRDefault="00C210A5" w:rsidP="00F1460D">
      <w:pPr>
        <w:pStyle w:val="a5"/>
        <w:widowControl/>
        <w:adjustRightInd w:val="0"/>
        <w:snapToGrid w:val="0"/>
      </w:pPr>
      <w:r w:rsidRPr="000B2B22">
        <w:lastRenderedPageBreak/>
        <w:t>In patients who only received bevacizumab in combination with chemotherapy and did not continue to receive bevacizumab alone (CPB15), no clinically meaningful benefit in PFS was observed.</w:t>
      </w:r>
    </w:p>
    <w:p w14:paraId="45EB0EB2" w14:textId="77777777" w:rsidR="00047E69" w:rsidRPr="000B2B22" w:rsidRDefault="00047E69" w:rsidP="00F1460D">
      <w:pPr>
        <w:widowControl/>
        <w:adjustRightInd w:val="0"/>
        <w:snapToGrid w:val="0"/>
        <w:rPr>
          <w:rFonts w:ascii="Times New Roman" w:eastAsia="Times New Roman" w:hAnsi="Times New Roman" w:cs="Times New Roman"/>
        </w:rPr>
      </w:pPr>
    </w:p>
    <w:p w14:paraId="659F95FB" w14:textId="77777777" w:rsidR="00047E69" w:rsidRPr="000B2B22" w:rsidRDefault="00C210A5" w:rsidP="00F1460D">
      <w:pPr>
        <w:pStyle w:val="a5"/>
        <w:widowControl/>
        <w:adjustRightInd w:val="0"/>
        <w:snapToGrid w:val="0"/>
      </w:pPr>
      <w:r w:rsidRPr="000B2B22">
        <w:t>The results of this study are summarised in Table 16.</w:t>
      </w:r>
    </w:p>
    <w:p w14:paraId="3649BDCA" w14:textId="77777777" w:rsidR="00047E69" w:rsidRPr="000B2B22" w:rsidRDefault="00047E69" w:rsidP="00F1460D">
      <w:pPr>
        <w:widowControl/>
        <w:adjustRightInd w:val="0"/>
        <w:snapToGrid w:val="0"/>
        <w:rPr>
          <w:rFonts w:ascii="Times New Roman" w:eastAsia="Times New Roman" w:hAnsi="Times New Roman" w:cs="Times New Roman"/>
        </w:rPr>
      </w:pPr>
    </w:p>
    <w:p w14:paraId="4F931560" w14:textId="46B666D8" w:rsidR="00AF607F"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16</w:t>
      </w:r>
      <w:r w:rsidRPr="00536B4F">
        <w:rPr>
          <w:rFonts w:ascii="Times New Roman" w:hAnsi="Times New Roman" w:cs="Times New Roman"/>
          <w:b/>
          <w:bCs/>
        </w:rPr>
        <w:tab/>
        <w:t>Efficacy results from study GOG</w:t>
      </w:r>
      <w:r w:rsidR="00FD0731" w:rsidRPr="00536B4F">
        <w:rPr>
          <w:rFonts w:ascii="Times New Roman" w:hAnsi="Times New Roman" w:cs="Times New Roman"/>
          <w:b/>
          <w:bCs/>
        </w:rPr>
        <w:noBreakHyphen/>
      </w:r>
      <w:r w:rsidRPr="00536B4F">
        <w:rPr>
          <w:rFonts w:ascii="Times New Roman" w:hAnsi="Times New Roman" w:cs="Times New Roman"/>
          <w:b/>
          <w:bCs/>
        </w:rPr>
        <w:t>0218</w:t>
      </w:r>
    </w:p>
    <w:p w14:paraId="6FF3D07A" w14:textId="77777777" w:rsidR="00047E69" w:rsidRPr="00536B4F" w:rsidRDefault="00047E69" w:rsidP="00536B4F">
      <w:pPr>
        <w:ind w:left="1134" w:hanging="1134"/>
        <w:rPr>
          <w:rFonts w:ascii="Times New Roman" w:hAnsi="Times New Roman" w:cs="Times New Roman"/>
          <w:b/>
          <w:bCs/>
        </w:rPr>
      </w:pPr>
    </w:p>
    <w:tbl>
      <w:tblPr>
        <w:tblStyle w:val="ad"/>
        <w:tblW w:w="5000" w:type="pct"/>
        <w:tblLook w:val="04A0" w:firstRow="1" w:lastRow="0" w:firstColumn="1" w:lastColumn="0" w:noHBand="0" w:noVBand="1"/>
      </w:tblPr>
      <w:tblGrid>
        <w:gridCol w:w="2482"/>
        <w:gridCol w:w="2050"/>
        <w:gridCol w:w="2266"/>
        <w:gridCol w:w="2266"/>
      </w:tblGrid>
      <w:tr w:rsidR="00A46B65" w:rsidRPr="000B2B22" w14:paraId="2EFBD792" w14:textId="77777777">
        <w:tc>
          <w:tcPr>
            <w:tcW w:w="5000" w:type="pct"/>
            <w:gridSpan w:val="4"/>
          </w:tcPr>
          <w:p w14:paraId="7791C9E9" w14:textId="5E9446FB" w:rsidR="00047E69" w:rsidRPr="000B2B22" w:rsidRDefault="00C210A5" w:rsidP="00F1460D">
            <w:pPr>
              <w:widowControl/>
              <w:adjustRightInd w:val="0"/>
              <w:snapToGrid w:val="0"/>
              <w:rPr>
                <w:rFonts w:ascii="Times New Roman" w:eastAsia="Times New Roman" w:hAnsi="Times New Roman" w:cs="Times New Roman"/>
                <w:b/>
                <w:bCs/>
              </w:rPr>
            </w:pPr>
            <w:r w:rsidRPr="000B2B22">
              <w:rPr>
                <w:rFonts w:ascii="Times New Roman" w:hAnsi="Times New Roman" w:cs="Times New Roman"/>
                <w:b/>
                <w:bCs/>
              </w:rPr>
              <w:t>Progression</w:t>
            </w:r>
            <w:r w:rsidR="00FD0731" w:rsidRPr="000B2B22">
              <w:rPr>
                <w:rFonts w:ascii="Times New Roman" w:hAnsi="Times New Roman" w:cs="Times New Roman"/>
                <w:b/>
                <w:bCs/>
              </w:rPr>
              <w:noBreakHyphen/>
            </w:r>
            <w:r w:rsidRPr="000B2B22">
              <w:rPr>
                <w:rFonts w:ascii="Times New Roman" w:hAnsi="Times New Roman" w:cs="Times New Roman"/>
                <w:b/>
                <w:bCs/>
              </w:rPr>
              <w:t>free survival</w:t>
            </w:r>
            <w:r w:rsidRPr="000B2B22">
              <w:rPr>
                <w:rFonts w:ascii="Times New Roman" w:hAnsi="Times New Roman" w:cs="Times New Roman"/>
                <w:b/>
                <w:bCs/>
                <w:sz w:val="18"/>
                <w:szCs w:val="18"/>
                <w:vertAlign w:val="superscript"/>
              </w:rPr>
              <w:t>1</w:t>
            </w:r>
          </w:p>
        </w:tc>
      </w:tr>
      <w:tr w:rsidR="00A46B65" w:rsidRPr="000B2B22" w14:paraId="2BC98A66" w14:textId="77777777">
        <w:trPr>
          <w:trHeight w:val="520"/>
        </w:trPr>
        <w:tc>
          <w:tcPr>
            <w:tcW w:w="1369" w:type="pct"/>
          </w:tcPr>
          <w:p w14:paraId="0E89D37C" w14:textId="77777777" w:rsidR="00047E69" w:rsidRPr="000B2B22" w:rsidRDefault="00047E69" w:rsidP="00F1460D">
            <w:pPr>
              <w:widowControl/>
              <w:jc w:val="center"/>
              <w:rPr>
                <w:rFonts w:ascii="Times New Roman" w:eastAsia="Times New Roman" w:hAnsi="Times New Roman" w:cs="Times New Roman"/>
                <w:b/>
                <w:bCs/>
              </w:rPr>
            </w:pPr>
          </w:p>
        </w:tc>
        <w:tc>
          <w:tcPr>
            <w:tcW w:w="1131" w:type="pct"/>
          </w:tcPr>
          <w:p w14:paraId="5882EE8C"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CPP</w:t>
            </w:r>
          </w:p>
          <w:p w14:paraId="32065B09"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625)</w:t>
            </w:r>
          </w:p>
        </w:tc>
        <w:tc>
          <w:tcPr>
            <w:tcW w:w="1250" w:type="pct"/>
          </w:tcPr>
          <w:p w14:paraId="38DF2A82"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CPB15</w:t>
            </w:r>
          </w:p>
          <w:p w14:paraId="646E8694"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625)</w:t>
            </w:r>
          </w:p>
        </w:tc>
        <w:tc>
          <w:tcPr>
            <w:tcW w:w="1250" w:type="pct"/>
          </w:tcPr>
          <w:p w14:paraId="7F2DD54C"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CPB15+</w:t>
            </w:r>
          </w:p>
          <w:p w14:paraId="1C5CB647"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623)</w:t>
            </w:r>
          </w:p>
        </w:tc>
      </w:tr>
      <w:tr w:rsidR="00A46B65" w:rsidRPr="000B2B22" w14:paraId="41CE4F64" w14:textId="77777777">
        <w:tc>
          <w:tcPr>
            <w:tcW w:w="1369" w:type="pct"/>
          </w:tcPr>
          <w:p w14:paraId="6DCF4544"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Median PFS (months)</w:t>
            </w:r>
          </w:p>
        </w:tc>
        <w:tc>
          <w:tcPr>
            <w:tcW w:w="1131" w:type="pct"/>
          </w:tcPr>
          <w:p w14:paraId="43A13637"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10.6</w:t>
            </w:r>
          </w:p>
        </w:tc>
        <w:tc>
          <w:tcPr>
            <w:tcW w:w="1250" w:type="pct"/>
          </w:tcPr>
          <w:p w14:paraId="1AA9C735"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11.6</w:t>
            </w:r>
          </w:p>
        </w:tc>
        <w:tc>
          <w:tcPr>
            <w:tcW w:w="1250" w:type="pct"/>
          </w:tcPr>
          <w:p w14:paraId="7E4BECF4"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14.7</w:t>
            </w:r>
          </w:p>
        </w:tc>
      </w:tr>
      <w:tr w:rsidR="00A46B65" w:rsidRPr="000B2B22" w14:paraId="1F2DD71A" w14:textId="77777777">
        <w:trPr>
          <w:trHeight w:val="502"/>
        </w:trPr>
        <w:tc>
          <w:tcPr>
            <w:tcW w:w="1369" w:type="pct"/>
          </w:tcPr>
          <w:p w14:paraId="22C887D2" w14:textId="7973F534"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 xml:space="preserve">Hazard </w:t>
            </w:r>
            <w:r w:rsidR="00F76145" w:rsidRPr="000B2B22">
              <w:rPr>
                <w:rFonts w:ascii="Times New Roman" w:hAnsi="Times New Roman" w:cs="Times New Roman"/>
              </w:rPr>
              <w:t>r</w:t>
            </w:r>
            <w:r w:rsidRPr="000B2B22">
              <w:rPr>
                <w:rFonts w:ascii="Times New Roman" w:hAnsi="Times New Roman" w:cs="Times New Roman"/>
              </w:rPr>
              <w:t xml:space="preserve">atio (95% CI) </w:t>
            </w:r>
            <w:r w:rsidRPr="000B2B22">
              <w:rPr>
                <w:rFonts w:ascii="Times New Roman" w:hAnsi="Times New Roman" w:cs="Times New Roman"/>
                <w:position w:val="7"/>
                <w:sz w:val="18"/>
                <w:szCs w:val="18"/>
                <w:vertAlign w:val="superscript"/>
              </w:rPr>
              <w:t>2</w:t>
            </w:r>
          </w:p>
        </w:tc>
        <w:tc>
          <w:tcPr>
            <w:tcW w:w="1131" w:type="pct"/>
          </w:tcPr>
          <w:p w14:paraId="020F4AA0" w14:textId="77777777" w:rsidR="00047E69" w:rsidRPr="000B2B22" w:rsidRDefault="00047E69" w:rsidP="00F1460D">
            <w:pPr>
              <w:widowControl/>
              <w:jc w:val="center"/>
              <w:rPr>
                <w:rFonts w:ascii="Times New Roman" w:eastAsia="Times New Roman" w:hAnsi="Times New Roman" w:cs="Times New Roman"/>
                <w:b/>
                <w:bCs/>
              </w:rPr>
            </w:pPr>
          </w:p>
        </w:tc>
        <w:tc>
          <w:tcPr>
            <w:tcW w:w="1250" w:type="pct"/>
          </w:tcPr>
          <w:p w14:paraId="1FAE8C9B"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0.89</w:t>
            </w:r>
          </w:p>
          <w:p w14:paraId="0654DDCC"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(0.78, 1.02)</w:t>
            </w:r>
          </w:p>
        </w:tc>
        <w:tc>
          <w:tcPr>
            <w:tcW w:w="1250" w:type="pct"/>
          </w:tcPr>
          <w:p w14:paraId="00CD8A2B"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0.70</w:t>
            </w:r>
          </w:p>
          <w:p w14:paraId="683A49CB"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(0.61, 0.81)</w:t>
            </w:r>
          </w:p>
        </w:tc>
      </w:tr>
      <w:tr w:rsidR="00A46B65" w:rsidRPr="000B2B22" w14:paraId="545106B4" w14:textId="77777777">
        <w:tc>
          <w:tcPr>
            <w:tcW w:w="1369" w:type="pct"/>
          </w:tcPr>
          <w:p w14:paraId="3CA1C408" w14:textId="4ACC251E"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p</w:t>
            </w:r>
            <w:r w:rsidR="00FD0731" w:rsidRPr="000B2B22">
              <w:rPr>
                <w:rFonts w:ascii="Times New Roman" w:hAnsi="Times New Roman" w:cs="Times New Roman"/>
              </w:rPr>
              <w:noBreakHyphen/>
            </w:r>
            <w:r w:rsidRPr="000B2B22">
              <w:rPr>
                <w:rFonts w:ascii="Times New Roman" w:hAnsi="Times New Roman" w:cs="Times New Roman"/>
              </w:rPr>
              <w:t>value</w:t>
            </w:r>
            <w:r w:rsidRPr="000B2B22">
              <w:rPr>
                <w:rFonts w:ascii="Times New Roman" w:hAnsi="Times New Roman" w:cs="Times New Roman"/>
                <w:position w:val="7"/>
                <w:sz w:val="18"/>
                <w:szCs w:val="18"/>
                <w:vertAlign w:val="superscript"/>
              </w:rPr>
              <w:t>3, 4</w:t>
            </w:r>
          </w:p>
        </w:tc>
        <w:tc>
          <w:tcPr>
            <w:tcW w:w="1131" w:type="pct"/>
          </w:tcPr>
          <w:p w14:paraId="24EA3A9A" w14:textId="77777777" w:rsidR="00047E69" w:rsidRPr="000B2B22" w:rsidRDefault="00047E69" w:rsidP="00F1460D">
            <w:pPr>
              <w:widowControl/>
              <w:jc w:val="center"/>
              <w:rPr>
                <w:rFonts w:ascii="Times New Roman" w:eastAsia="Times New Roman" w:hAnsi="Times New Roman" w:cs="Times New Roman"/>
                <w:b/>
                <w:bCs/>
              </w:rPr>
            </w:pPr>
          </w:p>
        </w:tc>
        <w:tc>
          <w:tcPr>
            <w:tcW w:w="1250" w:type="pct"/>
          </w:tcPr>
          <w:p w14:paraId="48D6FBAA"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0.0437</w:t>
            </w:r>
          </w:p>
        </w:tc>
        <w:tc>
          <w:tcPr>
            <w:tcW w:w="1250" w:type="pct"/>
          </w:tcPr>
          <w:p w14:paraId="7A817ACD"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&lt; 0.0001</w:t>
            </w:r>
          </w:p>
        </w:tc>
      </w:tr>
      <w:tr w:rsidR="00A46B65" w:rsidRPr="000B2B22" w14:paraId="61DC7B3E" w14:textId="77777777">
        <w:tc>
          <w:tcPr>
            <w:tcW w:w="5000" w:type="pct"/>
            <w:gridSpan w:val="4"/>
          </w:tcPr>
          <w:p w14:paraId="437B0786" w14:textId="14B8D056" w:rsidR="00047E69" w:rsidRPr="000B2B22" w:rsidRDefault="00C210A5" w:rsidP="00F1460D">
            <w:pPr>
              <w:widowControl/>
              <w:rPr>
                <w:rFonts w:ascii="Times New Roman" w:eastAsia="Times New Roman" w:hAnsi="Times New Roman" w:cs="Times New Roman"/>
                <w:b/>
                <w:bCs/>
              </w:rPr>
            </w:pPr>
            <w:r w:rsidRPr="000B2B22">
              <w:rPr>
                <w:rFonts w:ascii="Times New Roman" w:hAnsi="Times New Roman" w:cs="Times New Roman"/>
                <w:b/>
                <w:bCs/>
              </w:rPr>
              <w:t xml:space="preserve">Objective response </w:t>
            </w:r>
            <w:r w:rsidR="00F76145" w:rsidRPr="000B2B22">
              <w:rPr>
                <w:rFonts w:ascii="Times New Roman" w:hAnsi="Times New Roman" w:cs="Times New Roman"/>
                <w:b/>
                <w:bCs/>
              </w:rPr>
              <w:t>r</w:t>
            </w:r>
            <w:r w:rsidRPr="000B2B22">
              <w:rPr>
                <w:rFonts w:ascii="Times New Roman" w:hAnsi="Times New Roman" w:cs="Times New Roman"/>
                <w:b/>
                <w:bCs/>
              </w:rPr>
              <w:t>ate</w:t>
            </w:r>
            <w:r w:rsidRPr="000B2B22">
              <w:rPr>
                <w:rFonts w:ascii="Times New Roman" w:hAnsi="Times New Roman" w:cs="Times New Roman"/>
                <w:b/>
                <w:bCs/>
                <w:vertAlign w:val="superscript"/>
              </w:rPr>
              <w:t>5</w:t>
            </w:r>
          </w:p>
        </w:tc>
      </w:tr>
      <w:tr w:rsidR="00A46B65" w:rsidRPr="000B2B22" w14:paraId="0AD10E6C" w14:textId="77777777">
        <w:trPr>
          <w:trHeight w:val="474"/>
        </w:trPr>
        <w:tc>
          <w:tcPr>
            <w:tcW w:w="1369" w:type="pct"/>
          </w:tcPr>
          <w:p w14:paraId="6270D203" w14:textId="77777777" w:rsidR="00047E69" w:rsidRPr="000B2B22" w:rsidRDefault="00047E69" w:rsidP="00F1460D">
            <w:pPr>
              <w:widowControl/>
              <w:jc w:val="center"/>
              <w:rPr>
                <w:rFonts w:ascii="Times New Roman" w:eastAsia="Times New Roman" w:hAnsi="Times New Roman" w:cs="Times New Roman"/>
                <w:b/>
                <w:bCs/>
              </w:rPr>
            </w:pPr>
          </w:p>
        </w:tc>
        <w:tc>
          <w:tcPr>
            <w:tcW w:w="1131" w:type="pct"/>
          </w:tcPr>
          <w:p w14:paraId="1D35AACA"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CPP</w:t>
            </w:r>
          </w:p>
          <w:p w14:paraId="2EE5B7DD"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396)</w:t>
            </w:r>
          </w:p>
        </w:tc>
        <w:tc>
          <w:tcPr>
            <w:tcW w:w="1250" w:type="pct"/>
          </w:tcPr>
          <w:p w14:paraId="3DCB60C4"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CPB15</w:t>
            </w:r>
          </w:p>
          <w:p w14:paraId="3E4C23FB"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393)</w:t>
            </w:r>
          </w:p>
        </w:tc>
        <w:tc>
          <w:tcPr>
            <w:tcW w:w="1250" w:type="pct"/>
          </w:tcPr>
          <w:p w14:paraId="0A0D39CA"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CPB15 +</w:t>
            </w:r>
          </w:p>
          <w:p w14:paraId="386EB98C"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403)</w:t>
            </w:r>
          </w:p>
        </w:tc>
      </w:tr>
      <w:tr w:rsidR="00A46B65" w:rsidRPr="000B2B22" w14:paraId="3FD5DAD3" w14:textId="77777777">
        <w:tc>
          <w:tcPr>
            <w:tcW w:w="1369" w:type="pct"/>
          </w:tcPr>
          <w:p w14:paraId="1123018E"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 pts with objective response</w:t>
            </w:r>
          </w:p>
        </w:tc>
        <w:tc>
          <w:tcPr>
            <w:tcW w:w="1131" w:type="pct"/>
          </w:tcPr>
          <w:p w14:paraId="06FF6088"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63.4</w:t>
            </w:r>
          </w:p>
        </w:tc>
        <w:tc>
          <w:tcPr>
            <w:tcW w:w="1250" w:type="pct"/>
          </w:tcPr>
          <w:p w14:paraId="0E2700E0"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66.2</w:t>
            </w:r>
          </w:p>
        </w:tc>
        <w:tc>
          <w:tcPr>
            <w:tcW w:w="1250" w:type="pct"/>
          </w:tcPr>
          <w:p w14:paraId="09593F16"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66.0</w:t>
            </w:r>
          </w:p>
        </w:tc>
      </w:tr>
      <w:tr w:rsidR="00A46B65" w:rsidRPr="000B2B22" w14:paraId="158015A5" w14:textId="77777777">
        <w:tc>
          <w:tcPr>
            <w:tcW w:w="1369" w:type="pct"/>
          </w:tcPr>
          <w:p w14:paraId="0A38B476" w14:textId="111D1DF4" w:rsidR="00047E69" w:rsidRPr="000B2B22" w:rsidRDefault="00C210A5" w:rsidP="00F1460D">
            <w:pPr>
              <w:widowControl/>
              <w:jc w:val="center"/>
              <w:rPr>
                <w:rFonts w:ascii="Times New Roman" w:eastAsia="Times New Roman" w:hAnsi="Times New Roman" w:cs="Times New Roman"/>
                <w:bCs/>
              </w:rPr>
            </w:pPr>
            <w:r w:rsidRPr="000B2B22">
              <w:rPr>
                <w:rFonts w:ascii="Times New Roman" w:hAnsi="Times New Roman" w:cs="Times New Roman"/>
              </w:rPr>
              <w:t>p</w:t>
            </w:r>
            <w:r w:rsidR="00FD0731" w:rsidRPr="000B2B22">
              <w:rPr>
                <w:rFonts w:ascii="Times New Roman" w:hAnsi="Times New Roman" w:cs="Times New Roman"/>
              </w:rPr>
              <w:noBreakHyphen/>
            </w:r>
            <w:r w:rsidRPr="000B2B22">
              <w:rPr>
                <w:rFonts w:ascii="Times New Roman" w:hAnsi="Times New Roman" w:cs="Times New Roman"/>
              </w:rPr>
              <w:t>value</w:t>
            </w:r>
          </w:p>
        </w:tc>
        <w:tc>
          <w:tcPr>
            <w:tcW w:w="1131" w:type="pct"/>
          </w:tcPr>
          <w:p w14:paraId="3C6FC43F" w14:textId="77777777" w:rsidR="00047E69" w:rsidRPr="000B2B22" w:rsidRDefault="00047E69" w:rsidP="00F1460D">
            <w:pPr>
              <w:widowControl/>
              <w:jc w:val="center"/>
              <w:rPr>
                <w:rFonts w:ascii="Times New Roman" w:eastAsia="Times New Roman" w:hAnsi="Times New Roman" w:cs="Times New Roman"/>
                <w:b/>
                <w:bCs/>
              </w:rPr>
            </w:pPr>
          </w:p>
        </w:tc>
        <w:tc>
          <w:tcPr>
            <w:tcW w:w="1250" w:type="pct"/>
          </w:tcPr>
          <w:p w14:paraId="26C87343"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0.2341</w:t>
            </w:r>
          </w:p>
        </w:tc>
        <w:tc>
          <w:tcPr>
            <w:tcW w:w="1250" w:type="pct"/>
          </w:tcPr>
          <w:p w14:paraId="72FAAB07"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0.2041</w:t>
            </w:r>
          </w:p>
        </w:tc>
      </w:tr>
      <w:tr w:rsidR="00A46B65" w:rsidRPr="000B2B22" w14:paraId="231FE318" w14:textId="77777777">
        <w:tc>
          <w:tcPr>
            <w:tcW w:w="5000" w:type="pct"/>
            <w:gridSpan w:val="4"/>
          </w:tcPr>
          <w:p w14:paraId="6DCB1635" w14:textId="2512E1A6" w:rsidR="00047E69" w:rsidRPr="000B2B22" w:rsidRDefault="00C210A5" w:rsidP="00F1460D">
            <w:pPr>
              <w:widowControl/>
              <w:rPr>
                <w:rFonts w:ascii="Times New Roman" w:eastAsia="Times New Roman" w:hAnsi="Times New Roman" w:cs="Times New Roman"/>
                <w:b/>
              </w:rPr>
            </w:pPr>
            <w:r w:rsidRPr="000B2B22">
              <w:rPr>
                <w:rFonts w:ascii="Times New Roman" w:hAnsi="Times New Roman" w:cs="Times New Roman"/>
                <w:b/>
                <w:lang w:eastAsia="ko-KR"/>
              </w:rPr>
              <w:t>Overall survival</w:t>
            </w:r>
            <w:r w:rsidRPr="000B2B22">
              <w:rPr>
                <w:rFonts w:ascii="Times New Roman" w:hAnsi="Times New Roman" w:cs="Times New Roman"/>
                <w:b/>
                <w:vertAlign w:val="superscript"/>
                <w:lang w:eastAsia="ko-KR"/>
              </w:rPr>
              <w:t>6</w:t>
            </w:r>
          </w:p>
        </w:tc>
      </w:tr>
      <w:tr w:rsidR="00A46B65" w:rsidRPr="000B2B22" w14:paraId="44175249" w14:textId="77777777">
        <w:trPr>
          <w:trHeight w:val="474"/>
        </w:trPr>
        <w:tc>
          <w:tcPr>
            <w:tcW w:w="1369" w:type="pct"/>
          </w:tcPr>
          <w:p w14:paraId="1957E2AB" w14:textId="77777777" w:rsidR="00047E69" w:rsidRPr="000B2B22" w:rsidRDefault="00047E69" w:rsidP="00F1460D">
            <w:pPr>
              <w:widowControl/>
              <w:jc w:val="center"/>
              <w:rPr>
                <w:rFonts w:ascii="Times New Roman" w:eastAsia="Times New Roman" w:hAnsi="Times New Roman" w:cs="Times New Roman"/>
                <w:b/>
                <w:bCs/>
              </w:rPr>
            </w:pPr>
          </w:p>
        </w:tc>
        <w:tc>
          <w:tcPr>
            <w:tcW w:w="1131" w:type="pct"/>
          </w:tcPr>
          <w:p w14:paraId="5B9F7085"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CPP</w:t>
            </w:r>
          </w:p>
          <w:p w14:paraId="0EAC7337"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625)</w:t>
            </w:r>
          </w:p>
        </w:tc>
        <w:tc>
          <w:tcPr>
            <w:tcW w:w="1250" w:type="pct"/>
          </w:tcPr>
          <w:p w14:paraId="08CCB0BE"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CPB15</w:t>
            </w:r>
          </w:p>
          <w:p w14:paraId="2FA51F7F"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625)</w:t>
            </w:r>
          </w:p>
        </w:tc>
        <w:tc>
          <w:tcPr>
            <w:tcW w:w="1250" w:type="pct"/>
          </w:tcPr>
          <w:p w14:paraId="6CB626FF"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CPB15 +</w:t>
            </w:r>
          </w:p>
          <w:p w14:paraId="2302F901"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(n = 623)</w:t>
            </w:r>
          </w:p>
        </w:tc>
      </w:tr>
      <w:tr w:rsidR="00A46B65" w:rsidRPr="000B2B22" w14:paraId="3457DBBF" w14:textId="77777777">
        <w:tc>
          <w:tcPr>
            <w:tcW w:w="1369" w:type="pct"/>
          </w:tcPr>
          <w:p w14:paraId="4DBC99D4"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Median OS (months)</w:t>
            </w:r>
          </w:p>
        </w:tc>
        <w:tc>
          <w:tcPr>
            <w:tcW w:w="1131" w:type="pct"/>
          </w:tcPr>
          <w:p w14:paraId="576635A7"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40.6</w:t>
            </w:r>
          </w:p>
        </w:tc>
        <w:tc>
          <w:tcPr>
            <w:tcW w:w="1250" w:type="pct"/>
          </w:tcPr>
          <w:p w14:paraId="07252721"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38.8</w:t>
            </w:r>
          </w:p>
        </w:tc>
        <w:tc>
          <w:tcPr>
            <w:tcW w:w="1250" w:type="pct"/>
          </w:tcPr>
          <w:p w14:paraId="375AE033"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43.8</w:t>
            </w:r>
          </w:p>
        </w:tc>
      </w:tr>
      <w:tr w:rsidR="00A46B65" w:rsidRPr="000B2B22" w14:paraId="3FEC1916" w14:textId="77777777">
        <w:tc>
          <w:tcPr>
            <w:tcW w:w="1369" w:type="pct"/>
          </w:tcPr>
          <w:p w14:paraId="2995F259" w14:textId="79C61578"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 xml:space="preserve">Hazard </w:t>
            </w:r>
            <w:r w:rsidR="00F76145" w:rsidRPr="000B2B22">
              <w:rPr>
                <w:rFonts w:ascii="Times New Roman" w:hAnsi="Times New Roman" w:cs="Times New Roman"/>
              </w:rPr>
              <w:t>r</w:t>
            </w:r>
            <w:r w:rsidRPr="000B2B22">
              <w:rPr>
                <w:rFonts w:ascii="Times New Roman" w:hAnsi="Times New Roman" w:cs="Times New Roman"/>
              </w:rPr>
              <w:t>atio (95% CI)</w:t>
            </w:r>
            <w:r w:rsidRPr="000B2B22">
              <w:rPr>
                <w:rFonts w:ascii="Times New Roman" w:hAnsi="Times New Roman" w:cs="Times New Roman"/>
                <w:position w:val="7"/>
                <w:vertAlign w:val="superscript"/>
              </w:rPr>
              <w:t>2</w:t>
            </w:r>
          </w:p>
        </w:tc>
        <w:tc>
          <w:tcPr>
            <w:tcW w:w="1131" w:type="pct"/>
          </w:tcPr>
          <w:p w14:paraId="787F1081" w14:textId="77777777" w:rsidR="00047E69" w:rsidRPr="000B2B22" w:rsidRDefault="00047E69" w:rsidP="00F1460D">
            <w:pPr>
              <w:widowControl/>
              <w:jc w:val="center"/>
              <w:rPr>
                <w:rFonts w:ascii="Times New Roman" w:eastAsia="Times New Roman" w:hAnsi="Times New Roman" w:cs="Times New Roman"/>
                <w:b/>
                <w:bCs/>
              </w:rPr>
            </w:pPr>
          </w:p>
        </w:tc>
        <w:tc>
          <w:tcPr>
            <w:tcW w:w="1250" w:type="pct"/>
          </w:tcPr>
          <w:p w14:paraId="3DA90C57" w14:textId="77777777" w:rsidR="00047E69" w:rsidRPr="000B2B22" w:rsidRDefault="00C210A5" w:rsidP="00F1460D">
            <w:pPr>
              <w:widowControl/>
              <w:jc w:val="center"/>
              <w:rPr>
                <w:rFonts w:ascii="Times New Roman" w:hAnsi="Times New Roman" w:cs="Times New Roman"/>
              </w:rPr>
            </w:pPr>
            <w:r w:rsidRPr="000B2B22">
              <w:rPr>
                <w:rFonts w:ascii="Times New Roman" w:hAnsi="Times New Roman" w:cs="Times New Roman"/>
              </w:rPr>
              <w:t>1.07</w:t>
            </w:r>
          </w:p>
          <w:p w14:paraId="194B399A"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(0.91, 1.25)</w:t>
            </w:r>
          </w:p>
        </w:tc>
        <w:tc>
          <w:tcPr>
            <w:tcW w:w="1250" w:type="pct"/>
          </w:tcPr>
          <w:p w14:paraId="75ED942C" w14:textId="77777777" w:rsidR="00047E69" w:rsidRPr="000B2B22" w:rsidRDefault="00C210A5" w:rsidP="00F1460D">
            <w:pPr>
              <w:widowControl/>
              <w:jc w:val="center"/>
              <w:rPr>
                <w:rFonts w:ascii="Times New Roman" w:hAnsi="Times New Roman" w:cs="Times New Roman"/>
              </w:rPr>
            </w:pPr>
            <w:r w:rsidRPr="000B2B22">
              <w:rPr>
                <w:rFonts w:ascii="Times New Roman" w:hAnsi="Times New Roman" w:cs="Times New Roman"/>
              </w:rPr>
              <w:t>0.88</w:t>
            </w:r>
          </w:p>
          <w:p w14:paraId="365A43E9"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(0.75, 1.04)</w:t>
            </w:r>
          </w:p>
        </w:tc>
      </w:tr>
      <w:tr w:rsidR="00A46B65" w:rsidRPr="000B2B22" w14:paraId="0CA019CD" w14:textId="77777777">
        <w:tc>
          <w:tcPr>
            <w:tcW w:w="1369" w:type="pct"/>
          </w:tcPr>
          <w:p w14:paraId="5F8B39DB" w14:textId="101B5973"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p</w:t>
            </w:r>
            <w:r w:rsidR="00FD0731" w:rsidRPr="000B2B22">
              <w:rPr>
                <w:rFonts w:ascii="Times New Roman" w:hAnsi="Times New Roman" w:cs="Times New Roman"/>
              </w:rPr>
              <w:noBreakHyphen/>
            </w:r>
            <w:r w:rsidRPr="000B2B22">
              <w:rPr>
                <w:rFonts w:ascii="Times New Roman" w:hAnsi="Times New Roman" w:cs="Times New Roman"/>
              </w:rPr>
              <w:t>value</w:t>
            </w:r>
            <w:r w:rsidRPr="000B2B22">
              <w:rPr>
                <w:rFonts w:ascii="Times New Roman" w:hAnsi="Times New Roman" w:cs="Times New Roman"/>
                <w:position w:val="7"/>
                <w:vertAlign w:val="superscript"/>
              </w:rPr>
              <w:t>3</w:t>
            </w:r>
          </w:p>
        </w:tc>
        <w:tc>
          <w:tcPr>
            <w:tcW w:w="1131" w:type="pct"/>
          </w:tcPr>
          <w:p w14:paraId="7B3770BB" w14:textId="77777777" w:rsidR="00047E69" w:rsidRPr="000B2B22" w:rsidRDefault="00047E69" w:rsidP="00F1460D">
            <w:pPr>
              <w:widowControl/>
              <w:jc w:val="center"/>
              <w:rPr>
                <w:rFonts w:ascii="Times New Roman" w:eastAsia="Times New Roman" w:hAnsi="Times New Roman" w:cs="Times New Roman"/>
                <w:b/>
                <w:bCs/>
              </w:rPr>
            </w:pPr>
          </w:p>
        </w:tc>
        <w:tc>
          <w:tcPr>
            <w:tcW w:w="1250" w:type="pct"/>
          </w:tcPr>
          <w:p w14:paraId="18EC9E89"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0.2197</w:t>
            </w:r>
          </w:p>
        </w:tc>
        <w:tc>
          <w:tcPr>
            <w:tcW w:w="1250" w:type="pct"/>
          </w:tcPr>
          <w:p w14:paraId="488AB720" w14:textId="77777777" w:rsidR="00047E69" w:rsidRPr="000B2B22" w:rsidRDefault="00C210A5" w:rsidP="00F1460D">
            <w:pPr>
              <w:widowControl/>
              <w:jc w:val="center"/>
              <w:rPr>
                <w:rFonts w:ascii="Times New Roman" w:eastAsia="Times New Roman" w:hAnsi="Times New Roman" w:cs="Times New Roman"/>
                <w:b/>
                <w:bCs/>
              </w:rPr>
            </w:pPr>
            <w:r w:rsidRPr="000B2B22">
              <w:rPr>
                <w:rFonts w:ascii="Times New Roman" w:hAnsi="Times New Roman" w:cs="Times New Roman"/>
              </w:rPr>
              <w:t>0.0641</w:t>
            </w:r>
          </w:p>
        </w:tc>
      </w:tr>
    </w:tbl>
    <w:p w14:paraId="750A7269" w14:textId="6C26F833" w:rsidR="00047E69" w:rsidRPr="000B2B22" w:rsidRDefault="00C210A5" w:rsidP="000871AA">
      <w:pPr>
        <w:widowControl/>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1 </w:t>
      </w:r>
      <w:r w:rsidRPr="000B2B22">
        <w:rPr>
          <w:rFonts w:ascii="Times New Roman"/>
          <w:sz w:val="20"/>
        </w:rPr>
        <w:t>Investigator assessed GOG protocol</w:t>
      </w:r>
      <w:r w:rsidR="00FD0731" w:rsidRPr="000B2B22">
        <w:rPr>
          <w:rFonts w:ascii="Times New Roman"/>
          <w:sz w:val="20"/>
        </w:rPr>
        <w:noBreakHyphen/>
      </w:r>
      <w:r w:rsidRPr="000B2B22">
        <w:rPr>
          <w:rFonts w:ascii="Times New Roman"/>
          <w:sz w:val="20"/>
        </w:rPr>
        <w:t>specified PFS analysis (neither censored for CA</w:t>
      </w:r>
      <w:r w:rsidR="00FD0731" w:rsidRPr="000B2B22">
        <w:rPr>
          <w:rFonts w:ascii="Times New Roman"/>
          <w:sz w:val="20"/>
        </w:rPr>
        <w:noBreakHyphen/>
      </w:r>
      <w:r w:rsidRPr="000B2B22">
        <w:rPr>
          <w:rFonts w:ascii="Times New Roman"/>
          <w:sz w:val="20"/>
        </w:rPr>
        <w:t>125 progressions nor censored for NPT prior to disease progression) with data cut</w:t>
      </w:r>
      <w:r w:rsidR="00FD0731" w:rsidRPr="000B2B22">
        <w:rPr>
          <w:rFonts w:ascii="Times New Roman"/>
          <w:sz w:val="20"/>
        </w:rPr>
        <w:noBreakHyphen/>
      </w:r>
      <w:r w:rsidRPr="000B2B22">
        <w:rPr>
          <w:rFonts w:ascii="Times New Roman"/>
          <w:sz w:val="20"/>
        </w:rPr>
        <w:t>off date of 25 February, 2010.</w:t>
      </w:r>
    </w:p>
    <w:p w14:paraId="2CD4150A" w14:textId="77777777" w:rsidR="00047E69" w:rsidRPr="000B2B22" w:rsidRDefault="00C210A5" w:rsidP="000871AA">
      <w:pPr>
        <w:widowControl/>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2 </w:t>
      </w:r>
      <w:r w:rsidRPr="000B2B22">
        <w:rPr>
          <w:rFonts w:ascii="Times New Roman"/>
          <w:sz w:val="20"/>
        </w:rPr>
        <w:t>Relative to the control arm; stratified hazard ratio.</w:t>
      </w:r>
    </w:p>
    <w:p w14:paraId="5F37F3E0" w14:textId="10FE8A02" w:rsidR="00047E69" w:rsidRPr="000B2B22" w:rsidRDefault="00C210A5" w:rsidP="000871AA">
      <w:pPr>
        <w:widowControl/>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3 </w:t>
      </w:r>
      <w:r w:rsidRPr="000B2B22">
        <w:rPr>
          <w:rFonts w:ascii="Times New Roman"/>
          <w:sz w:val="20"/>
        </w:rPr>
        <w:t>One</w:t>
      </w:r>
      <w:r w:rsidR="00FD0731" w:rsidRPr="000B2B22">
        <w:rPr>
          <w:rFonts w:ascii="Times New Roman"/>
          <w:sz w:val="20"/>
        </w:rPr>
        <w:noBreakHyphen/>
      </w:r>
      <w:r w:rsidRPr="000B2B22">
        <w:rPr>
          <w:rFonts w:ascii="Times New Roman"/>
          <w:sz w:val="20"/>
        </w:rPr>
        <w:t>sided log</w:t>
      </w:r>
      <w:r w:rsidR="00FD0731" w:rsidRPr="000B2B22">
        <w:rPr>
          <w:rFonts w:ascii="Times New Roman"/>
          <w:sz w:val="20"/>
        </w:rPr>
        <w:noBreakHyphen/>
      </w:r>
      <w:r w:rsidRPr="000B2B22">
        <w:rPr>
          <w:rFonts w:ascii="Times New Roman"/>
          <w:sz w:val="20"/>
        </w:rPr>
        <w:t>rank p</w:t>
      </w:r>
      <w:r w:rsidR="00FD0731" w:rsidRPr="000B2B22">
        <w:rPr>
          <w:rFonts w:ascii="Times New Roman"/>
          <w:sz w:val="20"/>
        </w:rPr>
        <w:noBreakHyphen/>
      </w:r>
      <w:r w:rsidRPr="000B2B22">
        <w:rPr>
          <w:rFonts w:ascii="Times New Roman"/>
          <w:sz w:val="20"/>
        </w:rPr>
        <w:t>value</w:t>
      </w:r>
    </w:p>
    <w:p w14:paraId="0093D104" w14:textId="10011F5C" w:rsidR="00047E69" w:rsidRPr="000B2B22" w:rsidRDefault="00C210A5" w:rsidP="000871AA">
      <w:pPr>
        <w:widowControl/>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4 </w:t>
      </w:r>
      <w:r w:rsidRPr="000B2B22">
        <w:rPr>
          <w:rFonts w:ascii="Times New Roman"/>
          <w:sz w:val="20"/>
        </w:rPr>
        <w:t>Subject to a p</w:t>
      </w:r>
      <w:r w:rsidR="00FD0731" w:rsidRPr="000B2B22">
        <w:rPr>
          <w:rFonts w:ascii="Times New Roman"/>
          <w:sz w:val="20"/>
        </w:rPr>
        <w:noBreakHyphen/>
      </w:r>
      <w:r w:rsidRPr="000B2B22">
        <w:rPr>
          <w:rFonts w:ascii="Times New Roman"/>
          <w:sz w:val="20"/>
        </w:rPr>
        <w:t>value boundary of 0.0116.</w:t>
      </w:r>
    </w:p>
    <w:p w14:paraId="41C62480" w14:textId="77777777" w:rsidR="00047E69" w:rsidRPr="000B2B22" w:rsidRDefault="00C210A5" w:rsidP="000871AA">
      <w:pPr>
        <w:widowControl/>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5 </w:t>
      </w:r>
      <w:r w:rsidRPr="000B2B22">
        <w:rPr>
          <w:rFonts w:ascii="Times New Roman"/>
          <w:sz w:val="20"/>
        </w:rPr>
        <w:t>Patients with measurable disease at baseline.</w:t>
      </w:r>
    </w:p>
    <w:p w14:paraId="6973161E" w14:textId="2C739EEA" w:rsidR="00047E69" w:rsidRPr="000B2B22" w:rsidRDefault="00C210A5" w:rsidP="000871AA">
      <w:pPr>
        <w:widowControl/>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6 </w:t>
      </w:r>
      <w:r w:rsidRPr="000B2B22">
        <w:rPr>
          <w:rFonts w:ascii="Times New Roman"/>
          <w:sz w:val="20"/>
        </w:rPr>
        <w:t xml:space="preserve">Final </w:t>
      </w:r>
      <w:r w:rsidR="00410031" w:rsidRPr="000B2B22">
        <w:rPr>
          <w:rFonts w:ascii="Times New Roman"/>
          <w:sz w:val="20"/>
        </w:rPr>
        <w:t>OS</w:t>
      </w:r>
      <w:r w:rsidRPr="000B2B22">
        <w:rPr>
          <w:rFonts w:ascii="Times New Roman"/>
          <w:sz w:val="20"/>
        </w:rPr>
        <w:t xml:space="preserve"> analysis performed when 46.9% of the patients had died.</w:t>
      </w:r>
    </w:p>
    <w:p w14:paraId="7F247D79" w14:textId="77777777" w:rsidR="00047E69" w:rsidRPr="000B2B22" w:rsidRDefault="00047E69" w:rsidP="00F1460D">
      <w:pPr>
        <w:widowControl/>
        <w:adjustRightInd w:val="0"/>
        <w:snapToGrid w:val="0"/>
        <w:rPr>
          <w:rFonts w:ascii="Times New Roman" w:eastAsia="Times New Roman" w:hAnsi="Times New Roman" w:cs="Times New Roman"/>
          <w:sz w:val="21"/>
          <w:szCs w:val="21"/>
        </w:rPr>
      </w:pPr>
    </w:p>
    <w:p w14:paraId="35EE7F79" w14:textId="6AA42F20" w:rsidR="00047E69" w:rsidRPr="000B2B22" w:rsidRDefault="00C210A5" w:rsidP="00F1460D">
      <w:pPr>
        <w:pStyle w:val="a5"/>
        <w:widowControl/>
        <w:adjustRightInd w:val="0"/>
        <w:snapToGrid w:val="0"/>
      </w:pPr>
      <w:r w:rsidRPr="000B2B22">
        <w:t>Prespecified PFS analyses were conducted, all with a cut</w:t>
      </w:r>
      <w:r w:rsidR="00FD0731" w:rsidRPr="000B2B22">
        <w:noBreakHyphen/>
      </w:r>
      <w:r w:rsidRPr="000B2B22">
        <w:t>off date of 29 September 2009. The results of these prespecified analyses are as follows:</w:t>
      </w:r>
    </w:p>
    <w:p w14:paraId="199D09D2" w14:textId="77777777" w:rsidR="00047E69" w:rsidRPr="000B2B22" w:rsidRDefault="00047E69" w:rsidP="00F1460D">
      <w:pPr>
        <w:widowControl/>
        <w:adjustRightInd w:val="0"/>
        <w:snapToGrid w:val="0"/>
        <w:rPr>
          <w:rFonts w:ascii="Times New Roman" w:eastAsia="Times New Roman" w:hAnsi="Times New Roman" w:cs="Times New Roman"/>
        </w:rPr>
      </w:pPr>
    </w:p>
    <w:p w14:paraId="388E6DFE" w14:textId="29D277EF" w:rsidR="00047E69" w:rsidRPr="000B2B22" w:rsidRDefault="00C210A5" w:rsidP="00F1460D">
      <w:pPr>
        <w:pStyle w:val="a5"/>
        <w:widowControl/>
        <w:numPr>
          <w:ilvl w:val="1"/>
          <w:numId w:val="8"/>
        </w:numPr>
        <w:tabs>
          <w:tab w:val="left" w:pos="837"/>
        </w:tabs>
        <w:adjustRightInd w:val="0"/>
        <w:snapToGrid w:val="0"/>
        <w:ind w:left="567" w:hanging="567"/>
      </w:pPr>
      <w:r w:rsidRPr="000B2B22">
        <w:t>The protocol specified analysis of investigator</w:t>
      </w:r>
      <w:r w:rsidR="00FD0731" w:rsidRPr="000B2B22">
        <w:noBreakHyphen/>
      </w:r>
      <w:r w:rsidRPr="000B2B22">
        <w:t>assessed PFS (without censoring for CA</w:t>
      </w:r>
      <w:r w:rsidR="00FD0731" w:rsidRPr="000B2B22">
        <w:noBreakHyphen/>
      </w:r>
      <w:r w:rsidRPr="000B2B22">
        <w:t>125 progression or non</w:t>
      </w:r>
      <w:r w:rsidR="00FD0731" w:rsidRPr="000B2B22">
        <w:noBreakHyphen/>
      </w:r>
      <w:r w:rsidRPr="000B2B22">
        <w:t>protocol therapy [NPT]) shows a stratified hazard ratio of 0.71 (95% CI: 0.61-0.83, 1</w:t>
      </w:r>
      <w:r w:rsidR="00FD0731" w:rsidRPr="000B2B22">
        <w:noBreakHyphen/>
      </w:r>
      <w:r w:rsidRPr="000B2B22">
        <w:t>sided log</w:t>
      </w:r>
      <w:r w:rsidR="00FD0731" w:rsidRPr="000B2B22">
        <w:noBreakHyphen/>
      </w:r>
      <w:r w:rsidRPr="000B2B22">
        <w:t>rank p</w:t>
      </w:r>
      <w:r w:rsidR="00FD0731" w:rsidRPr="000B2B22">
        <w:noBreakHyphen/>
      </w:r>
      <w:r w:rsidRPr="000B2B22">
        <w:t>value &lt; 0.0001) when CPB15+ is compared with CPP, with a median PFS of 10.4 months in the CPP arm and 14.1 months in the CPB15+ arm.</w:t>
      </w:r>
    </w:p>
    <w:p w14:paraId="6092F7ED" w14:textId="666DCBD5" w:rsidR="00047E69" w:rsidRPr="000B2B22" w:rsidRDefault="00C210A5" w:rsidP="00F1460D">
      <w:pPr>
        <w:pStyle w:val="a5"/>
        <w:widowControl/>
        <w:numPr>
          <w:ilvl w:val="1"/>
          <w:numId w:val="8"/>
        </w:numPr>
        <w:tabs>
          <w:tab w:val="left" w:pos="837"/>
        </w:tabs>
        <w:adjustRightInd w:val="0"/>
        <w:snapToGrid w:val="0"/>
        <w:ind w:left="567" w:hanging="567"/>
      </w:pPr>
      <w:r w:rsidRPr="000B2B22">
        <w:t>The primary analysis of investigator</w:t>
      </w:r>
      <w:r w:rsidR="00FD0731" w:rsidRPr="000B2B22">
        <w:noBreakHyphen/>
      </w:r>
      <w:r w:rsidRPr="000B2B22">
        <w:t>assessed PFS (censoring for CA</w:t>
      </w:r>
      <w:r w:rsidR="00FD0731" w:rsidRPr="000B2B22">
        <w:noBreakHyphen/>
      </w:r>
      <w:r w:rsidRPr="000B2B22">
        <w:t>125 progressions and NPT) shows a stratified hazard ratio of 0.62 (95% CI: 0.52-0.75, 1</w:t>
      </w:r>
      <w:r w:rsidR="00FD0731" w:rsidRPr="000B2B22">
        <w:noBreakHyphen/>
      </w:r>
      <w:r w:rsidRPr="000B2B22">
        <w:t>sided log</w:t>
      </w:r>
      <w:r w:rsidR="00FD0731" w:rsidRPr="000B2B22">
        <w:noBreakHyphen/>
      </w:r>
      <w:r w:rsidRPr="000B2B22">
        <w:t>rank p</w:t>
      </w:r>
      <w:r w:rsidR="00FD0731" w:rsidRPr="000B2B22">
        <w:noBreakHyphen/>
      </w:r>
      <w:r w:rsidRPr="000B2B22">
        <w:t xml:space="preserve">value </w:t>
      </w:r>
      <w:r w:rsidR="002700BA" w:rsidRPr="000B2B22">
        <w:t>&lt; 0.0001) when CPB15+ is compared with CPP, with a median PFS of 12.0 months in the CPP arm and 18.2 months in the CPB15+ arm.</w:t>
      </w:r>
    </w:p>
    <w:p w14:paraId="467D7ECA" w14:textId="44F02105" w:rsidR="00047E69" w:rsidRPr="000B2B22" w:rsidRDefault="00C210A5" w:rsidP="00F1460D">
      <w:pPr>
        <w:pStyle w:val="a5"/>
        <w:widowControl/>
        <w:numPr>
          <w:ilvl w:val="1"/>
          <w:numId w:val="8"/>
        </w:numPr>
        <w:tabs>
          <w:tab w:val="left" w:pos="837"/>
        </w:tabs>
        <w:adjustRightInd w:val="0"/>
        <w:snapToGrid w:val="0"/>
        <w:ind w:left="567" w:hanging="567"/>
      </w:pPr>
      <w:r w:rsidRPr="000B2B22">
        <w:t>The analysis of PFS as determined by the independent review committee (censoring for NPT) shows a stratified hazard ratio of 0.62 (95% CI: 0.50-0.77, 1</w:t>
      </w:r>
      <w:r w:rsidR="00FD0731" w:rsidRPr="000B2B22">
        <w:noBreakHyphen/>
      </w:r>
      <w:r w:rsidRPr="000B2B22">
        <w:t>sided log</w:t>
      </w:r>
      <w:r w:rsidR="00FD0731" w:rsidRPr="000B2B22">
        <w:noBreakHyphen/>
      </w:r>
      <w:r w:rsidRPr="000B2B22">
        <w:t>rank p</w:t>
      </w:r>
      <w:r w:rsidR="00FD0731" w:rsidRPr="000B2B22">
        <w:noBreakHyphen/>
      </w:r>
      <w:r w:rsidRPr="000B2B22">
        <w:t>value &lt; 0.0001) when CPB15+ is compared with CPP, with a median PFS of 13.1 in the CPP arm and 19.1 months in the CPB15+ arm.</w:t>
      </w:r>
    </w:p>
    <w:p w14:paraId="5775EF90" w14:textId="77777777" w:rsidR="00047E69" w:rsidRPr="000B2B22" w:rsidRDefault="00047E69" w:rsidP="00F1460D">
      <w:pPr>
        <w:widowControl/>
        <w:adjustRightInd w:val="0"/>
        <w:snapToGrid w:val="0"/>
        <w:ind w:left="567" w:hanging="567"/>
        <w:rPr>
          <w:rFonts w:ascii="Times New Roman" w:eastAsia="Times New Roman" w:hAnsi="Times New Roman" w:cs="Times New Roman"/>
        </w:rPr>
      </w:pPr>
    </w:p>
    <w:p w14:paraId="627446FF" w14:textId="77777777" w:rsidR="00047E69" w:rsidRPr="000B2B22" w:rsidRDefault="00C210A5" w:rsidP="00F1460D">
      <w:pPr>
        <w:pStyle w:val="a5"/>
        <w:widowControl/>
        <w:adjustRightInd w:val="0"/>
        <w:snapToGrid w:val="0"/>
      </w:pPr>
      <w:r w:rsidRPr="000B2B22">
        <w:t>PFS subgroup analyses by disease stage and debulking status are summarised in Table 17. These results demonstrate robustness of the analysis of PFS as shown in Table 16.</w:t>
      </w:r>
    </w:p>
    <w:p w14:paraId="09154A50" w14:textId="771D3891" w:rsidR="00373D33" w:rsidRPr="000B2B22" w:rsidRDefault="00373D33" w:rsidP="00F1460D">
      <w:pPr>
        <w:rPr>
          <w:rFonts w:ascii="Times New Roman" w:eastAsia="Times New Roman" w:hAnsi="Times New Roman"/>
          <w:b/>
          <w:bCs/>
        </w:rPr>
      </w:pPr>
    </w:p>
    <w:p w14:paraId="6FC2C2F7" w14:textId="70791698" w:rsidR="00047E69" w:rsidRPr="005026D1" w:rsidRDefault="00C210A5" w:rsidP="005026D1">
      <w:pPr>
        <w:keepNext/>
        <w:keepLines/>
        <w:ind w:left="1134" w:hanging="1134"/>
        <w:rPr>
          <w:rFonts w:ascii="Times New Roman" w:hAnsi="Times New Roman" w:cs="Times New Roman"/>
          <w:b/>
          <w:bCs/>
        </w:rPr>
      </w:pPr>
      <w:r w:rsidRPr="005026D1">
        <w:rPr>
          <w:rFonts w:ascii="Times New Roman" w:hAnsi="Times New Roman" w:cs="Times New Roman"/>
          <w:b/>
          <w:bCs/>
        </w:rPr>
        <w:lastRenderedPageBreak/>
        <w:t>Table 17</w:t>
      </w:r>
      <w:r w:rsidRPr="005026D1">
        <w:rPr>
          <w:rFonts w:ascii="Times New Roman" w:hAnsi="Times New Roman" w:cs="Times New Roman"/>
          <w:b/>
          <w:bCs/>
        </w:rPr>
        <w:tab/>
        <w:t>PFS</w:t>
      </w:r>
      <w:r w:rsidRPr="005026D1">
        <w:rPr>
          <w:rFonts w:ascii="Times New Roman" w:hAnsi="Times New Roman" w:cs="Times New Roman"/>
          <w:b/>
          <w:bCs/>
          <w:vertAlign w:val="superscript"/>
        </w:rPr>
        <w:t>1</w:t>
      </w:r>
      <w:r w:rsidRPr="005026D1">
        <w:rPr>
          <w:rFonts w:ascii="Times New Roman" w:hAnsi="Times New Roman" w:cs="Times New Roman"/>
          <w:b/>
          <w:bCs/>
        </w:rPr>
        <w:t xml:space="preserve"> results by disease stage and debulking status from study GOG</w:t>
      </w:r>
      <w:r w:rsidR="00FD0731" w:rsidRPr="005026D1">
        <w:rPr>
          <w:rFonts w:ascii="Times New Roman" w:hAnsi="Times New Roman" w:cs="Times New Roman"/>
          <w:b/>
          <w:bCs/>
        </w:rPr>
        <w:noBreakHyphen/>
      </w:r>
      <w:r w:rsidRPr="005026D1">
        <w:rPr>
          <w:rFonts w:ascii="Times New Roman" w:hAnsi="Times New Roman" w:cs="Times New Roman"/>
          <w:b/>
          <w:bCs/>
        </w:rPr>
        <w:t>0218</w:t>
      </w:r>
    </w:p>
    <w:p w14:paraId="5F7DFAE5" w14:textId="77777777" w:rsidR="00AF607F" w:rsidRPr="000B2B22" w:rsidRDefault="00AF607F" w:rsidP="005026D1">
      <w:pPr>
        <w:keepNext/>
        <w:keepLines/>
      </w:pPr>
    </w:p>
    <w:tbl>
      <w:tblPr>
        <w:tblStyle w:val="ad"/>
        <w:tblW w:w="0" w:type="auto"/>
        <w:tblLook w:val="04A0" w:firstRow="1" w:lastRow="0" w:firstColumn="1" w:lastColumn="0" w:noHBand="0" w:noVBand="1"/>
      </w:tblPr>
      <w:tblGrid>
        <w:gridCol w:w="2486"/>
        <w:gridCol w:w="2043"/>
        <w:gridCol w:w="2265"/>
        <w:gridCol w:w="2270"/>
      </w:tblGrid>
      <w:tr w:rsidR="00A46B65" w:rsidRPr="000B2B22" w14:paraId="21850C8E" w14:textId="77777777">
        <w:tc>
          <w:tcPr>
            <w:tcW w:w="9300" w:type="dxa"/>
            <w:gridSpan w:val="4"/>
          </w:tcPr>
          <w:p w14:paraId="2CD5CF78" w14:textId="77777777" w:rsidR="00047E69" w:rsidRPr="000B2B22" w:rsidRDefault="00C210A5" w:rsidP="005026D1">
            <w:pPr>
              <w:keepNext/>
              <w:keepLines/>
              <w:rPr>
                <w:rFonts w:ascii="Times New Roman" w:eastAsia="Times New Roman" w:hAnsi="Times New Roman" w:cs="Times New Roman"/>
              </w:rPr>
            </w:pPr>
            <w:r w:rsidRPr="000B2B22">
              <w:rPr>
                <w:rFonts w:ascii="Times New Roman" w:hAnsi="Times New Roman" w:cs="Times New Roman"/>
              </w:rPr>
              <w:t xml:space="preserve">Randomised patients stage III optimally debulked disease </w:t>
            </w:r>
            <w:r w:rsidRPr="000B2B22">
              <w:rPr>
                <w:rFonts w:ascii="Times New Roman" w:hAnsi="Times New Roman" w:cs="Times New Roman"/>
                <w:position w:val="7"/>
                <w:vertAlign w:val="superscript"/>
              </w:rPr>
              <w:t>2,3</w:t>
            </w:r>
          </w:p>
        </w:tc>
      </w:tr>
      <w:tr w:rsidR="00A46B65" w:rsidRPr="000B2B22" w14:paraId="5D5F191D" w14:textId="77777777">
        <w:trPr>
          <w:trHeight w:val="518"/>
        </w:trPr>
        <w:tc>
          <w:tcPr>
            <w:tcW w:w="2547" w:type="dxa"/>
          </w:tcPr>
          <w:p w14:paraId="083F74E3" w14:textId="77777777" w:rsidR="00047E69" w:rsidRPr="000B2B22" w:rsidRDefault="00047E69" w:rsidP="0077368B">
            <w:pPr>
              <w:keepNext/>
              <w:keepLines/>
              <w:rPr>
                <w:rFonts w:ascii="Times New Roman" w:eastAsia="Times New Roman" w:hAnsi="Times New Roman" w:cs="Times New Roman"/>
                <w:b/>
                <w:bCs/>
              </w:rPr>
            </w:pPr>
          </w:p>
        </w:tc>
        <w:tc>
          <w:tcPr>
            <w:tcW w:w="2103" w:type="dxa"/>
          </w:tcPr>
          <w:p w14:paraId="0573DF04" w14:textId="77777777" w:rsidR="00047E69" w:rsidRPr="000B2B22" w:rsidRDefault="00C210A5" w:rsidP="0077368B">
            <w:pPr>
              <w:keepNext/>
              <w:keepLines/>
              <w:jc w:val="center"/>
              <w:rPr>
                <w:rFonts w:ascii="Times New Roman" w:eastAsia="Times New Roman" w:hAnsi="Times New Roman" w:cs="Times New Roman"/>
                <w:b/>
                <w:bCs/>
              </w:rPr>
            </w:pPr>
            <w:r w:rsidRPr="000B2B22">
              <w:rPr>
                <w:rFonts w:ascii="Times New Roman" w:hAnsi="Times New Roman" w:cs="Times New Roman"/>
              </w:rPr>
              <w:t>CPP</w:t>
            </w:r>
          </w:p>
          <w:p w14:paraId="493F58EC" w14:textId="77777777" w:rsidR="00047E69" w:rsidRPr="000B2B22" w:rsidRDefault="00C210A5" w:rsidP="0077368B">
            <w:pPr>
              <w:keepNext/>
              <w:keepLines/>
              <w:jc w:val="center"/>
              <w:rPr>
                <w:rFonts w:ascii="Times New Roman" w:eastAsia="Times New Roman" w:hAnsi="Times New Roman" w:cs="Times New Roman"/>
                <w:b/>
                <w:bCs/>
              </w:rPr>
            </w:pPr>
            <w:r w:rsidRPr="000B2B22">
              <w:rPr>
                <w:rFonts w:ascii="Times New Roman" w:hAnsi="Times New Roman" w:cs="Times New Roman"/>
              </w:rPr>
              <w:t>(n = 219)</w:t>
            </w:r>
          </w:p>
        </w:tc>
        <w:tc>
          <w:tcPr>
            <w:tcW w:w="2325" w:type="dxa"/>
          </w:tcPr>
          <w:p w14:paraId="1E431F9E" w14:textId="77777777" w:rsidR="00047E69" w:rsidRPr="000B2B22" w:rsidRDefault="00C210A5" w:rsidP="0077368B">
            <w:pPr>
              <w:keepNext/>
              <w:keepLines/>
              <w:jc w:val="center"/>
              <w:rPr>
                <w:rFonts w:ascii="Times New Roman" w:eastAsia="Times New Roman" w:hAnsi="Times New Roman" w:cs="Times New Roman"/>
                <w:b/>
                <w:bCs/>
              </w:rPr>
            </w:pPr>
            <w:r w:rsidRPr="000B2B22">
              <w:rPr>
                <w:rFonts w:ascii="Times New Roman" w:hAnsi="Times New Roman" w:cs="Times New Roman"/>
              </w:rPr>
              <w:t>CPB15</w:t>
            </w:r>
          </w:p>
          <w:p w14:paraId="1020A7A0" w14:textId="77777777" w:rsidR="00047E69" w:rsidRPr="000B2B22" w:rsidRDefault="00C210A5" w:rsidP="0077368B">
            <w:pPr>
              <w:keepNext/>
              <w:keepLines/>
              <w:jc w:val="center"/>
              <w:rPr>
                <w:rFonts w:ascii="Times New Roman" w:eastAsia="Times New Roman" w:hAnsi="Times New Roman" w:cs="Times New Roman"/>
                <w:b/>
                <w:bCs/>
              </w:rPr>
            </w:pPr>
            <w:r w:rsidRPr="000B2B22">
              <w:rPr>
                <w:rFonts w:ascii="Times New Roman" w:hAnsi="Times New Roman" w:cs="Times New Roman"/>
              </w:rPr>
              <w:t>(n = 204)</w:t>
            </w:r>
          </w:p>
        </w:tc>
        <w:tc>
          <w:tcPr>
            <w:tcW w:w="2325" w:type="dxa"/>
          </w:tcPr>
          <w:p w14:paraId="4FCB5394" w14:textId="77777777" w:rsidR="00047E69" w:rsidRPr="000B2B22" w:rsidRDefault="00C210A5" w:rsidP="0077368B">
            <w:pPr>
              <w:keepNext/>
              <w:keepLines/>
              <w:jc w:val="center"/>
              <w:rPr>
                <w:rFonts w:ascii="Times New Roman" w:eastAsia="Times New Roman" w:hAnsi="Times New Roman" w:cs="Times New Roman"/>
                <w:b/>
                <w:bCs/>
              </w:rPr>
            </w:pPr>
            <w:r w:rsidRPr="000B2B22">
              <w:rPr>
                <w:rFonts w:ascii="Times New Roman" w:hAnsi="Times New Roman" w:cs="Times New Roman"/>
              </w:rPr>
              <w:t>CPB15+</w:t>
            </w:r>
          </w:p>
          <w:p w14:paraId="46524648" w14:textId="77777777" w:rsidR="00047E69" w:rsidRPr="000B2B22" w:rsidRDefault="00C210A5" w:rsidP="0077368B">
            <w:pPr>
              <w:keepNext/>
              <w:keepLines/>
              <w:jc w:val="center"/>
              <w:rPr>
                <w:rFonts w:ascii="Times New Roman" w:eastAsia="Times New Roman" w:hAnsi="Times New Roman" w:cs="Times New Roman"/>
                <w:b/>
                <w:bCs/>
              </w:rPr>
            </w:pPr>
            <w:r w:rsidRPr="000B2B22">
              <w:rPr>
                <w:rFonts w:ascii="Times New Roman" w:hAnsi="Times New Roman" w:cs="Times New Roman"/>
              </w:rPr>
              <w:t>(n = 216)</w:t>
            </w:r>
          </w:p>
        </w:tc>
      </w:tr>
      <w:tr w:rsidR="00A46B65" w:rsidRPr="000B2B22" w14:paraId="77DBB656" w14:textId="77777777">
        <w:tc>
          <w:tcPr>
            <w:tcW w:w="2547" w:type="dxa"/>
          </w:tcPr>
          <w:p w14:paraId="24534906"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Median PFS (months)</w:t>
            </w:r>
          </w:p>
        </w:tc>
        <w:tc>
          <w:tcPr>
            <w:tcW w:w="2103" w:type="dxa"/>
          </w:tcPr>
          <w:p w14:paraId="2A253CB4"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12.4</w:t>
            </w:r>
          </w:p>
        </w:tc>
        <w:tc>
          <w:tcPr>
            <w:tcW w:w="2325" w:type="dxa"/>
          </w:tcPr>
          <w:p w14:paraId="719690D7"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14.3</w:t>
            </w:r>
          </w:p>
        </w:tc>
        <w:tc>
          <w:tcPr>
            <w:tcW w:w="2325" w:type="dxa"/>
          </w:tcPr>
          <w:p w14:paraId="383F84F0"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17.5</w:t>
            </w:r>
          </w:p>
        </w:tc>
      </w:tr>
      <w:tr w:rsidR="00A46B65" w:rsidRPr="000B2B22" w14:paraId="3C10A0DE" w14:textId="77777777">
        <w:trPr>
          <w:trHeight w:val="518"/>
        </w:trPr>
        <w:tc>
          <w:tcPr>
            <w:tcW w:w="2547" w:type="dxa"/>
          </w:tcPr>
          <w:p w14:paraId="42EF0890"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Hazard ratio (95% CI)</w:t>
            </w:r>
            <w:r w:rsidRPr="000B2B22">
              <w:rPr>
                <w:rFonts w:ascii="Times New Roman" w:hAnsi="Times New Roman" w:cs="Times New Roman"/>
                <w:position w:val="7"/>
                <w:vertAlign w:val="superscript"/>
              </w:rPr>
              <w:t>4</w:t>
            </w:r>
          </w:p>
        </w:tc>
        <w:tc>
          <w:tcPr>
            <w:tcW w:w="2103" w:type="dxa"/>
          </w:tcPr>
          <w:p w14:paraId="672857F3" w14:textId="77777777" w:rsidR="00047E69" w:rsidRPr="000B2B22" w:rsidRDefault="00047E69" w:rsidP="00F1460D">
            <w:pPr>
              <w:jc w:val="center"/>
              <w:rPr>
                <w:rFonts w:ascii="Times New Roman" w:eastAsia="Times New Roman" w:hAnsi="Times New Roman" w:cs="Times New Roman"/>
                <w:b/>
                <w:bCs/>
              </w:rPr>
            </w:pPr>
          </w:p>
        </w:tc>
        <w:tc>
          <w:tcPr>
            <w:tcW w:w="2325" w:type="dxa"/>
          </w:tcPr>
          <w:p w14:paraId="11C2E4BD"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0.81</w:t>
            </w:r>
          </w:p>
          <w:p w14:paraId="7CCDE9DE"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(0.62, 1.05)</w:t>
            </w:r>
          </w:p>
        </w:tc>
        <w:tc>
          <w:tcPr>
            <w:tcW w:w="2325" w:type="dxa"/>
          </w:tcPr>
          <w:p w14:paraId="0291E73B"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0.66</w:t>
            </w:r>
          </w:p>
          <w:p w14:paraId="32608665"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(0.50, 0.86)</w:t>
            </w:r>
          </w:p>
        </w:tc>
      </w:tr>
      <w:tr w:rsidR="00A46B65" w:rsidRPr="000B2B22" w14:paraId="223FF60F" w14:textId="77777777">
        <w:tc>
          <w:tcPr>
            <w:tcW w:w="9300" w:type="dxa"/>
            <w:gridSpan w:val="4"/>
          </w:tcPr>
          <w:p w14:paraId="64F83CC3"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Randomised patients with stage III suboptimally debulked disease</w:t>
            </w:r>
            <w:r w:rsidRPr="000B2B22">
              <w:rPr>
                <w:rFonts w:ascii="Times New Roman" w:hAnsi="Times New Roman" w:cs="Times New Roman"/>
                <w:position w:val="7"/>
                <w:vertAlign w:val="superscript"/>
              </w:rPr>
              <w:t>3</w:t>
            </w:r>
          </w:p>
        </w:tc>
      </w:tr>
      <w:tr w:rsidR="00A46B65" w:rsidRPr="000B2B22" w14:paraId="09CEB0C8" w14:textId="77777777">
        <w:trPr>
          <w:trHeight w:val="472"/>
        </w:trPr>
        <w:tc>
          <w:tcPr>
            <w:tcW w:w="2547" w:type="dxa"/>
          </w:tcPr>
          <w:p w14:paraId="0ACF6289" w14:textId="77777777" w:rsidR="00047E69" w:rsidRPr="000B2B22" w:rsidRDefault="00047E69" w:rsidP="00F1460D">
            <w:pPr>
              <w:rPr>
                <w:rFonts w:ascii="Times New Roman" w:eastAsia="Times New Roman" w:hAnsi="Times New Roman" w:cs="Times New Roman"/>
                <w:b/>
                <w:bCs/>
              </w:rPr>
            </w:pPr>
          </w:p>
        </w:tc>
        <w:tc>
          <w:tcPr>
            <w:tcW w:w="2103" w:type="dxa"/>
          </w:tcPr>
          <w:p w14:paraId="5103E761"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CPP</w:t>
            </w:r>
          </w:p>
          <w:p w14:paraId="1DD04444"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(n = 253)</w:t>
            </w:r>
          </w:p>
        </w:tc>
        <w:tc>
          <w:tcPr>
            <w:tcW w:w="2325" w:type="dxa"/>
          </w:tcPr>
          <w:p w14:paraId="59D797E1"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CPB15</w:t>
            </w:r>
          </w:p>
          <w:p w14:paraId="3EEA6EE7"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(n = 256)</w:t>
            </w:r>
          </w:p>
        </w:tc>
        <w:tc>
          <w:tcPr>
            <w:tcW w:w="2325" w:type="dxa"/>
          </w:tcPr>
          <w:p w14:paraId="42AD576E"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CPB15+</w:t>
            </w:r>
          </w:p>
          <w:p w14:paraId="0EFFE3B1"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(n = 242)</w:t>
            </w:r>
          </w:p>
        </w:tc>
      </w:tr>
      <w:tr w:rsidR="00A46B65" w:rsidRPr="000B2B22" w14:paraId="69C9C13C" w14:textId="77777777">
        <w:tc>
          <w:tcPr>
            <w:tcW w:w="2547" w:type="dxa"/>
          </w:tcPr>
          <w:p w14:paraId="596093F7"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Median PFS (months)</w:t>
            </w:r>
          </w:p>
        </w:tc>
        <w:tc>
          <w:tcPr>
            <w:tcW w:w="2103" w:type="dxa"/>
          </w:tcPr>
          <w:p w14:paraId="6919441E"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10.1</w:t>
            </w:r>
          </w:p>
        </w:tc>
        <w:tc>
          <w:tcPr>
            <w:tcW w:w="2325" w:type="dxa"/>
          </w:tcPr>
          <w:p w14:paraId="0957277E"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10.9</w:t>
            </w:r>
          </w:p>
        </w:tc>
        <w:tc>
          <w:tcPr>
            <w:tcW w:w="2325" w:type="dxa"/>
          </w:tcPr>
          <w:p w14:paraId="6F92B229"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13.9</w:t>
            </w:r>
          </w:p>
        </w:tc>
      </w:tr>
      <w:tr w:rsidR="00A46B65" w:rsidRPr="000B2B22" w14:paraId="20FE19BB" w14:textId="77777777">
        <w:trPr>
          <w:trHeight w:val="472"/>
        </w:trPr>
        <w:tc>
          <w:tcPr>
            <w:tcW w:w="2547" w:type="dxa"/>
          </w:tcPr>
          <w:p w14:paraId="7C06FBD3"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Hazard ratio (95% CI)</w:t>
            </w:r>
            <w:r w:rsidRPr="000B2B22">
              <w:rPr>
                <w:rFonts w:ascii="Times New Roman" w:hAnsi="Times New Roman" w:cs="Times New Roman"/>
                <w:position w:val="7"/>
                <w:vertAlign w:val="superscript"/>
              </w:rPr>
              <w:t>4</w:t>
            </w:r>
          </w:p>
        </w:tc>
        <w:tc>
          <w:tcPr>
            <w:tcW w:w="2103" w:type="dxa"/>
          </w:tcPr>
          <w:p w14:paraId="32F7D679" w14:textId="77777777" w:rsidR="00047E69" w:rsidRPr="000B2B22" w:rsidRDefault="00047E69" w:rsidP="00F1460D">
            <w:pPr>
              <w:jc w:val="center"/>
              <w:rPr>
                <w:rFonts w:ascii="Times New Roman" w:eastAsia="Times New Roman" w:hAnsi="Times New Roman" w:cs="Times New Roman"/>
                <w:b/>
                <w:bCs/>
              </w:rPr>
            </w:pPr>
          </w:p>
        </w:tc>
        <w:tc>
          <w:tcPr>
            <w:tcW w:w="2325" w:type="dxa"/>
          </w:tcPr>
          <w:p w14:paraId="68EBAD81"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0.93</w:t>
            </w:r>
          </w:p>
          <w:p w14:paraId="346C2DFE"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(0.77, 1.14)</w:t>
            </w:r>
          </w:p>
        </w:tc>
        <w:tc>
          <w:tcPr>
            <w:tcW w:w="2325" w:type="dxa"/>
          </w:tcPr>
          <w:p w14:paraId="352D33FA"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0.78</w:t>
            </w:r>
          </w:p>
          <w:p w14:paraId="222FDB55"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(0.63, 0.96)</w:t>
            </w:r>
          </w:p>
        </w:tc>
      </w:tr>
      <w:tr w:rsidR="00A46B65" w:rsidRPr="000B2B22" w14:paraId="2F7ED3D6" w14:textId="77777777">
        <w:tc>
          <w:tcPr>
            <w:tcW w:w="9300" w:type="dxa"/>
            <w:gridSpan w:val="4"/>
          </w:tcPr>
          <w:p w14:paraId="4F2DEA35"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Randomised patients with stage IV disease</w:t>
            </w:r>
          </w:p>
        </w:tc>
      </w:tr>
      <w:tr w:rsidR="00A46B65" w:rsidRPr="000B2B22" w14:paraId="1D187910" w14:textId="77777777">
        <w:trPr>
          <w:trHeight w:val="472"/>
        </w:trPr>
        <w:tc>
          <w:tcPr>
            <w:tcW w:w="2547" w:type="dxa"/>
          </w:tcPr>
          <w:p w14:paraId="2F9197C1" w14:textId="77777777" w:rsidR="00047E69" w:rsidRPr="000B2B22" w:rsidRDefault="00047E69" w:rsidP="00F1460D">
            <w:pPr>
              <w:rPr>
                <w:rFonts w:ascii="Times New Roman" w:eastAsia="Times New Roman" w:hAnsi="Times New Roman" w:cs="Times New Roman"/>
                <w:b/>
                <w:bCs/>
              </w:rPr>
            </w:pPr>
          </w:p>
        </w:tc>
        <w:tc>
          <w:tcPr>
            <w:tcW w:w="2103" w:type="dxa"/>
          </w:tcPr>
          <w:p w14:paraId="7F7786E0"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CPP</w:t>
            </w:r>
          </w:p>
          <w:p w14:paraId="277E2F52"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(n = 153)</w:t>
            </w:r>
          </w:p>
        </w:tc>
        <w:tc>
          <w:tcPr>
            <w:tcW w:w="2325" w:type="dxa"/>
          </w:tcPr>
          <w:p w14:paraId="2EEA1EA7"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CPB15</w:t>
            </w:r>
          </w:p>
          <w:p w14:paraId="66A6B98B"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(n = 165)</w:t>
            </w:r>
          </w:p>
        </w:tc>
        <w:tc>
          <w:tcPr>
            <w:tcW w:w="2325" w:type="dxa"/>
          </w:tcPr>
          <w:p w14:paraId="2528F146"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CPB15+</w:t>
            </w:r>
          </w:p>
          <w:p w14:paraId="2EBCD3DC" w14:textId="77777777" w:rsidR="00047E69" w:rsidRPr="000B2B22" w:rsidRDefault="00C210A5" w:rsidP="00F1460D">
            <w:pPr>
              <w:jc w:val="center"/>
              <w:rPr>
                <w:rFonts w:ascii="Times New Roman" w:eastAsia="Times New Roman" w:hAnsi="Times New Roman" w:cs="Times New Roman"/>
                <w:b/>
                <w:bCs/>
              </w:rPr>
            </w:pPr>
            <w:r w:rsidRPr="000B2B22">
              <w:rPr>
                <w:rFonts w:ascii="Times New Roman" w:hAnsi="Times New Roman" w:cs="Times New Roman"/>
              </w:rPr>
              <w:t>(n = 165)</w:t>
            </w:r>
          </w:p>
        </w:tc>
      </w:tr>
      <w:tr w:rsidR="00A46B65" w:rsidRPr="000B2B22" w14:paraId="7ED60127" w14:textId="77777777">
        <w:tc>
          <w:tcPr>
            <w:tcW w:w="2547" w:type="dxa"/>
          </w:tcPr>
          <w:p w14:paraId="4EE921FE" w14:textId="7777777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Median PFS (months)</w:t>
            </w:r>
          </w:p>
        </w:tc>
        <w:tc>
          <w:tcPr>
            <w:tcW w:w="2103" w:type="dxa"/>
          </w:tcPr>
          <w:p w14:paraId="60C9FC8A"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9.5</w:t>
            </w:r>
          </w:p>
        </w:tc>
        <w:tc>
          <w:tcPr>
            <w:tcW w:w="2325" w:type="dxa"/>
          </w:tcPr>
          <w:p w14:paraId="3FEA3038"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10.4</w:t>
            </w:r>
          </w:p>
        </w:tc>
        <w:tc>
          <w:tcPr>
            <w:tcW w:w="2325" w:type="dxa"/>
          </w:tcPr>
          <w:p w14:paraId="1648B860"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12.8</w:t>
            </w:r>
          </w:p>
        </w:tc>
      </w:tr>
      <w:tr w:rsidR="00A46B65" w:rsidRPr="000B2B22" w14:paraId="447026C3" w14:textId="77777777">
        <w:trPr>
          <w:trHeight w:val="472"/>
        </w:trPr>
        <w:tc>
          <w:tcPr>
            <w:tcW w:w="2547" w:type="dxa"/>
          </w:tcPr>
          <w:p w14:paraId="72F743E7" w14:textId="42A5C687" w:rsidR="00047E69" w:rsidRPr="000B2B22" w:rsidRDefault="00C210A5" w:rsidP="00F1460D">
            <w:pPr>
              <w:rPr>
                <w:rFonts w:ascii="Times New Roman" w:eastAsia="Times New Roman" w:hAnsi="Times New Roman" w:cs="Times New Roman"/>
                <w:b/>
                <w:bCs/>
              </w:rPr>
            </w:pPr>
            <w:r w:rsidRPr="000B2B22">
              <w:rPr>
                <w:rFonts w:ascii="Times New Roman" w:hAnsi="Times New Roman" w:cs="Times New Roman"/>
              </w:rPr>
              <w:t xml:space="preserve">Hazard </w:t>
            </w:r>
            <w:r w:rsidR="00AD6B3A" w:rsidRPr="000B2B22">
              <w:rPr>
                <w:rFonts w:ascii="Times New Roman" w:hAnsi="Times New Roman" w:cs="Times New Roman"/>
              </w:rPr>
              <w:t>r</w:t>
            </w:r>
            <w:r w:rsidRPr="000B2B22">
              <w:rPr>
                <w:rFonts w:ascii="Times New Roman" w:hAnsi="Times New Roman" w:cs="Times New Roman"/>
              </w:rPr>
              <w:t>atio (95% CI)</w:t>
            </w:r>
            <w:r w:rsidRPr="000B2B22">
              <w:rPr>
                <w:rFonts w:ascii="Times New Roman" w:hAnsi="Times New Roman" w:cs="Times New Roman"/>
                <w:position w:val="7"/>
                <w:vertAlign w:val="superscript"/>
              </w:rPr>
              <w:t>4</w:t>
            </w:r>
          </w:p>
        </w:tc>
        <w:tc>
          <w:tcPr>
            <w:tcW w:w="2103" w:type="dxa"/>
          </w:tcPr>
          <w:p w14:paraId="12F4F62C" w14:textId="77777777" w:rsidR="00047E69" w:rsidRPr="000B2B22" w:rsidRDefault="00047E69" w:rsidP="00F1460D">
            <w:pPr>
              <w:jc w:val="center"/>
              <w:rPr>
                <w:rFonts w:ascii="Times New Roman" w:hAnsi="Times New Roman" w:cs="Times New Roman"/>
              </w:rPr>
            </w:pPr>
          </w:p>
        </w:tc>
        <w:tc>
          <w:tcPr>
            <w:tcW w:w="2325" w:type="dxa"/>
          </w:tcPr>
          <w:p w14:paraId="5A94B632"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0.90</w:t>
            </w:r>
          </w:p>
          <w:p w14:paraId="161E8F8E"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(0.70, 1.16)</w:t>
            </w:r>
          </w:p>
        </w:tc>
        <w:tc>
          <w:tcPr>
            <w:tcW w:w="2325" w:type="dxa"/>
          </w:tcPr>
          <w:p w14:paraId="2D7609F0"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0.64</w:t>
            </w:r>
          </w:p>
          <w:p w14:paraId="2467FD61" w14:textId="77777777" w:rsidR="00047E69" w:rsidRPr="000B2B22" w:rsidRDefault="00C210A5" w:rsidP="00F1460D">
            <w:pPr>
              <w:jc w:val="center"/>
              <w:rPr>
                <w:rFonts w:ascii="Times New Roman" w:hAnsi="Times New Roman" w:cs="Times New Roman"/>
              </w:rPr>
            </w:pPr>
            <w:r w:rsidRPr="000B2B22">
              <w:rPr>
                <w:rFonts w:ascii="Times New Roman" w:hAnsi="Times New Roman" w:cs="Times New Roman"/>
              </w:rPr>
              <w:t>(0.49, 0.82)</w:t>
            </w:r>
          </w:p>
        </w:tc>
      </w:tr>
    </w:tbl>
    <w:p w14:paraId="1D8BED58" w14:textId="00D67E2C" w:rsidR="00047E69" w:rsidRPr="000B2B22" w:rsidRDefault="00C210A5" w:rsidP="00F1460D">
      <w:pPr>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1 </w:t>
      </w:r>
      <w:r w:rsidRPr="000B2B22">
        <w:rPr>
          <w:rFonts w:ascii="Times New Roman"/>
          <w:sz w:val="20"/>
        </w:rPr>
        <w:t>Investigator assessed GOG protocol</w:t>
      </w:r>
      <w:r w:rsidR="00FD0731" w:rsidRPr="000B2B22">
        <w:rPr>
          <w:rFonts w:ascii="Times New Roman"/>
          <w:sz w:val="20"/>
        </w:rPr>
        <w:noBreakHyphen/>
      </w:r>
      <w:r w:rsidRPr="000B2B22">
        <w:rPr>
          <w:rFonts w:ascii="Times New Roman"/>
          <w:sz w:val="20"/>
        </w:rPr>
        <w:t>specified PFS analysis (neither censored for CA</w:t>
      </w:r>
      <w:r w:rsidR="00FD0731" w:rsidRPr="000B2B22">
        <w:rPr>
          <w:rFonts w:ascii="Times New Roman"/>
          <w:sz w:val="20"/>
        </w:rPr>
        <w:noBreakHyphen/>
      </w:r>
      <w:r w:rsidRPr="000B2B22">
        <w:rPr>
          <w:rFonts w:ascii="Times New Roman"/>
          <w:sz w:val="20"/>
        </w:rPr>
        <w:t>125 progressions nor censored for NPT prior to disease progression) with data cut</w:t>
      </w:r>
      <w:r w:rsidR="00FD0731" w:rsidRPr="000B2B22">
        <w:rPr>
          <w:rFonts w:ascii="Times New Roman"/>
          <w:sz w:val="20"/>
        </w:rPr>
        <w:noBreakHyphen/>
      </w:r>
      <w:r w:rsidRPr="000B2B22">
        <w:rPr>
          <w:rFonts w:ascii="Times New Roman"/>
          <w:sz w:val="20"/>
        </w:rPr>
        <w:t>off date of 25 February 2010</w:t>
      </w:r>
    </w:p>
    <w:p w14:paraId="1C1D0F07" w14:textId="77777777" w:rsidR="00047E69" w:rsidRPr="000B2B22" w:rsidRDefault="00C210A5" w:rsidP="00F1460D">
      <w:pPr>
        <w:adjustRightInd w:val="0"/>
        <w:snapToGrid w:val="0"/>
        <w:ind w:left="119" w:hanging="119"/>
        <w:rPr>
          <w:rFonts w:ascii="Times New Roman"/>
          <w:position w:val="7"/>
          <w:sz w:val="13"/>
        </w:rPr>
      </w:pPr>
      <w:r w:rsidRPr="000B2B22">
        <w:rPr>
          <w:rFonts w:ascii="Times New Roman"/>
          <w:position w:val="7"/>
          <w:sz w:val="13"/>
        </w:rPr>
        <w:t xml:space="preserve">2 </w:t>
      </w:r>
      <w:r w:rsidRPr="000B2B22">
        <w:rPr>
          <w:rFonts w:ascii="Times New Roman"/>
          <w:sz w:val="20"/>
        </w:rPr>
        <w:t>With gross residual disease</w:t>
      </w:r>
    </w:p>
    <w:p w14:paraId="21D65304" w14:textId="77777777" w:rsidR="00047E69" w:rsidRPr="000B2B22" w:rsidRDefault="00C210A5" w:rsidP="00F1460D">
      <w:pPr>
        <w:adjustRightInd w:val="0"/>
        <w:snapToGrid w:val="0"/>
        <w:ind w:left="119" w:hanging="119"/>
        <w:rPr>
          <w:rFonts w:ascii="Times New Roman"/>
          <w:position w:val="7"/>
          <w:sz w:val="13"/>
        </w:rPr>
      </w:pPr>
      <w:r w:rsidRPr="000B2B22">
        <w:rPr>
          <w:rFonts w:ascii="Times New Roman"/>
          <w:position w:val="7"/>
          <w:sz w:val="13"/>
        </w:rPr>
        <w:t xml:space="preserve">3 </w:t>
      </w:r>
      <w:r w:rsidRPr="000B2B22">
        <w:rPr>
          <w:rFonts w:ascii="Times New Roman"/>
          <w:sz w:val="20"/>
        </w:rPr>
        <w:t>3.7% of the overall randomised patient population had Stage IIIB disease</w:t>
      </w:r>
    </w:p>
    <w:p w14:paraId="363B8144" w14:textId="77777777" w:rsidR="00047E69" w:rsidRPr="000B2B22" w:rsidRDefault="00C210A5" w:rsidP="00F1460D">
      <w:pPr>
        <w:adjustRightInd w:val="0"/>
        <w:snapToGrid w:val="0"/>
        <w:ind w:left="119" w:hanging="119"/>
        <w:rPr>
          <w:rFonts w:ascii="Times New Roman" w:eastAsia="Times New Roman" w:hAnsi="Times New Roman" w:cs="Times New Roman"/>
          <w:sz w:val="20"/>
          <w:szCs w:val="20"/>
        </w:rPr>
      </w:pPr>
      <w:r w:rsidRPr="000B2B22">
        <w:rPr>
          <w:rFonts w:ascii="Times New Roman"/>
          <w:position w:val="7"/>
          <w:sz w:val="13"/>
        </w:rPr>
        <w:t xml:space="preserve">4 </w:t>
      </w:r>
      <w:r w:rsidRPr="000B2B22">
        <w:rPr>
          <w:rFonts w:ascii="Times New Roman"/>
          <w:sz w:val="20"/>
        </w:rPr>
        <w:t>Relative to the control arm.</w:t>
      </w:r>
    </w:p>
    <w:p w14:paraId="23DAEC1D" w14:textId="77777777" w:rsidR="00047E69" w:rsidRPr="000B2B22" w:rsidRDefault="00047E69" w:rsidP="0077368B">
      <w:pPr>
        <w:widowControl/>
        <w:adjustRightInd w:val="0"/>
        <w:snapToGrid w:val="0"/>
        <w:rPr>
          <w:rFonts w:ascii="Times New Roman" w:eastAsia="Times New Roman" w:hAnsi="Times New Roman" w:cs="Times New Roman"/>
          <w:sz w:val="21"/>
          <w:szCs w:val="21"/>
        </w:rPr>
      </w:pPr>
    </w:p>
    <w:p w14:paraId="20A0E948" w14:textId="77777777" w:rsidR="00047E69" w:rsidRPr="000B2B22" w:rsidRDefault="00C210A5" w:rsidP="0077368B">
      <w:pPr>
        <w:widowControl/>
        <w:adjustRightInd w:val="0"/>
        <w:snapToGrid w:val="0"/>
        <w:rPr>
          <w:rFonts w:ascii="Times New Roman" w:eastAsia="Times New Roman" w:hAnsi="Times New Roman" w:cs="Times New Roman"/>
        </w:rPr>
      </w:pPr>
      <w:r w:rsidRPr="000B2B22">
        <w:rPr>
          <w:rFonts w:ascii="Times New Roman"/>
          <w:i/>
        </w:rPr>
        <w:t>BO17707 (ICON7)</w:t>
      </w:r>
    </w:p>
    <w:p w14:paraId="58223357" w14:textId="2EDAF769" w:rsidR="00047E69" w:rsidRPr="000B2B22" w:rsidRDefault="00C210A5" w:rsidP="0077368B">
      <w:pPr>
        <w:pStyle w:val="a5"/>
        <w:widowControl/>
        <w:adjustRightInd w:val="0"/>
        <w:snapToGrid w:val="0"/>
      </w:pPr>
      <w:r w:rsidRPr="000B2B22">
        <w:t>BO17707 was a Phase III, two arm, multicentre, randomised, controlled, open</w:t>
      </w:r>
      <w:r w:rsidR="00FD0731" w:rsidRPr="000B2B22">
        <w:noBreakHyphen/>
      </w:r>
      <w:r w:rsidRPr="000B2B22">
        <w:t>label study comparing the effect of adding bevacizumab to carboplatin plus paclitaxel in patients with FIGO stage I or IIA (Grade 3 or clear cell histology only; n = 142), or FIGO stage IIB - IV (all Grades and all histological types, n = 1386) epithelial ovarian, fallopian tube or primary peritoneal cancer following surgery (NCI</w:t>
      </w:r>
      <w:r w:rsidR="00FD0731" w:rsidRPr="000B2B22">
        <w:noBreakHyphen/>
      </w:r>
      <w:r w:rsidRPr="000B2B22">
        <w:t>CTCAE v.3). FIGO staging version dated 1988 was used in this trial.</w:t>
      </w:r>
    </w:p>
    <w:p w14:paraId="331875AF" w14:textId="77777777" w:rsidR="00047E69" w:rsidRPr="000B2B22" w:rsidRDefault="00047E69" w:rsidP="0077368B">
      <w:pPr>
        <w:widowControl/>
        <w:adjustRightInd w:val="0"/>
        <w:snapToGrid w:val="0"/>
        <w:rPr>
          <w:rFonts w:ascii="Times New Roman" w:eastAsia="Times New Roman" w:hAnsi="Times New Roman" w:cs="Times New Roman"/>
        </w:rPr>
      </w:pPr>
    </w:p>
    <w:p w14:paraId="4C6795B0" w14:textId="77777777" w:rsidR="00047E69" w:rsidRPr="000B2B22" w:rsidRDefault="00C210A5" w:rsidP="0077368B">
      <w:pPr>
        <w:pStyle w:val="a5"/>
        <w:widowControl/>
        <w:adjustRightInd w:val="0"/>
        <w:snapToGrid w:val="0"/>
      </w:pPr>
      <w:r w:rsidRPr="000B2B22">
        <w:t>Patients who had received prior therapy with bevacizumab or prior systemic anticancer therapy for ovarian cancer (e.g. chemotherapy, monoclonal antibody therapy, tyrosine kinase inhibitor therapy, or hormonal therapy) or previous radiotherapy to the abdomen or pelvis were excluded from the study.</w:t>
      </w:r>
    </w:p>
    <w:p w14:paraId="3CE655FB" w14:textId="77777777" w:rsidR="00047E69" w:rsidRPr="000B2B22" w:rsidRDefault="00047E69" w:rsidP="0077368B">
      <w:pPr>
        <w:widowControl/>
        <w:adjustRightInd w:val="0"/>
        <w:snapToGrid w:val="0"/>
        <w:rPr>
          <w:rFonts w:ascii="Times New Roman" w:eastAsia="Times New Roman" w:hAnsi="Times New Roman" w:cs="Times New Roman"/>
        </w:rPr>
      </w:pPr>
    </w:p>
    <w:p w14:paraId="6B7D5E3D" w14:textId="77777777" w:rsidR="00047E69" w:rsidRPr="000B2B22" w:rsidRDefault="00C210A5" w:rsidP="0077368B">
      <w:pPr>
        <w:pStyle w:val="a5"/>
        <w:widowControl/>
        <w:adjustRightInd w:val="0"/>
        <w:snapToGrid w:val="0"/>
      </w:pPr>
      <w:r w:rsidRPr="000B2B22">
        <w:t>A total of 1528 patients were randomised in equal proportions to the following two arms:</w:t>
      </w:r>
    </w:p>
    <w:p w14:paraId="4395451E" w14:textId="77777777" w:rsidR="00047E69" w:rsidRPr="000B2B22" w:rsidRDefault="00047E69" w:rsidP="0077368B">
      <w:pPr>
        <w:widowControl/>
        <w:adjustRightInd w:val="0"/>
        <w:snapToGrid w:val="0"/>
        <w:rPr>
          <w:rFonts w:ascii="Times New Roman" w:eastAsia="Times New Roman" w:hAnsi="Times New Roman" w:cs="Times New Roman"/>
          <w:sz w:val="21"/>
          <w:szCs w:val="21"/>
        </w:rPr>
      </w:pPr>
    </w:p>
    <w:p w14:paraId="5C99A3A7" w14:textId="64E535CF" w:rsidR="00373D33" w:rsidRPr="000B2B22" w:rsidRDefault="00C210A5" w:rsidP="0077368B">
      <w:pPr>
        <w:pStyle w:val="a5"/>
        <w:widowControl/>
        <w:numPr>
          <w:ilvl w:val="1"/>
          <w:numId w:val="8"/>
        </w:numPr>
        <w:tabs>
          <w:tab w:val="left" w:pos="837"/>
        </w:tabs>
        <w:adjustRightInd w:val="0"/>
        <w:snapToGrid w:val="0"/>
        <w:ind w:left="567" w:hanging="567"/>
      </w:pPr>
      <w:r w:rsidRPr="000B2B22">
        <w:t>CP arm: Carboplatin (AUC 6) and paclitaxel (175 mg/m</w:t>
      </w:r>
      <w:r w:rsidRPr="000B2B22">
        <w:rPr>
          <w:position w:val="9"/>
          <w:sz w:val="14"/>
        </w:rPr>
        <w:t>2</w:t>
      </w:r>
      <w:r w:rsidRPr="000B2B22">
        <w:t>) for 6 cycles of 3 weeks duration</w:t>
      </w:r>
    </w:p>
    <w:p w14:paraId="0778ED95" w14:textId="43EF052A" w:rsidR="00373D33" w:rsidRPr="000B2B22" w:rsidRDefault="00C210A5" w:rsidP="0077368B">
      <w:pPr>
        <w:pStyle w:val="a5"/>
        <w:widowControl/>
        <w:numPr>
          <w:ilvl w:val="1"/>
          <w:numId w:val="8"/>
        </w:numPr>
        <w:tabs>
          <w:tab w:val="left" w:pos="837"/>
        </w:tabs>
        <w:adjustRightInd w:val="0"/>
        <w:snapToGrid w:val="0"/>
        <w:ind w:left="567" w:hanging="567"/>
      </w:pPr>
      <w:r w:rsidRPr="000B2B22">
        <w:t>CPB7.5+ arm: Carboplatin (AUC 6) and paclitaxel (175 mg/m</w:t>
      </w:r>
      <w:r w:rsidRPr="000B2B22">
        <w:rPr>
          <w:position w:val="9"/>
          <w:sz w:val="14"/>
        </w:rPr>
        <w:t>2</w:t>
      </w:r>
      <w:r w:rsidRPr="000B2B22">
        <w:t>) for 6 cycles of 3 weeks plus bevacizumab (7.5 mg/kg q3w) for up to 12 months (bevacizumab was started at cycle 2 of chemotherapy if treatment was initiated within 4 weeks of surgery or at cycle 1 if treatment was initiated more than 4 weeks after surgery).</w:t>
      </w:r>
    </w:p>
    <w:p w14:paraId="0BA6BA60" w14:textId="16489B51" w:rsidR="00373D33" w:rsidRPr="000B2B22" w:rsidRDefault="00373D33" w:rsidP="0077368B">
      <w:pPr>
        <w:pStyle w:val="a5"/>
        <w:widowControl/>
        <w:tabs>
          <w:tab w:val="left" w:pos="837"/>
        </w:tabs>
        <w:adjustRightInd w:val="0"/>
        <w:snapToGrid w:val="0"/>
      </w:pPr>
    </w:p>
    <w:p w14:paraId="4392DBFF" w14:textId="03C6A691" w:rsidR="00047E69" w:rsidRPr="000B2B22" w:rsidRDefault="00C210A5" w:rsidP="0077368B">
      <w:pPr>
        <w:pStyle w:val="a5"/>
        <w:widowControl/>
        <w:adjustRightInd w:val="0"/>
        <w:snapToGrid w:val="0"/>
      </w:pPr>
      <w:r w:rsidRPr="000B2B22">
        <w:t>The majority of patients included in the study were White (96%), the median age was 57 years in both treatment arms, 25% of patients in each treatment arm were 65 years of age or over, and approximately 50% of patients had an ECOG PS of 1; 7% of patients in each treatment arm had an ECOG PS of 2. The majority of patients had EOC (87.7%) followed by PPC (6.9%) and FTC (3.7%) or a mixture of the three origins (1.7%). Most patients were FIGO Stage III (both 68%) followed by FIGO Stage IV (13% and 14%), FIGO Stage II (10% and 11%) and FIGO Stage I (9% and 7%). The majority of the patients in each treatment arm (74% and 71%) had poorly differentiated (Grade 3) primary tumours at baseline. The incidence of each histologic sub</w:t>
      </w:r>
      <w:r w:rsidR="00FD0731" w:rsidRPr="000B2B22">
        <w:noBreakHyphen/>
      </w:r>
      <w:r w:rsidRPr="000B2B22">
        <w:t>type of EOC was similar between the treatment arms; 69% of patients in each treatment arm had serous adenocarcinoma histologic type.</w:t>
      </w:r>
    </w:p>
    <w:p w14:paraId="740EA52B" w14:textId="77777777" w:rsidR="00047E69" w:rsidRPr="000B2B22" w:rsidRDefault="00047E69" w:rsidP="0077368B">
      <w:pPr>
        <w:widowControl/>
        <w:adjustRightInd w:val="0"/>
        <w:snapToGrid w:val="0"/>
        <w:rPr>
          <w:rFonts w:ascii="Times New Roman" w:eastAsia="Times New Roman" w:hAnsi="Times New Roman" w:cs="Times New Roman"/>
        </w:rPr>
      </w:pPr>
    </w:p>
    <w:p w14:paraId="70E35329" w14:textId="77777777" w:rsidR="00047E69" w:rsidRPr="000B2B22" w:rsidRDefault="00C210A5" w:rsidP="0077368B">
      <w:pPr>
        <w:pStyle w:val="a5"/>
        <w:widowControl/>
        <w:adjustRightInd w:val="0"/>
        <w:snapToGrid w:val="0"/>
      </w:pPr>
      <w:r w:rsidRPr="000B2B22">
        <w:t>The primary endpoint was PFS as assessed by the investigator using RECIST.</w:t>
      </w:r>
    </w:p>
    <w:p w14:paraId="2B493836" w14:textId="76F0CC68" w:rsidR="00047E69" w:rsidRPr="000B2B22" w:rsidRDefault="00C210A5" w:rsidP="0077368B">
      <w:pPr>
        <w:pStyle w:val="a5"/>
        <w:widowControl/>
        <w:adjustRightInd w:val="0"/>
        <w:snapToGrid w:val="0"/>
      </w:pPr>
      <w:r w:rsidRPr="000B2B22">
        <w:lastRenderedPageBreak/>
        <w:t>The trial met its primary objective of PFS improvement. Compared to patients treated with chemotherapy (carboplatin and paclitaxel) alone in the front</w:t>
      </w:r>
      <w:r w:rsidR="00FD0731" w:rsidRPr="000B2B22">
        <w:noBreakHyphen/>
      </w:r>
      <w:r w:rsidRPr="000B2B22">
        <w:t>line setting, patients who received bevacizumab at a dose of 7.5 mg/kg q3w in combination with chemotherapy and continued to receive bevacizumab for up to 18 cycles had a statistically significant improvement in PFS.</w:t>
      </w:r>
    </w:p>
    <w:p w14:paraId="32FE3AFF" w14:textId="77777777" w:rsidR="00047E69" w:rsidRPr="000B2B22" w:rsidRDefault="00047E69" w:rsidP="0077368B">
      <w:pPr>
        <w:widowControl/>
        <w:adjustRightInd w:val="0"/>
        <w:snapToGrid w:val="0"/>
        <w:rPr>
          <w:rFonts w:ascii="Times New Roman" w:eastAsia="Times New Roman" w:hAnsi="Times New Roman" w:cs="Times New Roman"/>
        </w:rPr>
      </w:pPr>
    </w:p>
    <w:p w14:paraId="5E2A1822" w14:textId="77777777" w:rsidR="00047E69" w:rsidRPr="000B2B22" w:rsidRDefault="00C210A5" w:rsidP="0077368B">
      <w:pPr>
        <w:pStyle w:val="a5"/>
        <w:widowControl/>
        <w:adjustRightInd w:val="0"/>
        <w:snapToGrid w:val="0"/>
      </w:pPr>
      <w:r w:rsidRPr="000B2B22">
        <w:t>The results of this study are summarised in Table 18.</w:t>
      </w:r>
    </w:p>
    <w:p w14:paraId="0FECC5D8" w14:textId="77777777" w:rsidR="00047E69" w:rsidRPr="000B2B22" w:rsidRDefault="00047E69" w:rsidP="0077368B">
      <w:pPr>
        <w:widowControl/>
        <w:adjustRightInd w:val="0"/>
        <w:snapToGrid w:val="0"/>
        <w:rPr>
          <w:rFonts w:ascii="Times New Roman" w:eastAsia="Times New Roman" w:hAnsi="Times New Roman" w:cs="Times New Roman"/>
        </w:rPr>
      </w:pPr>
    </w:p>
    <w:p w14:paraId="096E9BC1" w14:textId="71FDF202" w:rsidR="00047E69" w:rsidRPr="00536B4F" w:rsidRDefault="00C210A5" w:rsidP="00536B4F">
      <w:pPr>
        <w:ind w:left="1134" w:hanging="1134"/>
        <w:rPr>
          <w:rFonts w:ascii="Times New Roman" w:hAnsi="Times New Roman" w:cs="Times New Roman"/>
          <w:b/>
          <w:bCs/>
        </w:rPr>
      </w:pPr>
      <w:r w:rsidRPr="00536B4F">
        <w:rPr>
          <w:rFonts w:ascii="Times New Roman" w:hAnsi="Times New Roman" w:cs="Times New Roman"/>
          <w:b/>
          <w:bCs/>
        </w:rPr>
        <w:t>Table 18</w:t>
      </w:r>
      <w:r w:rsidRPr="00536B4F">
        <w:rPr>
          <w:rFonts w:ascii="Times New Roman" w:hAnsi="Times New Roman" w:cs="Times New Roman"/>
          <w:b/>
          <w:bCs/>
        </w:rPr>
        <w:tab/>
        <w:t>Efficacy results from study BO17707 (ICON7)</w:t>
      </w:r>
    </w:p>
    <w:p w14:paraId="363A2852" w14:textId="77777777" w:rsidR="00AF607F" w:rsidRPr="000B2B22" w:rsidRDefault="00AF607F" w:rsidP="00C32D39">
      <w:pPr>
        <w:rPr>
          <w:b/>
          <w:bCs/>
        </w:rPr>
      </w:pPr>
    </w:p>
    <w:tbl>
      <w:tblPr>
        <w:tblStyle w:val="ad"/>
        <w:tblW w:w="5000" w:type="pct"/>
        <w:tblLook w:val="04A0" w:firstRow="1" w:lastRow="0" w:firstColumn="1" w:lastColumn="0" w:noHBand="0" w:noVBand="1"/>
      </w:tblPr>
      <w:tblGrid>
        <w:gridCol w:w="2933"/>
        <w:gridCol w:w="2900"/>
        <w:gridCol w:w="92"/>
        <w:gridCol w:w="3139"/>
      </w:tblGrid>
      <w:tr w:rsidR="00A46B65" w:rsidRPr="000B2B22" w14:paraId="5D7B66EF" w14:textId="77777777" w:rsidTr="004228B0">
        <w:tc>
          <w:tcPr>
            <w:tcW w:w="9300" w:type="dxa"/>
            <w:gridSpan w:val="4"/>
          </w:tcPr>
          <w:p w14:paraId="5E257160" w14:textId="6FB73C3B" w:rsidR="00047E69" w:rsidRPr="000B2B22" w:rsidRDefault="00C210A5" w:rsidP="0077368B">
            <w:pPr>
              <w:widowControl/>
              <w:rPr>
                <w:rFonts w:ascii="Times New Roman" w:eastAsia="Times New Roman" w:hAnsi="Times New Roman" w:cs="Times New Roman"/>
                <w:b/>
                <w:bCs/>
              </w:rPr>
            </w:pPr>
            <w:r w:rsidRPr="000B2B22">
              <w:rPr>
                <w:rFonts w:ascii="Times New Roman"/>
                <w:b/>
                <w:bCs/>
              </w:rPr>
              <w:t>Progression</w:t>
            </w:r>
            <w:r w:rsidR="00FD0731" w:rsidRPr="000B2B22">
              <w:rPr>
                <w:rFonts w:ascii="Times New Roman"/>
                <w:b/>
                <w:bCs/>
              </w:rPr>
              <w:noBreakHyphen/>
            </w:r>
            <w:r w:rsidRPr="000B2B22">
              <w:rPr>
                <w:rFonts w:ascii="Times New Roman"/>
                <w:b/>
                <w:bCs/>
              </w:rPr>
              <w:t>free survival</w:t>
            </w:r>
          </w:p>
        </w:tc>
      </w:tr>
      <w:tr w:rsidR="00A27683" w:rsidRPr="000B2B22" w14:paraId="4FCD84EF" w14:textId="77777777" w:rsidTr="004228B0">
        <w:tc>
          <w:tcPr>
            <w:tcW w:w="3005" w:type="dxa"/>
          </w:tcPr>
          <w:p w14:paraId="6228D0B7" w14:textId="77777777" w:rsidR="00047E69" w:rsidRPr="000B2B22" w:rsidRDefault="00047E69" w:rsidP="0077368B">
            <w:pPr>
              <w:widowControl/>
              <w:rPr>
                <w:rFonts w:ascii="Times New Roman" w:eastAsia="Times New Roman" w:hAnsi="Times New Roman" w:cs="Times New Roman"/>
                <w:b/>
                <w:bCs/>
              </w:rPr>
            </w:pPr>
          </w:p>
        </w:tc>
        <w:tc>
          <w:tcPr>
            <w:tcW w:w="2981" w:type="dxa"/>
          </w:tcPr>
          <w:p w14:paraId="52DBD9EA"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CP</w:t>
            </w:r>
          </w:p>
          <w:p w14:paraId="5743D341"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(n = 764)</w:t>
            </w:r>
          </w:p>
        </w:tc>
        <w:tc>
          <w:tcPr>
            <w:tcW w:w="3314" w:type="dxa"/>
            <w:gridSpan w:val="2"/>
          </w:tcPr>
          <w:p w14:paraId="600C3802"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CPB7.5+ (n =764)</w:t>
            </w:r>
          </w:p>
        </w:tc>
      </w:tr>
      <w:tr w:rsidR="00A27683" w:rsidRPr="000B2B22" w14:paraId="5B0C7C71" w14:textId="77777777" w:rsidTr="004228B0">
        <w:tc>
          <w:tcPr>
            <w:tcW w:w="3005" w:type="dxa"/>
          </w:tcPr>
          <w:p w14:paraId="1A71A75C" w14:textId="77777777" w:rsidR="00047E69" w:rsidRPr="000B2B22" w:rsidRDefault="00C210A5" w:rsidP="0077368B">
            <w:pPr>
              <w:pStyle w:val="TableParagraph"/>
              <w:widowControl/>
              <w:rPr>
                <w:rFonts w:ascii="Times New Roman" w:eastAsia="Times New Roman" w:hAnsi="Times New Roman" w:cs="Times New Roman"/>
              </w:rPr>
            </w:pPr>
            <w:r w:rsidRPr="000B2B22">
              <w:rPr>
                <w:rFonts w:ascii="Times New Roman"/>
              </w:rPr>
              <w:t xml:space="preserve">Median PFS (months) </w:t>
            </w:r>
            <w:r w:rsidRPr="000B2B22">
              <w:rPr>
                <w:rFonts w:ascii="Times New Roman"/>
                <w:position w:val="7"/>
                <w:vertAlign w:val="superscript"/>
              </w:rPr>
              <w:t>2</w:t>
            </w:r>
          </w:p>
        </w:tc>
        <w:tc>
          <w:tcPr>
            <w:tcW w:w="2981" w:type="dxa"/>
          </w:tcPr>
          <w:p w14:paraId="152E226E" w14:textId="77777777" w:rsidR="00047E69" w:rsidRPr="000B2B22" w:rsidRDefault="00C210A5" w:rsidP="0077368B">
            <w:pPr>
              <w:widowControl/>
              <w:jc w:val="center"/>
              <w:rPr>
                <w:rFonts w:ascii="Times New Roman" w:eastAsia="Times New Roman" w:hAnsi="Times New Roman" w:cs="Times New Roman"/>
                <w:b/>
                <w:bCs/>
              </w:rPr>
            </w:pPr>
            <w:r w:rsidRPr="000B2B22">
              <w:rPr>
                <w:rFonts w:ascii="Times New Roman"/>
              </w:rPr>
              <w:t>16.9</w:t>
            </w:r>
          </w:p>
        </w:tc>
        <w:tc>
          <w:tcPr>
            <w:tcW w:w="3314" w:type="dxa"/>
            <w:gridSpan w:val="2"/>
          </w:tcPr>
          <w:p w14:paraId="25EB9DAB" w14:textId="77777777" w:rsidR="00047E69" w:rsidRPr="000B2B22" w:rsidRDefault="00C210A5" w:rsidP="0077368B">
            <w:pPr>
              <w:widowControl/>
              <w:jc w:val="center"/>
              <w:rPr>
                <w:rFonts w:ascii="Times New Roman" w:eastAsia="Times New Roman" w:hAnsi="Times New Roman" w:cs="Times New Roman"/>
                <w:b/>
                <w:bCs/>
              </w:rPr>
            </w:pPr>
            <w:r w:rsidRPr="000B2B22">
              <w:rPr>
                <w:rFonts w:ascii="Times New Roman"/>
              </w:rPr>
              <w:t>19.3</w:t>
            </w:r>
          </w:p>
        </w:tc>
      </w:tr>
      <w:tr w:rsidR="00A46B65" w:rsidRPr="000B2B22" w14:paraId="2753026F" w14:textId="77777777" w:rsidTr="004228B0">
        <w:tc>
          <w:tcPr>
            <w:tcW w:w="3005" w:type="dxa"/>
          </w:tcPr>
          <w:p w14:paraId="090ED44B" w14:textId="77777777" w:rsidR="00047E69" w:rsidRPr="000B2B22" w:rsidRDefault="00C210A5" w:rsidP="0077368B">
            <w:pPr>
              <w:widowControl/>
              <w:rPr>
                <w:rFonts w:ascii="Times New Roman" w:eastAsia="Times New Roman" w:hAnsi="Times New Roman" w:cs="Times New Roman"/>
                <w:b/>
                <w:bCs/>
              </w:rPr>
            </w:pPr>
            <w:r w:rsidRPr="000B2B22">
              <w:rPr>
                <w:rFonts w:ascii="Times New Roman"/>
              </w:rPr>
              <w:t xml:space="preserve">Hazard ratio [95% CI] </w:t>
            </w:r>
            <w:r w:rsidRPr="000B2B22">
              <w:rPr>
                <w:rFonts w:ascii="Times New Roman"/>
                <w:position w:val="7"/>
                <w:vertAlign w:val="superscript"/>
              </w:rPr>
              <w:t>2</w:t>
            </w:r>
          </w:p>
        </w:tc>
        <w:tc>
          <w:tcPr>
            <w:tcW w:w="6295" w:type="dxa"/>
            <w:gridSpan w:val="3"/>
          </w:tcPr>
          <w:p w14:paraId="18F3018A"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0.86 [0.75; 0.98]</w:t>
            </w:r>
          </w:p>
          <w:p w14:paraId="3D8EB8C4" w14:textId="638E9480" w:rsidR="00047E69" w:rsidRPr="000B2B22" w:rsidRDefault="00C210A5" w:rsidP="0077368B">
            <w:pPr>
              <w:widowControl/>
              <w:jc w:val="center"/>
              <w:rPr>
                <w:rFonts w:ascii="Times New Roman" w:eastAsia="Times New Roman" w:hAnsi="Times New Roman" w:cs="Times New Roman"/>
                <w:b/>
                <w:bCs/>
              </w:rPr>
            </w:pPr>
            <w:r w:rsidRPr="000B2B22">
              <w:rPr>
                <w:rFonts w:ascii="Times New Roman"/>
              </w:rPr>
              <w:t>(p</w:t>
            </w:r>
            <w:r w:rsidR="00FD0731" w:rsidRPr="000B2B22">
              <w:rPr>
                <w:rFonts w:ascii="Times New Roman"/>
              </w:rPr>
              <w:noBreakHyphen/>
            </w:r>
            <w:r w:rsidRPr="000B2B22">
              <w:rPr>
                <w:rFonts w:ascii="Times New Roman"/>
              </w:rPr>
              <w:t>value = 0.0185)</w:t>
            </w:r>
          </w:p>
        </w:tc>
      </w:tr>
      <w:tr w:rsidR="00A46B65" w:rsidRPr="000B2B22" w14:paraId="783464D4" w14:textId="77777777" w:rsidTr="004228B0">
        <w:tc>
          <w:tcPr>
            <w:tcW w:w="9300" w:type="dxa"/>
            <w:gridSpan w:val="4"/>
          </w:tcPr>
          <w:p w14:paraId="36911DE3" w14:textId="11B2B0D0" w:rsidR="00047E69" w:rsidRPr="000B2B22" w:rsidRDefault="00C210A5" w:rsidP="0077368B">
            <w:pPr>
              <w:widowControl/>
              <w:jc w:val="both"/>
              <w:rPr>
                <w:rFonts w:ascii="Times New Roman" w:eastAsia="Times New Roman" w:hAnsi="Times New Roman" w:cs="Times New Roman"/>
                <w:b/>
                <w:bCs/>
              </w:rPr>
            </w:pPr>
            <w:r w:rsidRPr="000B2B22">
              <w:rPr>
                <w:rFonts w:ascii="Times New Roman"/>
                <w:b/>
                <w:bCs/>
              </w:rPr>
              <w:t xml:space="preserve">Objective </w:t>
            </w:r>
            <w:r w:rsidR="00AD6B3A" w:rsidRPr="000B2B22">
              <w:rPr>
                <w:rFonts w:ascii="Times New Roman"/>
                <w:b/>
                <w:bCs/>
              </w:rPr>
              <w:t xml:space="preserve">response rate </w:t>
            </w:r>
            <w:r w:rsidRPr="000B2B22">
              <w:rPr>
                <w:rFonts w:ascii="Times New Roman"/>
                <w:b/>
                <w:bCs/>
                <w:position w:val="7"/>
                <w:vertAlign w:val="superscript"/>
              </w:rPr>
              <w:t>1</w:t>
            </w:r>
          </w:p>
        </w:tc>
      </w:tr>
      <w:tr w:rsidR="00A27683" w:rsidRPr="000B2B22" w14:paraId="54DE9082" w14:textId="77777777" w:rsidTr="004228B0">
        <w:tc>
          <w:tcPr>
            <w:tcW w:w="3005" w:type="dxa"/>
          </w:tcPr>
          <w:p w14:paraId="0D0D1147" w14:textId="77777777" w:rsidR="00047E69" w:rsidRPr="000B2B22" w:rsidRDefault="00047E69" w:rsidP="0077368B">
            <w:pPr>
              <w:widowControl/>
              <w:rPr>
                <w:rFonts w:ascii="Times New Roman" w:eastAsia="Times New Roman" w:hAnsi="Times New Roman" w:cs="Times New Roman"/>
                <w:b/>
                <w:bCs/>
              </w:rPr>
            </w:pPr>
          </w:p>
        </w:tc>
        <w:tc>
          <w:tcPr>
            <w:tcW w:w="2981" w:type="dxa"/>
          </w:tcPr>
          <w:p w14:paraId="495C98CC"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CP</w:t>
            </w:r>
          </w:p>
          <w:p w14:paraId="005EB94F"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(n = 277)</w:t>
            </w:r>
          </w:p>
        </w:tc>
        <w:tc>
          <w:tcPr>
            <w:tcW w:w="3314" w:type="dxa"/>
            <w:gridSpan w:val="2"/>
          </w:tcPr>
          <w:p w14:paraId="4CF7AE17"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CPB7.5+ (n = 272)</w:t>
            </w:r>
          </w:p>
        </w:tc>
      </w:tr>
      <w:tr w:rsidR="00A27683" w:rsidRPr="000B2B22" w14:paraId="6ADB8DED" w14:textId="77777777" w:rsidTr="004228B0">
        <w:tc>
          <w:tcPr>
            <w:tcW w:w="3005" w:type="dxa"/>
          </w:tcPr>
          <w:p w14:paraId="795A9F85" w14:textId="77777777" w:rsidR="00047E69" w:rsidRPr="000B2B22" w:rsidRDefault="00C210A5" w:rsidP="0077368B">
            <w:pPr>
              <w:widowControl/>
              <w:rPr>
                <w:rFonts w:ascii="Times New Roman" w:eastAsia="Times New Roman" w:hAnsi="Times New Roman" w:cs="Times New Roman"/>
                <w:b/>
                <w:bCs/>
              </w:rPr>
            </w:pPr>
            <w:r w:rsidRPr="000B2B22">
              <w:rPr>
                <w:rFonts w:ascii="Times New Roman"/>
              </w:rPr>
              <w:t>Response rate</w:t>
            </w:r>
          </w:p>
        </w:tc>
        <w:tc>
          <w:tcPr>
            <w:tcW w:w="2981" w:type="dxa"/>
          </w:tcPr>
          <w:p w14:paraId="24A6986B" w14:textId="77777777" w:rsidR="00047E69" w:rsidRPr="000B2B22" w:rsidRDefault="00C210A5" w:rsidP="0077368B">
            <w:pPr>
              <w:widowControl/>
              <w:jc w:val="center"/>
              <w:rPr>
                <w:rFonts w:ascii="Times New Roman" w:eastAsia="Times New Roman" w:hAnsi="Times New Roman" w:cs="Times New Roman"/>
                <w:b/>
                <w:bCs/>
              </w:rPr>
            </w:pPr>
            <w:r w:rsidRPr="000B2B22">
              <w:rPr>
                <w:rFonts w:ascii="Times New Roman"/>
              </w:rPr>
              <w:t>54.9%</w:t>
            </w:r>
          </w:p>
        </w:tc>
        <w:tc>
          <w:tcPr>
            <w:tcW w:w="3314" w:type="dxa"/>
            <w:gridSpan w:val="2"/>
          </w:tcPr>
          <w:p w14:paraId="26321850" w14:textId="77777777" w:rsidR="00047E69" w:rsidRPr="000B2B22" w:rsidRDefault="00C210A5" w:rsidP="0077368B">
            <w:pPr>
              <w:widowControl/>
              <w:jc w:val="center"/>
              <w:rPr>
                <w:rFonts w:ascii="Times New Roman" w:eastAsia="Times New Roman" w:hAnsi="Times New Roman" w:cs="Times New Roman"/>
                <w:b/>
                <w:bCs/>
              </w:rPr>
            </w:pPr>
            <w:r w:rsidRPr="000B2B22">
              <w:rPr>
                <w:rFonts w:ascii="Times New Roman"/>
              </w:rPr>
              <w:t>64.7%</w:t>
            </w:r>
          </w:p>
        </w:tc>
      </w:tr>
      <w:tr w:rsidR="00A46B65" w:rsidRPr="000B2B22" w14:paraId="65A34B58" w14:textId="77777777" w:rsidTr="004228B0">
        <w:tc>
          <w:tcPr>
            <w:tcW w:w="3005" w:type="dxa"/>
          </w:tcPr>
          <w:p w14:paraId="03E0A746" w14:textId="77777777" w:rsidR="00047E69" w:rsidRPr="000B2B22" w:rsidRDefault="00047E69" w:rsidP="0077368B">
            <w:pPr>
              <w:widowControl/>
              <w:rPr>
                <w:rFonts w:ascii="Times New Roman" w:eastAsia="Times New Roman" w:hAnsi="Times New Roman" w:cs="Times New Roman"/>
                <w:b/>
                <w:bCs/>
              </w:rPr>
            </w:pPr>
          </w:p>
        </w:tc>
        <w:tc>
          <w:tcPr>
            <w:tcW w:w="6295" w:type="dxa"/>
            <w:gridSpan w:val="3"/>
          </w:tcPr>
          <w:p w14:paraId="5C7DEABD" w14:textId="0F35E6B8" w:rsidR="00047E69" w:rsidRPr="000B2B22" w:rsidRDefault="00C210A5" w:rsidP="0077368B">
            <w:pPr>
              <w:widowControl/>
              <w:jc w:val="center"/>
              <w:rPr>
                <w:rFonts w:ascii="Times New Roman" w:eastAsia="Times New Roman" w:hAnsi="Times New Roman" w:cs="Times New Roman"/>
                <w:b/>
                <w:bCs/>
              </w:rPr>
            </w:pPr>
            <w:r w:rsidRPr="000B2B22">
              <w:rPr>
                <w:rFonts w:ascii="Times New Roman"/>
              </w:rPr>
              <w:t>(p</w:t>
            </w:r>
            <w:r w:rsidR="00FD0731" w:rsidRPr="000B2B22">
              <w:rPr>
                <w:rFonts w:ascii="Times New Roman"/>
              </w:rPr>
              <w:noBreakHyphen/>
            </w:r>
            <w:r w:rsidRPr="000B2B22">
              <w:rPr>
                <w:rFonts w:ascii="Times New Roman"/>
              </w:rPr>
              <w:t>value = 0.0188)</w:t>
            </w:r>
          </w:p>
        </w:tc>
      </w:tr>
      <w:tr w:rsidR="00A46B65" w:rsidRPr="000B2B22" w14:paraId="25ADCF48" w14:textId="77777777" w:rsidTr="004228B0">
        <w:tc>
          <w:tcPr>
            <w:tcW w:w="9300" w:type="dxa"/>
            <w:gridSpan w:val="4"/>
          </w:tcPr>
          <w:p w14:paraId="448E6462" w14:textId="21E0DB71" w:rsidR="00047E69" w:rsidRPr="000B2B22" w:rsidRDefault="00C210A5" w:rsidP="0077368B">
            <w:pPr>
              <w:widowControl/>
              <w:jc w:val="both"/>
              <w:rPr>
                <w:rFonts w:ascii="Times New Roman" w:eastAsia="Times New Roman" w:hAnsi="Times New Roman" w:cs="Times New Roman"/>
                <w:b/>
                <w:bCs/>
              </w:rPr>
            </w:pPr>
            <w:r w:rsidRPr="000B2B22">
              <w:rPr>
                <w:rFonts w:ascii="Times New Roman"/>
                <w:b/>
                <w:bCs/>
              </w:rPr>
              <w:t xml:space="preserve">Overall </w:t>
            </w:r>
            <w:r w:rsidR="00AD6B3A" w:rsidRPr="000B2B22">
              <w:rPr>
                <w:rFonts w:ascii="Times New Roman"/>
                <w:b/>
                <w:bCs/>
              </w:rPr>
              <w:t>s</w:t>
            </w:r>
            <w:r w:rsidRPr="000B2B22">
              <w:rPr>
                <w:rFonts w:ascii="Times New Roman"/>
                <w:b/>
                <w:bCs/>
              </w:rPr>
              <w:t>urvival</w:t>
            </w:r>
            <w:r w:rsidRPr="000B2B22">
              <w:rPr>
                <w:rFonts w:ascii="Times New Roman"/>
                <w:b/>
                <w:bCs/>
                <w:sz w:val="18"/>
                <w:szCs w:val="18"/>
              </w:rPr>
              <w:t xml:space="preserve"> </w:t>
            </w:r>
            <w:r w:rsidRPr="000B2B22">
              <w:rPr>
                <w:rFonts w:ascii="Times New Roman"/>
                <w:b/>
                <w:bCs/>
                <w:position w:val="9"/>
                <w:sz w:val="18"/>
                <w:szCs w:val="18"/>
              </w:rPr>
              <w:t>3</w:t>
            </w:r>
          </w:p>
        </w:tc>
      </w:tr>
      <w:tr w:rsidR="00A27683" w:rsidRPr="000B2B22" w14:paraId="2E3F8D4D" w14:textId="77777777" w:rsidTr="004228B0">
        <w:tc>
          <w:tcPr>
            <w:tcW w:w="3005" w:type="dxa"/>
          </w:tcPr>
          <w:p w14:paraId="17F5C22B" w14:textId="77777777" w:rsidR="00047E69" w:rsidRPr="000B2B22" w:rsidRDefault="00047E69" w:rsidP="0077368B">
            <w:pPr>
              <w:widowControl/>
              <w:rPr>
                <w:rFonts w:ascii="Times New Roman" w:eastAsia="Times New Roman" w:hAnsi="Times New Roman" w:cs="Times New Roman"/>
                <w:b/>
                <w:bCs/>
              </w:rPr>
            </w:pPr>
          </w:p>
        </w:tc>
        <w:tc>
          <w:tcPr>
            <w:tcW w:w="3076" w:type="dxa"/>
            <w:gridSpan w:val="2"/>
          </w:tcPr>
          <w:p w14:paraId="4A26AA43"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CP</w:t>
            </w:r>
          </w:p>
          <w:p w14:paraId="485EA07C"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(n = 764)</w:t>
            </w:r>
          </w:p>
        </w:tc>
        <w:tc>
          <w:tcPr>
            <w:tcW w:w="3219" w:type="dxa"/>
          </w:tcPr>
          <w:p w14:paraId="713F8E35"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CPB7.5+ (n =764)</w:t>
            </w:r>
          </w:p>
        </w:tc>
      </w:tr>
      <w:tr w:rsidR="00A27683" w:rsidRPr="000B2B22" w14:paraId="1B1FE747" w14:textId="77777777" w:rsidTr="004228B0">
        <w:tc>
          <w:tcPr>
            <w:tcW w:w="3005" w:type="dxa"/>
          </w:tcPr>
          <w:p w14:paraId="571C9B2A" w14:textId="77777777" w:rsidR="00047E69" w:rsidRPr="000B2B22" w:rsidRDefault="00C210A5" w:rsidP="0077368B">
            <w:pPr>
              <w:widowControl/>
              <w:rPr>
                <w:rFonts w:ascii="Times New Roman" w:eastAsia="Times New Roman" w:hAnsi="Times New Roman" w:cs="Times New Roman"/>
                <w:b/>
                <w:bCs/>
              </w:rPr>
            </w:pPr>
            <w:r w:rsidRPr="000B2B22">
              <w:rPr>
                <w:rFonts w:ascii="Times New Roman"/>
              </w:rPr>
              <w:t>Median (months)</w:t>
            </w:r>
          </w:p>
        </w:tc>
        <w:tc>
          <w:tcPr>
            <w:tcW w:w="3076" w:type="dxa"/>
            <w:gridSpan w:val="2"/>
          </w:tcPr>
          <w:p w14:paraId="7F796C13" w14:textId="77777777" w:rsidR="00047E69" w:rsidRPr="000B2B22" w:rsidRDefault="00C210A5" w:rsidP="0077368B">
            <w:pPr>
              <w:widowControl/>
              <w:jc w:val="center"/>
              <w:rPr>
                <w:rFonts w:ascii="Times New Roman"/>
              </w:rPr>
            </w:pPr>
            <w:r w:rsidRPr="000B2B22">
              <w:rPr>
                <w:rFonts w:ascii="Times New Roman"/>
              </w:rPr>
              <w:t>58.0</w:t>
            </w:r>
          </w:p>
        </w:tc>
        <w:tc>
          <w:tcPr>
            <w:tcW w:w="3219" w:type="dxa"/>
          </w:tcPr>
          <w:p w14:paraId="70342297" w14:textId="77777777" w:rsidR="00047E69" w:rsidRPr="000B2B22" w:rsidRDefault="00C210A5" w:rsidP="0077368B">
            <w:pPr>
              <w:widowControl/>
              <w:jc w:val="center"/>
              <w:rPr>
                <w:rFonts w:ascii="Times New Roman"/>
              </w:rPr>
            </w:pPr>
            <w:r w:rsidRPr="000B2B22">
              <w:rPr>
                <w:rFonts w:ascii="Times New Roman"/>
              </w:rPr>
              <w:t>57.4</w:t>
            </w:r>
          </w:p>
        </w:tc>
      </w:tr>
      <w:tr w:rsidR="00A46B65" w:rsidRPr="000B2B22" w14:paraId="224185BC" w14:textId="77777777" w:rsidTr="004228B0">
        <w:tc>
          <w:tcPr>
            <w:tcW w:w="3005" w:type="dxa"/>
          </w:tcPr>
          <w:p w14:paraId="31F86257" w14:textId="77777777" w:rsidR="00047E69" w:rsidRPr="000B2B22" w:rsidRDefault="00C210A5" w:rsidP="0077368B">
            <w:pPr>
              <w:widowControl/>
              <w:rPr>
                <w:rFonts w:ascii="Times New Roman" w:eastAsia="Times New Roman" w:hAnsi="Times New Roman" w:cs="Times New Roman"/>
                <w:b/>
                <w:bCs/>
              </w:rPr>
            </w:pPr>
            <w:r w:rsidRPr="000B2B22">
              <w:rPr>
                <w:rFonts w:ascii="Times New Roman"/>
              </w:rPr>
              <w:t>Hazard ratio [95% CI]</w:t>
            </w:r>
          </w:p>
        </w:tc>
        <w:tc>
          <w:tcPr>
            <w:tcW w:w="6295" w:type="dxa"/>
            <w:gridSpan w:val="3"/>
          </w:tcPr>
          <w:p w14:paraId="20E16B64" w14:textId="77777777" w:rsidR="00047E69" w:rsidRPr="000B2B22" w:rsidRDefault="00C210A5" w:rsidP="0077368B">
            <w:pPr>
              <w:pStyle w:val="TableParagraph"/>
              <w:widowControl/>
              <w:jc w:val="center"/>
              <w:rPr>
                <w:rFonts w:ascii="Times New Roman" w:eastAsia="Times New Roman" w:hAnsi="Times New Roman" w:cs="Times New Roman"/>
              </w:rPr>
            </w:pPr>
            <w:r w:rsidRPr="000B2B22">
              <w:rPr>
                <w:rFonts w:ascii="Times New Roman"/>
              </w:rPr>
              <w:t>0.99 [0. 85; 1. 15]</w:t>
            </w:r>
          </w:p>
          <w:p w14:paraId="02E18F42" w14:textId="4A4F332D" w:rsidR="00047E69" w:rsidRPr="000B2B22" w:rsidRDefault="00C210A5" w:rsidP="0077368B">
            <w:pPr>
              <w:widowControl/>
              <w:jc w:val="center"/>
              <w:rPr>
                <w:rFonts w:ascii="Times New Roman"/>
              </w:rPr>
            </w:pPr>
            <w:r w:rsidRPr="000B2B22">
              <w:rPr>
                <w:rFonts w:ascii="Times New Roman"/>
              </w:rPr>
              <w:t>(p</w:t>
            </w:r>
            <w:r w:rsidR="00FD0731" w:rsidRPr="000B2B22">
              <w:rPr>
                <w:rFonts w:ascii="Times New Roman"/>
              </w:rPr>
              <w:noBreakHyphen/>
            </w:r>
            <w:r w:rsidRPr="000B2B22">
              <w:rPr>
                <w:rFonts w:ascii="Times New Roman"/>
              </w:rPr>
              <w:t>value = 0. 8910)</w:t>
            </w:r>
          </w:p>
        </w:tc>
      </w:tr>
    </w:tbl>
    <w:p w14:paraId="46B43DF6" w14:textId="77777777" w:rsidR="00047E69" w:rsidRPr="000B2B22" w:rsidRDefault="00C210A5" w:rsidP="0077368B">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1  </w:t>
      </w:r>
      <w:r w:rsidRPr="000B2B22">
        <w:rPr>
          <w:rFonts w:ascii="Times New Roman"/>
          <w:sz w:val="20"/>
        </w:rPr>
        <w:t>In patients with measurable disease at baseline.</w:t>
      </w:r>
    </w:p>
    <w:p w14:paraId="0BB9EDD9" w14:textId="5B6B16DE" w:rsidR="00047E69" w:rsidRPr="000B2B22" w:rsidRDefault="00C210A5" w:rsidP="0077368B">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2  </w:t>
      </w:r>
      <w:r w:rsidRPr="000B2B22">
        <w:rPr>
          <w:rFonts w:ascii="Times New Roman"/>
          <w:sz w:val="20"/>
        </w:rPr>
        <w:t>Investigator assessed PFS analysis with data cut</w:t>
      </w:r>
      <w:r w:rsidR="00FD0731" w:rsidRPr="000B2B22">
        <w:rPr>
          <w:rFonts w:ascii="Times New Roman"/>
          <w:sz w:val="20"/>
        </w:rPr>
        <w:noBreakHyphen/>
      </w:r>
      <w:r w:rsidRPr="000B2B22">
        <w:rPr>
          <w:rFonts w:ascii="Times New Roman"/>
          <w:sz w:val="20"/>
        </w:rPr>
        <w:t>off date of 30 November 2010.</w:t>
      </w:r>
    </w:p>
    <w:p w14:paraId="76E64B63" w14:textId="7A97B2EC" w:rsidR="00047E69" w:rsidRPr="000B2B22" w:rsidRDefault="00C210A5" w:rsidP="0077368B">
      <w:pPr>
        <w:widowControl/>
        <w:adjustRightInd w:val="0"/>
        <w:snapToGrid w:val="0"/>
        <w:rPr>
          <w:rFonts w:ascii="Times New Roman" w:eastAsia="Times New Roman" w:hAnsi="Times New Roman" w:cs="Times New Roman"/>
          <w:sz w:val="20"/>
          <w:szCs w:val="20"/>
        </w:rPr>
      </w:pPr>
      <w:r w:rsidRPr="000B2B22">
        <w:rPr>
          <w:rFonts w:ascii="Times New Roman"/>
          <w:position w:val="7"/>
          <w:sz w:val="13"/>
        </w:rPr>
        <w:t xml:space="preserve">3  </w:t>
      </w:r>
      <w:r w:rsidRPr="000B2B22">
        <w:rPr>
          <w:rFonts w:ascii="Times New Roman"/>
          <w:sz w:val="20"/>
        </w:rPr>
        <w:t xml:space="preserve">Final </w:t>
      </w:r>
      <w:r w:rsidR="00410031" w:rsidRPr="000B2B22">
        <w:rPr>
          <w:rFonts w:ascii="Times New Roman"/>
          <w:sz w:val="20"/>
        </w:rPr>
        <w:t>OS</w:t>
      </w:r>
      <w:r w:rsidRPr="000B2B22">
        <w:rPr>
          <w:rFonts w:ascii="Times New Roman"/>
          <w:sz w:val="20"/>
        </w:rPr>
        <w:t xml:space="preserve"> analysis performed when 46.7% of the patients had died with data cut</w:t>
      </w:r>
      <w:r w:rsidR="00FD0731" w:rsidRPr="000B2B22">
        <w:rPr>
          <w:rFonts w:ascii="Times New Roman"/>
          <w:sz w:val="20"/>
        </w:rPr>
        <w:noBreakHyphen/>
      </w:r>
      <w:r w:rsidRPr="000B2B22">
        <w:rPr>
          <w:rFonts w:ascii="Times New Roman"/>
          <w:sz w:val="20"/>
        </w:rPr>
        <w:t>off date of 31 March 2013.</w:t>
      </w:r>
    </w:p>
    <w:p w14:paraId="7BE6FF96" w14:textId="77777777" w:rsidR="00047E69" w:rsidRPr="000B2B22" w:rsidRDefault="00047E69" w:rsidP="0077368B">
      <w:pPr>
        <w:widowControl/>
        <w:adjustRightInd w:val="0"/>
        <w:snapToGrid w:val="0"/>
        <w:rPr>
          <w:rFonts w:ascii="Times New Roman" w:eastAsia="Times New Roman" w:hAnsi="Times New Roman" w:cs="Times New Roman"/>
          <w:sz w:val="19"/>
          <w:szCs w:val="19"/>
        </w:rPr>
      </w:pPr>
    </w:p>
    <w:p w14:paraId="67E8099D" w14:textId="4DFFB68C" w:rsidR="00047E69" w:rsidRPr="000B2B22" w:rsidRDefault="00C210A5" w:rsidP="0077368B">
      <w:pPr>
        <w:pStyle w:val="a5"/>
        <w:widowControl/>
        <w:adjustRightInd w:val="0"/>
        <w:snapToGrid w:val="0"/>
      </w:pPr>
      <w:r w:rsidRPr="000B2B22">
        <w:t>The primary analysis of investigator</w:t>
      </w:r>
      <w:r w:rsidR="00FD0731" w:rsidRPr="000B2B22">
        <w:noBreakHyphen/>
      </w:r>
      <w:r w:rsidRPr="000B2B22">
        <w:t>assessed PFS with a data cut</w:t>
      </w:r>
      <w:r w:rsidR="00FD0731" w:rsidRPr="000B2B22">
        <w:noBreakHyphen/>
      </w:r>
      <w:r w:rsidRPr="000B2B22">
        <w:t>off date of 28 February 2010 shows an unstratified hazard ratio of 0.79 (95% CI: 0.68-0.91, 2</w:t>
      </w:r>
      <w:r w:rsidR="00FD0731" w:rsidRPr="000B2B22">
        <w:noBreakHyphen/>
      </w:r>
      <w:r w:rsidRPr="000B2B22">
        <w:t>sided log</w:t>
      </w:r>
      <w:r w:rsidR="00FD0731" w:rsidRPr="000B2B22">
        <w:noBreakHyphen/>
      </w:r>
      <w:r w:rsidRPr="000B2B22">
        <w:t>rank p</w:t>
      </w:r>
      <w:r w:rsidR="00FD0731" w:rsidRPr="000B2B22">
        <w:noBreakHyphen/>
      </w:r>
      <w:r w:rsidRPr="000B2B22">
        <w:t>value 0.0010) with a median PFS of 16.0 months in the CP arm and 18.3 months in the CPB7.5+ arm.</w:t>
      </w:r>
    </w:p>
    <w:p w14:paraId="4BC5AA12" w14:textId="77777777" w:rsidR="00047E69" w:rsidRPr="000B2B22" w:rsidRDefault="00047E69" w:rsidP="0077368B">
      <w:pPr>
        <w:widowControl/>
        <w:adjustRightInd w:val="0"/>
        <w:snapToGrid w:val="0"/>
        <w:rPr>
          <w:rFonts w:ascii="Times New Roman" w:eastAsia="Times New Roman" w:hAnsi="Times New Roman" w:cs="Times New Roman"/>
          <w:sz w:val="21"/>
          <w:szCs w:val="21"/>
        </w:rPr>
      </w:pPr>
    </w:p>
    <w:p w14:paraId="28C0ECEA" w14:textId="444A278B" w:rsidR="00A135EE" w:rsidRPr="000B2B22" w:rsidRDefault="00C210A5" w:rsidP="0077368B">
      <w:pPr>
        <w:pStyle w:val="a5"/>
        <w:widowControl/>
        <w:adjustRightInd w:val="0"/>
        <w:snapToGrid w:val="0"/>
      </w:pPr>
      <w:r w:rsidRPr="000B2B22">
        <w:t>PFS subgroup analyses by disease stage and debulking status are summarised in Table 19. These results demonstrate robustness of the primary analysis of PFS as shown in Table 18.</w:t>
      </w:r>
    </w:p>
    <w:p w14:paraId="57F4F28F" w14:textId="77777777" w:rsidR="00373D33" w:rsidRPr="000B2B22" w:rsidRDefault="00373D33" w:rsidP="0077368B">
      <w:pPr>
        <w:widowControl/>
        <w:rPr>
          <w:rFonts w:ascii="Times New Roman" w:eastAsia="Times New Roman" w:hAnsi="Times New Roman"/>
          <w:b/>
          <w:bCs/>
        </w:rPr>
      </w:pPr>
      <w:r w:rsidRPr="000B2B22">
        <w:br w:type="page"/>
      </w:r>
    </w:p>
    <w:p w14:paraId="2AF20468" w14:textId="6EF9A829" w:rsidR="00047E69" w:rsidRPr="001762AB" w:rsidRDefault="00DB7BA6" w:rsidP="001762AB">
      <w:pPr>
        <w:ind w:left="1134" w:hanging="1134"/>
        <w:rPr>
          <w:rFonts w:ascii="Times New Roman" w:hAnsi="Times New Roman" w:cs="Times New Roman"/>
          <w:b/>
          <w:bCs/>
        </w:rPr>
      </w:pPr>
      <w:r w:rsidRPr="001762AB">
        <w:rPr>
          <w:rFonts w:ascii="Times New Roman" w:hAnsi="Times New Roman" w:cs="Times New Roman"/>
          <w:b/>
          <w:bCs/>
        </w:rPr>
        <w:lastRenderedPageBreak/>
        <w:t>Table 19</w:t>
      </w:r>
      <w:r w:rsidRPr="001762AB">
        <w:rPr>
          <w:rFonts w:ascii="Times New Roman" w:hAnsi="Times New Roman" w:cs="Times New Roman"/>
          <w:b/>
          <w:bCs/>
        </w:rPr>
        <w:tab/>
      </w:r>
      <w:r w:rsidR="00C210A5" w:rsidRPr="001762AB">
        <w:rPr>
          <w:rFonts w:ascii="Times New Roman" w:hAnsi="Times New Roman" w:cs="Times New Roman"/>
          <w:b/>
          <w:bCs/>
        </w:rPr>
        <w:t>PFS</w:t>
      </w:r>
      <w:r w:rsidR="00C210A5" w:rsidRPr="001762AB">
        <w:rPr>
          <w:rFonts w:ascii="Times New Roman" w:hAnsi="Times New Roman" w:cs="Times New Roman"/>
          <w:b/>
          <w:bCs/>
          <w:vertAlign w:val="superscript"/>
        </w:rPr>
        <w:t>1</w:t>
      </w:r>
      <w:r w:rsidR="00C210A5" w:rsidRPr="001762AB">
        <w:rPr>
          <w:rFonts w:ascii="Times New Roman" w:hAnsi="Times New Roman" w:cs="Times New Roman"/>
          <w:b/>
          <w:bCs/>
        </w:rPr>
        <w:t xml:space="preserve"> results by disease stage and debulking status from study BO17707 (ICON7)</w:t>
      </w:r>
    </w:p>
    <w:p w14:paraId="770E6600" w14:textId="77777777" w:rsidR="00AF607F" w:rsidRPr="00607FAB" w:rsidRDefault="00AF607F" w:rsidP="00C32D39">
      <w:pPr>
        <w:rPr>
          <w:b/>
          <w:bCs/>
        </w:rPr>
      </w:pPr>
    </w:p>
    <w:tbl>
      <w:tblPr>
        <w:tblStyle w:val="ad"/>
        <w:tblW w:w="5000" w:type="pct"/>
        <w:tblLook w:val="04A0" w:firstRow="1" w:lastRow="0" w:firstColumn="1" w:lastColumn="0" w:noHBand="0" w:noVBand="1"/>
      </w:tblPr>
      <w:tblGrid>
        <w:gridCol w:w="3033"/>
        <w:gridCol w:w="3008"/>
        <w:gridCol w:w="3023"/>
      </w:tblGrid>
      <w:tr w:rsidR="00A46B65" w:rsidRPr="00607FAB" w14:paraId="47D5D01F" w14:textId="77777777" w:rsidTr="004228B0">
        <w:tc>
          <w:tcPr>
            <w:tcW w:w="9300" w:type="dxa"/>
            <w:gridSpan w:val="3"/>
          </w:tcPr>
          <w:p w14:paraId="0C0C1D89" w14:textId="4475BC0E" w:rsidR="00047E69" w:rsidRPr="00607FAB" w:rsidRDefault="00C210A5" w:rsidP="0077368B">
            <w:pPr>
              <w:widowControl/>
              <w:adjustRightInd w:val="0"/>
              <w:rPr>
                <w:rFonts w:ascii="Times New Roman" w:eastAsia="Times New Roman" w:hAnsi="Times New Roman" w:cs="Times New Roman"/>
                <w:b/>
                <w:bCs/>
              </w:rPr>
            </w:pPr>
            <w:r w:rsidRPr="00607FAB">
              <w:rPr>
                <w:rFonts w:ascii="Times New Roman"/>
                <w:b/>
                <w:bCs/>
              </w:rPr>
              <w:t xml:space="preserve">Randomised patients </w:t>
            </w:r>
            <w:r w:rsidR="00761709">
              <w:rPr>
                <w:rFonts w:ascii="Times New Roman" w:hint="eastAsia"/>
                <w:b/>
                <w:bCs/>
                <w:lang w:eastAsia="ko-KR"/>
              </w:rPr>
              <w:t xml:space="preserve">with </w:t>
            </w:r>
            <w:r w:rsidRPr="00607FAB">
              <w:rPr>
                <w:rFonts w:ascii="Times New Roman"/>
                <w:b/>
                <w:bCs/>
              </w:rPr>
              <w:t>stage III optimally debulked disease</w:t>
            </w:r>
            <w:r w:rsidRPr="00607FAB">
              <w:rPr>
                <w:rFonts w:ascii="Times New Roman"/>
                <w:b/>
                <w:bCs/>
                <w:position w:val="7"/>
                <w:vertAlign w:val="superscript"/>
              </w:rPr>
              <w:t>2,3</w:t>
            </w:r>
          </w:p>
        </w:tc>
      </w:tr>
      <w:tr w:rsidR="00A46B65" w:rsidRPr="00607FAB" w14:paraId="2DD13075" w14:textId="77777777" w:rsidTr="004228B0">
        <w:tc>
          <w:tcPr>
            <w:tcW w:w="3100" w:type="dxa"/>
          </w:tcPr>
          <w:p w14:paraId="709E120F" w14:textId="77777777" w:rsidR="00047E69" w:rsidRPr="00607FAB" w:rsidRDefault="00047E69" w:rsidP="0077368B">
            <w:pPr>
              <w:widowControl/>
              <w:adjustRightInd w:val="0"/>
              <w:rPr>
                <w:rFonts w:ascii="Times New Roman" w:eastAsia="Times New Roman" w:hAnsi="Times New Roman" w:cs="Times New Roman"/>
                <w:b/>
                <w:bCs/>
              </w:rPr>
            </w:pPr>
          </w:p>
        </w:tc>
        <w:tc>
          <w:tcPr>
            <w:tcW w:w="3100" w:type="dxa"/>
          </w:tcPr>
          <w:p w14:paraId="7B27B50B"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CP</w:t>
            </w:r>
          </w:p>
          <w:p w14:paraId="3D5960E8"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(n = 368)</w:t>
            </w:r>
          </w:p>
        </w:tc>
        <w:tc>
          <w:tcPr>
            <w:tcW w:w="3100" w:type="dxa"/>
          </w:tcPr>
          <w:p w14:paraId="28E76C24"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CPB7.5+</w:t>
            </w:r>
          </w:p>
          <w:p w14:paraId="512C5BF9"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(n = 383)</w:t>
            </w:r>
          </w:p>
        </w:tc>
      </w:tr>
      <w:tr w:rsidR="00A46B65" w:rsidRPr="00607FAB" w14:paraId="178E6435" w14:textId="77777777" w:rsidTr="004228B0">
        <w:tc>
          <w:tcPr>
            <w:tcW w:w="3100" w:type="dxa"/>
          </w:tcPr>
          <w:p w14:paraId="4D3CB98B" w14:textId="77777777" w:rsidR="00047E69" w:rsidRPr="00607FAB" w:rsidRDefault="00C210A5" w:rsidP="0077368B">
            <w:pPr>
              <w:widowControl/>
              <w:adjustRightInd w:val="0"/>
              <w:ind w:left="284"/>
              <w:rPr>
                <w:rFonts w:ascii="Times New Roman" w:eastAsia="Times New Roman" w:hAnsi="Times New Roman" w:cs="Times New Roman"/>
                <w:b/>
                <w:bCs/>
              </w:rPr>
            </w:pPr>
            <w:r w:rsidRPr="00607FAB">
              <w:rPr>
                <w:rFonts w:ascii="Times New Roman"/>
              </w:rPr>
              <w:t>Median PFS (months)</w:t>
            </w:r>
          </w:p>
        </w:tc>
        <w:tc>
          <w:tcPr>
            <w:tcW w:w="3100" w:type="dxa"/>
          </w:tcPr>
          <w:p w14:paraId="2DA6D673"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17.7</w:t>
            </w:r>
          </w:p>
        </w:tc>
        <w:tc>
          <w:tcPr>
            <w:tcW w:w="3100" w:type="dxa"/>
          </w:tcPr>
          <w:p w14:paraId="747DC228"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19.3</w:t>
            </w:r>
          </w:p>
        </w:tc>
      </w:tr>
      <w:tr w:rsidR="00A46B65" w:rsidRPr="00607FAB" w14:paraId="21E1060F" w14:textId="77777777" w:rsidTr="004228B0">
        <w:tc>
          <w:tcPr>
            <w:tcW w:w="3100" w:type="dxa"/>
          </w:tcPr>
          <w:p w14:paraId="4CA6F97A" w14:textId="25B3096B" w:rsidR="00047E69" w:rsidRPr="00607FAB" w:rsidRDefault="00C210A5" w:rsidP="0077368B">
            <w:pPr>
              <w:widowControl/>
              <w:adjustRightInd w:val="0"/>
              <w:ind w:left="284"/>
              <w:rPr>
                <w:rFonts w:ascii="Times New Roman" w:eastAsia="Times New Roman" w:hAnsi="Times New Roman" w:cs="Times New Roman"/>
                <w:b/>
                <w:bCs/>
                <w:vertAlign w:val="superscript"/>
              </w:rPr>
            </w:pPr>
            <w:r w:rsidRPr="00607FAB">
              <w:rPr>
                <w:rFonts w:ascii="Times New Roman"/>
              </w:rPr>
              <w:t>Hazard ratio (95% CI)</w:t>
            </w:r>
            <w:r w:rsidRPr="00607FAB">
              <w:rPr>
                <w:rFonts w:ascii="Times New Roman"/>
                <w:position w:val="7"/>
                <w:vertAlign w:val="superscript"/>
              </w:rPr>
              <w:t>4</w:t>
            </w:r>
          </w:p>
        </w:tc>
        <w:tc>
          <w:tcPr>
            <w:tcW w:w="3100" w:type="dxa"/>
          </w:tcPr>
          <w:p w14:paraId="3CBDAE50" w14:textId="77777777" w:rsidR="00047E69" w:rsidRPr="00607FAB" w:rsidRDefault="00047E69" w:rsidP="0077368B">
            <w:pPr>
              <w:widowControl/>
              <w:adjustRightInd w:val="0"/>
              <w:jc w:val="center"/>
              <w:rPr>
                <w:rFonts w:ascii="Times New Roman" w:eastAsia="Times New Roman" w:hAnsi="Times New Roman" w:cs="Times New Roman"/>
                <w:b/>
                <w:bCs/>
              </w:rPr>
            </w:pPr>
          </w:p>
        </w:tc>
        <w:tc>
          <w:tcPr>
            <w:tcW w:w="3100" w:type="dxa"/>
          </w:tcPr>
          <w:p w14:paraId="53D5099B"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0.89</w:t>
            </w:r>
          </w:p>
          <w:p w14:paraId="2EDE5148"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(0.74, 1.07)</w:t>
            </w:r>
          </w:p>
        </w:tc>
      </w:tr>
      <w:tr w:rsidR="00A46B65" w:rsidRPr="00607FAB" w14:paraId="5E2FC40D" w14:textId="77777777" w:rsidTr="004228B0">
        <w:tc>
          <w:tcPr>
            <w:tcW w:w="9300" w:type="dxa"/>
            <w:gridSpan w:val="3"/>
          </w:tcPr>
          <w:p w14:paraId="50B22B30" w14:textId="77777777" w:rsidR="00047E69" w:rsidRPr="00607FAB" w:rsidRDefault="00C210A5" w:rsidP="0077368B">
            <w:pPr>
              <w:widowControl/>
              <w:adjustRightInd w:val="0"/>
              <w:rPr>
                <w:rFonts w:ascii="Times New Roman" w:eastAsia="Times New Roman" w:hAnsi="Times New Roman" w:cs="Times New Roman"/>
                <w:b/>
                <w:bCs/>
              </w:rPr>
            </w:pPr>
            <w:r w:rsidRPr="00607FAB">
              <w:rPr>
                <w:rFonts w:ascii="Times New Roman"/>
                <w:b/>
                <w:bCs/>
              </w:rPr>
              <w:t>Randomised patients with stage III suboptimally debulked disease</w:t>
            </w:r>
            <w:r w:rsidRPr="00607FAB">
              <w:rPr>
                <w:rFonts w:ascii="Times New Roman"/>
                <w:b/>
                <w:bCs/>
                <w:position w:val="7"/>
                <w:vertAlign w:val="superscript"/>
              </w:rPr>
              <w:t>3</w:t>
            </w:r>
          </w:p>
        </w:tc>
      </w:tr>
      <w:tr w:rsidR="00A46B65" w:rsidRPr="00607FAB" w14:paraId="07998E51" w14:textId="77777777" w:rsidTr="004228B0">
        <w:tc>
          <w:tcPr>
            <w:tcW w:w="3100" w:type="dxa"/>
          </w:tcPr>
          <w:p w14:paraId="69810AF9" w14:textId="77777777" w:rsidR="00047E69" w:rsidRPr="00607FAB" w:rsidRDefault="00047E69" w:rsidP="0077368B">
            <w:pPr>
              <w:widowControl/>
              <w:adjustRightInd w:val="0"/>
              <w:rPr>
                <w:rFonts w:ascii="Times New Roman" w:eastAsia="Times New Roman" w:hAnsi="Times New Roman" w:cs="Times New Roman"/>
                <w:b/>
                <w:bCs/>
              </w:rPr>
            </w:pPr>
          </w:p>
        </w:tc>
        <w:tc>
          <w:tcPr>
            <w:tcW w:w="3100" w:type="dxa"/>
          </w:tcPr>
          <w:p w14:paraId="168EF403"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CP</w:t>
            </w:r>
          </w:p>
          <w:p w14:paraId="0533CCBE"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(n = 154)</w:t>
            </w:r>
          </w:p>
        </w:tc>
        <w:tc>
          <w:tcPr>
            <w:tcW w:w="3100" w:type="dxa"/>
          </w:tcPr>
          <w:p w14:paraId="2F424A99"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CPB7.5+</w:t>
            </w:r>
          </w:p>
          <w:p w14:paraId="1D34A48E"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(n = 140)</w:t>
            </w:r>
          </w:p>
        </w:tc>
      </w:tr>
      <w:tr w:rsidR="00A46B65" w:rsidRPr="00607FAB" w14:paraId="44F92112" w14:textId="77777777" w:rsidTr="004228B0">
        <w:tc>
          <w:tcPr>
            <w:tcW w:w="3100" w:type="dxa"/>
          </w:tcPr>
          <w:p w14:paraId="28F56BC8" w14:textId="77777777" w:rsidR="00047E69" w:rsidRPr="00607FAB" w:rsidRDefault="00C210A5" w:rsidP="0077368B">
            <w:pPr>
              <w:widowControl/>
              <w:adjustRightInd w:val="0"/>
              <w:ind w:left="284"/>
              <w:rPr>
                <w:rFonts w:ascii="Times New Roman" w:eastAsia="Times New Roman" w:hAnsi="Times New Roman" w:cs="Times New Roman"/>
                <w:b/>
                <w:bCs/>
              </w:rPr>
            </w:pPr>
            <w:r w:rsidRPr="00607FAB">
              <w:rPr>
                <w:rFonts w:ascii="Times New Roman"/>
              </w:rPr>
              <w:t>Median PFS (months)</w:t>
            </w:r>
          </w:p>
        </w:tc>
        <w:tc>
          <w:tcPr>
            <w:tcW w:w="3100" w:type="dxa"/>
          </w:tcPr>
          <w:p w14:paraId="6A348D87"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10.1</w:t>
            </w:r>
          </w:p>
        </w:tc>
        <w:tc>
          <w:tcPr>
            <w:tcW w:w="3100" w:type="dxa"/>
          </w:tcPr>
          <w:p w14:paraId="7D2664E2"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16.9</w:t>
            </w:r>
          </w:p>
        </w:tc>
      </w:tr>
      <w:tr w:rsidR="00A46B65" w:rsidRPr="00607FAB" w14:paraId="32C86A0D" w14:textId="77777777" w:rsidTr="004228B0">
        <w:tc>
          <w:tcPr>
            <w:tcW w:w="3100" w:type="dxa"/>
          </w:tcPr>
          <w:p w14:paraId="247689D4" w14:textId="77777777" w:rsidR="00047E69" w:rsidRPr="00607FAB" w:rsidRDefault="00C210A5" w:rsidP="0077368B">
            <w:pPr>
              <w:widowControl/>
              <w:adjustRightInd w:val="0"/>
              <w:ind w:left="284"/>
              <w:rPr>
                <w:rFonts w:ascii="Times New Roman" w:eastAsia="Times New Roman" w:hAnsi="Times New Roman" w:cs="Times New Roman"/>
                <w:b/>
                <w:bCs/>
              </w:rPr>
            </w:pPr>
            <w:r w:rsidRPr="00607FAB">
              <w:rPr>
                <w:rFonts w:ascii="Times New Roman"/>
              </w:rPr>
              <w:t>Hazard ratio (95% CI)</w:t>
            </w:r>
            <w:r w:rsidRPr="00607FAB">
              <w:rPr>
                <w:rFonts w:ascii="Times New Roman"/>
                <w:position w:val="7"/>
                <w:vertAlign w:val="superscript"/>
              </w:rPr>
              <w:t>4</w:t>
            </w:r>
          </w:p>
        </w:tc>
        <w:tc>
          <w:tcPr>
            <w:tcW w:w="3100" w:type="dxa"/>
          </w:tcPr>
          <w:p w14:paraId="72925F22" w14:textId="77777777" w:rsidR="00047E69" w:rsidRPr="00607FAB" w:rsidRDefault="00047E69" w:rsidP="0077368B">
            <w:pPr>
              <w:widowControl/>
              <w:adjustRightInd w:val="0"/>
              <w:jc w:val="center"/>
              <w:rPr>
                <w:rFonts w:ascii="Times New Roman" w:eastAsia="Times New Roman" w:hAnsi="Times New Roman" w:cs="Times New Roman"/>
                <w:b/>
                <w:bCs/>
              </w:rPr>
            </w:pPr>
          </w:p>
        </w:tc>
        <w:tc>
          <w:tcPr>
            <w:tcW w:w="3100" w:type="dxa"/>
          </w:tcPr>
          <w:p w14:paraId="74588260"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0.67</w:t>
            </w:r>
          </w:p>
          <w:p w14:paraId="028E93CA"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(0.52, 0.87)</w:t>
            </w:r>
          </w:p>
        </w:tc>
      </w:tr>
      <w:tr w:rsidR="00A46B65" w:rsidRPr="00607FAB" w14:paraId="0A7994BF" w14:textId="77777777" w:rsidTr="004228B0">
        <w:tc>
          <w:tcPr>
            <w:tcW w:w="9300" w:type="dxa"/>
            <w:gridSpan w:val="3"/>
          </w:tcPr>
          <w:p w14:paraId="4D993B02" w14:textId="77777777" w:rsidR="00047E69" w:rsidRPr="00607FAB" w:rsidRDefault="00C210A5" w:rsidP="0077368B">
            <w:pPr>
              <w:widowControl/>
              <w:adjustRightInd w:val="0"/>
              <w:rPr>
                <w:rFonts w:ascii="Times New Roman" w:eastAsia="Times New Roman" w:hAnsi="Times New Roman" w:cs="Times New Roman"/>
                <w:b/>
                <w:bCs/>
              </w:rPr>
            </w:pPr>
            <w:r w:rsidRPr="00607FAB">
              <w:rPr>
                <w:rFonts w:ascii="Times New Roman"/>
                <w:b/>
                <w:bCs/>
              </w:rPr>
              <w:t>Randomised patients with stage IV disease</w:t>
            </w:r>
          </w:p>
        </w:tc>
      </w:tr>
      <w:tr w:rsidR="00A46B65" w:rsidRPr="00607FAB" w14:paraId="7BB72A47" w14:textId="77777777" w:rsidTr="004228B0">
        <w:tc>
          <w:tcPr>
            <w:tcW w:w="3100" w:type="dxa"/>
          </w:tcPr>
          <w:p w14:paraId="754C0EC4" w14:textId="77777777" w:rsidR="00047E69" w:rsidRPr="00607FAB" w:rsidRDefault="00047E69" w:rsidP="0077368B">
            <w:pPr>
              <w:widowControl/>
              <w:adjustRightInd w:val="0"/>
              <w:rPr>
                <w:rFonts w:ascii="Times New Roman" w:eastAsia="Times New Roman" w:hAnsi="Times New Roman" w:cs="Times New Roman"/>
                <w:b/>
                <w:bCs/>
              </w:rPr>
            </w:pPr>
          </w:p>
        </w:tc>
        <w:tc>
          <w:tcPr>
            <w:tcW w:w="3100" w:type="dxa"/>
          </w:tcPr>
          <w:p w14:paraId="01DF7BEE"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CP</w:t>
            </w:r>
          </w:p>
          <w:p w14:paraId="75A1FD59"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(n = 97)</w:t>
            </w:r>
          </w:p>
        </w:tc>
        <w:tc>
          <w:tcPr>
            <w:tcW w:w="3100" w:type="dxa"/>
          </w:tcPr>
          <w:p w14:paraId="62813FC2"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CPB7.5+</w:t>
            </w:r>
          </w:p>
          <w:p w14:paraId="1377F322" w14:textId="77777777" w:rsidR="00047E69" w:rsidRPr="00607FAB" w:rsidRDefault="00C210A5" w:rsidP="0077368B">
            <w:pPr>
              <w:widowControl/>
              <w:adjustRightInd w:val="0"/>
              <w:jc w:val="center"/>
              <w:rPr>
                <w:rFonts w:ascii="Times New Roman" w:eastAsia="Times New Roman" w:hAnsi="Times New Roman" w:cs="Times New Roman"/>
                <w:b/>
                <w:bCs/>
              </w:rPr>
            </w:pPr>
            <w:r w:rsidRPr="00607FAB">
              <w:rPr>
                <w:rFonts w:ascii="Times New Roman"/>
              </w:rPr>
              <w:t>(n = 104)</w:t>
            </w:r>
          </w:p>
        </w:tc>
      </w:tr>
      <w:tr w:rsidR="00A46B65" w:rsidRPr="00607FAB" w14:paraId="76CBB629" w14:textId="77777777" w:rsidTr="004228B0">
        <w:tc>
          <w:tcPr>
            <w:tcW w:w="3100" w:type="dxa"/>
          </w:tcPr>
          <w:p w14:paraId="3CDDD836" w14:textId="77777777" w:rsidR="00047E69" w:rsidRPr="00607FAB" w:rsidRDefault="00C210A5" w:rsidP="0077368B">
            <w:pPr>
              <w:widowControl/>
              <w:adjustRightInd w:val="0"/>
              <w:ind w:left="284"/>
              <w:rPr>
                <w:rFonts w:ascii="Times New Roman" w:eastAsia="Times New Roman" w:hAnsi="Times New Roman" w:cs="Times New Roman"/>
                <w:b/>
                <w:bCs/>
              </w:rPr>
            </w:pPr>
            <w:r w:rsidRPr="00607FAB">
              <w:rPr>
                <w:rFonts w:ascii="Times New Roman"/>
              </w:rPr>
              <w:t>Median PFS (months)</w:t>
            </w:r>
          </w:p>
        </w:tc>
        <w:tc>
          <w:tcPr>
            <w:tcW w:w="3100" w:type="dxa"/>
          </w:tcPr>
          <w:p w14:paraId="25BC512E" w14:textId="77777777" w:rsidR="00047E69" w:rsidRPr="00607FAB" w:rsidRDefault="00C210A5" w:rsidP="0077368B">
            <w:pPr>
              <w:widowControl/>
              <w:adjustRightInd w:val="0"/>
              <w:jc w:val="center"/>
              <w:rPr>
                <w:rFonts w:ascii="Times New Roman"/>
              </w:rPr>
            </w:pPr>
            <w:r w:rsidRPr="00607FAB">
              <w:rPr>
                <w:rFonts w:ascii="Times New Roman"/>
              </w:rPr>
              <w:t>10.1</w:t>
            </w:r>
          </w:p>
        </w:tc>
        <w:tc>
          <w:tcPr>
            <w:tcW w:w="3100" w:type="dxa"/>
          </w:tcPr>
          <w:p w14:paraId="44832914" w14:textId="77777777" w:rsidR="00047E69" w:rsidRPr="00607FAB" w:rsidRDefault="00C210A5" w:rsidP="0077368B">
            <w:pPr>
              <w:widowControl/>
              <w:adjustRightInd w:val="0"/>
              <w:jc w:val="center"/>
              <w:rPr>
                <w:rFonts w:ascii="Times New Roman"/>
              </w:rPr>
            </w:pPr>
            <w:r w:rsidRPr="00607FAB">
              <w:rPr>
                <w:rFonts w:ascii="Times New Roman"/>
              </w:rPr>
              <w:t>13.5</w:t>
            </w:r>
          </w:p>
        </w:tc>
      </w:tr>
      <w:tr w:rsidR="00A46B65" w:rsidRPr="00607FAB" w14:paraId="10A43C75" w14:textId="77777777" w:rsidTr="004228B0">
        <w:tc>
          <w:tcPr>
            <w:tcW w:w="3100" w:type="dxa"/>
          </w:tcPr>
          <w:p w14:paraId="00183131" w14:textId="607D0DA2" w:rsidR="00047E69" w:rsidRPr="00607FAB" w:rsidRDefault="00C210A5" w:rsidP="0077368B">
            <w:pPr>
              <w:widowControl/>
              <w:adjustRightInd w:val="0"/>
              <w:ind w:left="284"/>
              <w:rPr>
                <w:rFonts w:ascii="Times New Roman" w:eastAsia="Times New Roman" w:hAnsi="Times New Roman" w:cs="Times New Roman"/>
                <w:b/>
                <w:bCs/>
              </w:rPr>
            </w:pPr>
            <w:r w:rsidRPr="00607FAB">
              <w:rPr>
                <w:rFonts w:ascii="Times New Roman"/>
              </w:rPr>
              <w:t xml:space="preserve">Hazard </w:t>
            </w:r>
            <w:r w:rsidR="00AD6B3A" w:rsidRPr="00607FAB">
              <w:rPr>
                <w:rFonts w:ascii="Times New Roman"/>
              </w:rPr>
              <w:t>r</w:t>
            </w:r>
            <w:r w:rsidRPr="00607FAB">
              <w:rPr>
                <w:rFonts w:ascii="Times New Roman"/>
              </w:rPr>
              <w:t>atio (95% CI)</w:t>
            </w:r>
            <w:r w:rsidRPr="00607FAB">
              <w:rPr>
                <w:rFonts w:ascii="Times New Roman"/>
                <w:position w:val="7"/>
                <w:vertAlign w:val="superscript"/>
              </w:rPr>
              <w:t>4</w:t>
            </w:r>
          </w:p>
        </w:tc>
        <w:tc>
          <w:tcPr>
            <w:tcW w:w="3100" w:type="dxa"/>
          </w:tcPr>
          <w:p w14:paraId="3B23E6AA" w14:textId="77777777" w:rsidR="00047E69" w:rsidRPr="00607FAB" w:rsidRDefault="00047E69" w:rsidP="0077368B">
            <w:pPr>
              <w:widowControl/>
              <w:adjustRightInd w:val="0"/>
              <w:jc w:val="center"/>
              <w:rPr>
                <w:rFonts w:ascii="Times New Roman"/>
              </w:rPr>
            </w:pPr>
          </w:p>
        </w:tc>
        <w:tc>
          <w:tcPr>
            <w:tcW w:w="3100" w:type="dxa"/>
          </w:tcPr>
          <w:p w14:paraId="6B54D4A2" w14:textId="77777777" w:rsidR="00047E69" w:rsidRPr="00607FAB" w:rsidRDefault="00C210A5" w:rsidP="0077368B">
            <w:pPr>
              <w:widowControl/>
              <w:adjustRightInd w:val="0"/>
              <w:jc w:val="center"/>
              <w:rPr>
                <w:rFonts w:ascii="Times New Roman"/>
              </w:rPr>
            </w:pPr>
            <w:r w:rsidRPr="00607FAB">
              <w:rPr>
                <w:rFonts w:ascii="Times New Roman"/>
              </w:rPr>
              <w:t>0.74</w:t>
            </w:r>
          </w:p>
          <w:p w14:paraId="306E4044" w14:textId="77777777" w:rsidR="00047E69" w:rsidRPr="00607FAB" w:rsidRDefault="00C210A5" w:rsidP="0077368B">
            <w:pPr>
              <w:widowControl/>
              <w:adjustRightInd w:val="0"/>
              <w:jc w:val="center"/>
              <w:rPr>
                <w:rFonts w:ascii="Times New Roman"/>
              </w:rPr>
            </w:pPr>
            <w:r w:rsidRPr="00607FAB">
              <w:rPr>
                <w:rFonts w:ascii="Times New Roman"/>
              </w:rPr>
              <w:t>(0.55, 1.01)</w:t>
            </w:r>
          </w:p>
        </w:tc>
      </w:tr>
    </w:tbl>
    <w:p w14:paraId="07B0207C" w14:textId="3880EFCC" w:rsidR="00047E69" w:rsidRPr="00607FAB" w:rsidRDefault="00C210A5" w:rsidP="0077368B">
      <w:pPr>
        <w:widowControl/>
        <w:adjustRightInd w:val="0"/>
        <w:snapToGrid w:val="0"/>
        <w:rPr>
          <w:rFonts w:ascii="Times New Roman" w:eastAsia="Times New Roman" w:hAnsi="Times New Roman" w:cs="Times New Roman"/>
          <w:sz w:val="20"/>
          <w:szCs w:val="20"/>
        </w:rPr>
      </w:pPr>
      <w:r w:rsidRPr="00607FAB">
        <w:rPr>
          <w:rFonts w:ascii="Times New Roman"/>
          <w:position w:val="7"/>
          <w:sz w:val="13"/>
        </w:rPr>
        <w:t xml:space="preserve">1 </w:t>
      </w:r>
      <w:r w:rsidRPr="00607FAB">
        <w:rPr>
          <w:rFonts w:ascii="Times New Roman"/>
          <w:sz w:val="20"/>
        </w:rPr>
        <w:t>Investigator assessed PFS analysis with data cut</w:t>
      </w:r>
      <w:r w:rsidR="00FD0731" w:rsidRPr="00607FAB">
        <w:rPr>
          <w:rFonts w:ascii="Times New Roman"/>
          <w:sz w:val="20"/>
        </w:rPr>
        <w:noBreakHyphen/>
      </w:r>
      <w:r w:rsidRPr="00607FAB">
        <w:rPr>
          <w:rFonts w:ascii="Times New Roman"/>
          <w:sz w:val="20"/>
        </w:rPr>
        <w:t>off date of 30 November 2010.</w:t>
      </w:r>
    </w:p>
    <w:p w14:paraId="0ADAEF92" w14:textId="77777777" w:rsidR="00047E69" w:rsidRPr="00607FAB" w:rsidRDefault="00C210A5" w:rsidP="0077368B">
      <w:pPr>
        <w:widowControl/>
        <w:adjustRightInd w:val="0"/>
        <w:snapToGrid w:val="0"/>
        <w:rPr>
          <w:rFonts w:ascii="Times New Roman" w:eastAsia="Times New Roman" w:hAnsi="Times New Roman" w:cs="Times New Roman"/>
          <w:sz w:val="20"/>
          <w:szCs w:val="20"/>
        </w:rPr>
      </w:pPr>
      <w:r w:rsidRPr="00607FAB">
        <w:rPr>
          <w:rFonts w:ascii="Times New Roman"/>
          <w:position w:val="7"/>
          <w:sz w:val="13"/>
        </w:rPr>
        <w:t xml:space="preserve">2 </w:t>
      </w:r>
      <w:r w:rsidRPr="00607FAB">
        <w:rPr>
          <w:rFonts w:ascii="Times New Roman"/>
          <w:sz w:val="20"/>
        </w:rPr>
        <w:t>With or without gross residual disease.</w:t>
      </w:r>
    </w:p>
    <w:p w14:paraId="0C256233" w14:textId="77777777" w:rsidR="00047E69" w:rsidRPr="00607FAB" w:rsidRDefault="00C210A5" w:rsidP="0077368B">
      <w:pPr>
        <w:widowControl/>
        <w:adjustRightInd w:val="0"/>
        <w:snapToGrid w:val="0"/>
        <w:rPr>
          <w:rFonts w:ascii="Times New Roman" w:eastAsia="Times New Roman" w:hAnsi="Times New Roman" w:cs="Times New Roman"/>
          <w:sz w:val="20"/>
          <w:szCs w:val="20"/>
        </w:rPr>
      </w:pPr>
      <w:r w:rsidRPr="00607FAB">
        <w:rPr>
          <w:rFonts w:ascii="Times New Roman"/>
          <w:position w:val="7"/>
          <w:sz w:val="13"/>
        </w:rPr>
        <w:t xml:space="preserve">3 </w:t>
      </w:r>
      <w:r w:rsidRPr="00607FAB">
        <w:rPr>
          <w:rFonts w:ascii="Times New Roman"/>
          <w:sz w:val="20"/>
        </w:rPr>
        <w:t>5.8% of the overall randomised patient population had Stage IIIB disease.</w:t>
      </w:r>
    </w:p>
    <w:p w14:paraId="1134EDCF" w14:textId="77777777" w:rsidR="00047E69" w:rsidRPr="00607FAB" w:rsidRDefault="00C210A5" w:rsidP="0077368B">
      <w:pPr>
        <w:widowControl/>
        <w:adjustRightInd w:val="0"/>
        <w:snapToGrid w:val="0"/>
        <w:rPr>
          <w:rFonts w:ascii="Times New Roman" w:eastAsia="Times New Roman" w:hAnsi="Times New Roman" w:cs="Times New Roman"/>
          <w:sz w:val="20"/>
          <w:szCs w:val="20"/>
        </w:rPr>
      </w:pPr>
      <w:r w:rsidRPr="00607FAB">
        <w:rPr>
          <w:rFonts w:ascii="Times New Roman"/>
          <w:position w:val="7"/>
          <w:sz w:val="13"/>
        </w:rPr>
        <w:t xml:space="preserve">4 </w:t>
      </w:r>
      <w:r w:rsidRPr="00607FAB">
        <w:rPr>
          <w:rFonts w:ascii="Times New Roman"/>
          <w:sz w:val="20"/>
        </w:rPr>
        <w:t>Relative to the control arm.</w:t>
      </w:r>
    </w:p>
    <w:p w14:paraId="3693E947" w14:textId="77777777" w:rsidR="00047E69" w:rsidRPr="00607FAB" w:rsidRDefault="00047E69" w:rsidP="0077368B">
      <w:pPr>
        <w:widowControl/>
        <w:adjustRightInd w:val="0"/>
        <w:snapToGrid w:val="0"/>
        <w:rPr>
          <w:rFonts w:ascii="Times New Roman" w:eastAsia="Times New Roman" w:hAnsi="Times New Roman" w:cs="Times New Roman"/>
          <w:sz w:val="21"/>
          <w:szCs w:val="21"/>
        </w:rPr>
      </w:pPr>
    </w:p>
    <w:p w14:paraId="636922C8" w14:textId="77777777" w:rsidR="00047E69" w:rsidRPr="00607FAB" w:rsidRDefault="00C210A5" w:rsidP="0077368B">
      <w:pPr>
        <w:widowControl/>
        <w:adjustRightInd w:val="0"/>
        <w:snapToGrid w:val="0"/>
        <w:rPr>
          <w:rFonts w:ascii="Times New Roman" w:eastAsia="Times New Roman" w:hAnsi="Times New Roman" w:cs="Times New Roman"/>
        </w:rPr>
      </w:pPr>
      <w:r w:rsidRPr="00607FAB">
        <w:rPr>
          <w:rFonts w:ascii="Times New Roman"/>
          <w:i/>
        </w:rPr>
        <w:t>Recurrent ovarian cancer</w:t>
      </w:r>
    </w:p>
    <w:p w14:paraId="53683244" w14:textId="77777777" w:rsidR="00047E69" w:rsidRPr="00607FAB" w:rsidRDefault="00047E69" w:rsidP="0077368B">
      <w:pPr>
        <w:widowControl/>
        <w:adjustRightInd w:val="0"/>
        <w:snapToGrid w:val="0"/>
        <w:rPr>
          <w:rFonts w:ascii="Times New Roman" w:eastAsia="Times New Roman" w:hAnsi="Times New Roman" w:cs="Times New Roman"/>
          <w:i/>
        </w:rPr>
      </w:pPr>
    </w:p>
    <w:p w14:paraId="5F5D2BD9" w14:textId="46EA2B98" w:rsidR="00047E69" w:rsidRPr="00607FAB" w:rsidRDefault="00C210A5" w:rsidP="0077368B">
      <w:pPr>
        <w:pStyle w:val="a5"/>
        <w:widowControl/>
        <w:adjustRightInd w:val="0"/>
        <w:snapToGrid w:val="0"/>
      </w:pPr>
      <w:r w:rsidRPr="00607FAB">
        <w:t>The safety and efficacy of bevacizumab in the treatment of recurrent epithelial ovarian, fallopian tube or primary peritoneal cancer was studied in three phase III trials (AVF4095g, MO22224 and GOG</w:t>
      </w:r>
      <w:r w:rsidR="00FD0731" w:rsidRPr="00607FAB">
        <w:noBreakHyphen/>
      </w:r>
      <w:r w:rsidRPr="00607FAB">
        <w:t>0213) with different patient populations and chemotherapy regimens.</w:t>
      </w:r>
    </w:p>
    <w:p w14:paraId="1468192C" w14:textId="77777777" w:rsidR="00047E69" w:rsidRPr="00607FAB" w:rsidRDefault="00047E69" w:rsidP="0077368B">
      <w:pPr>
        <w:widowControl/>
        <w:adjustRightInd w:val="0"/>
        <w:snapToGrid w:val="0"/>
        <w:rPr>
          <w:rFonts w:ascii="Times New Roman" w:eastAsia="Times New Roman" w:hAnsi="Times New Roman" w:cs="Times New Roman"/>
        </w:rPr>
      </w:pPr>
    </w:p>
    <w:p w14:paraId="789A71B1" w14:textId="20972FE0" w:rsidR="00047E69" w:rsidRPr="00607FAB" w:rsidRDefault="00C210A5" w:rsidP="0077368B">
      <w:pPr>
        <w:pStyle w:val="a5"/>
        <w:widowControl/>
        <w:numPr>
          <w:ilvl w:val="0"/>
          <w:numId w:val="11"/>
        </w:numPr>
        <w:tabs>
          <w:tab w:val="left" w:pos="683"/>
        </w:tabs>
        <w:adjustRightInd w:val="0"/>
        <w:snapToGrid w:val="0"/>
        <w:ind w:left="567" w:hanging="567"/>
      </w:pPr>
      <w:r w:rsidRPr="00607FAB">
        <w:t>AVF4095g evaluated the efficacy and safety of bevacizumab in combination with carboplatin and gemcitabine, followed by bevacizumab as a single agent in patients with platinum</w:t>
      </w:r>
      <w:r w:rsidR="00FD0731" w:rsidRPr="00607FAB">
        <w:noBreakHyphen/>
      </w:r>
      <w:r w:rsidRPr="00607FAB">
        <w:t>sensitive recurrent epithelial ovarian, fallopian tube or primary peritoneal cancer.</w:t>
      </w:r>
    </w:p>
    <w:p w14:paraId="580882CB" w14:textId="21A89345" w:rsidR="00047E69" w:rsidRPr="00607FAB" w:rsidRDefault="00C210A5" w:rsidP="0077368B">
      <w:pPr>
        <w:pStyle w:val="a5"/>
        <w:widowControl/>
        <w:numPr>
          <w:ilvl w:val="0"/>
          <w:numId w:val="11"/>
        </w:numPr>
        <w:tabs>
          <w:tab w:val="left" w:pos="683"/>
        </w:tabs>
        <w:adjustRightInd w:val="0"/>
        <w:snapToGrid w:val="0"/>
        <w:ind w:left="567" w:hanging="567"/>
      </w:pPr>
      <w:r w:rsidRPr="00607FAB">
        <w:t>GOG</w:t>
      </w:r>
      <w:r w:rsidR="00FD0731" w:rsidRPr="00607FAB">
        <w:noBreakHyphen/>
      </w:r>
      <w:r w:rsidRPr="00607FAB">
        <w:t>0213 evaluated the efficacy and safety of bevacizumab in combination with carboplatin and paclitaxel, followed by bevacizumab as a single agent in patients with platinum</w:t>
      </w:r>
      <w:r w:rsidR="00FD0731" w:rsidRPr="00607FAB">
        <w:noBreakHyphen/>
      </w:r>
      <w:r w:rsidRPr="00607FAB">
        <w:t>sensitive recurrent epithelial ovarian, fallopian tube or primary peritoneal cancer.</w:t>
      </w:r>
    </w:p>
    <w:p w14:paraId="598E8A60" w14:textId="5B268818" w:rsidR="00047E69" w:rsidRPr="00607FAB" w:rsidRDefault="00C210A5" w:rsidP="0077368B">
      <w:pPr>
        <w:pStyle w:val="a5"/>
        <w:widowControl/>
        <w:numPr>
          <w:ilvl w:val="0"/>
          <w:numId w:val="11"/>
        </w:numPr>
        <w:tabs>
          <w:tab w:val="left" w:pos="683"/>
        </w:tabs>
        <w:adjustRightInd w:val="0"/>
        <w:snapToGrid w:val="0"/>
        <w:ind w:left="567" w:hanging="567"/>
      </w:pPr>
      <w:r w:rsidRPr="00607FAB">
        <w:t>MO22224 evaluated the efficacy and safety of bevacizumab in combination with paclitaxel, topotecan, or pegylated liposomal doxorubicin in patients with platinum</w:t>
      </w:r>
      <w:r w:rsidR="00FD0731" w:rsidRPr="00607FAB">
        <w:noBreakHyphen/>
      </w:r>
      <w:r w:rsidRPr="00607FAB">
        <w:t>resistant recurrent epithelial ovarian, fallopian tube or primary peritoneal cancer.</w:t>
      </w:r>
    </w:p>
    <w:p w14:paraId="4C5F5C8A" w14:textId="77777777" w:rsidR="00047E69" w:rsidRPr="00607FAB" w:rsidRDefault="00047E69" w:rsidP="0077368B">
      <w:pPr>
        <w:widowControl/>
        <w:adjustRightInd w:val="0"/>
        <w:snapToGrid w:val="0"/>
        <w:rPr>
          <w:rFonts w:ascii="Times New Roman" w:eastAsia="Times New Roman" w:hAnsi="Times New Roman" w:cs="Times New Roman"/>
        </w:rPr>
      </w:pPr>
    </w:p>
    <w:p w14:paraId="016E07E8" w14:textId="77777777" w:rsidR="00047E69" w:rsidRPr="00607FAB" w:rsidRDefault="00C210A5" w:rsidP="0077368B">
      <w:pPr>
        <w:widowControl/>
        <w:adjustRightInd w:val="0"/>
        <w:snapToGrid w:val="0"/>
        <w:rPr>
          <w:rFonts w:ascii="Times New Roman" w:eastAsia="Times New Roman" w:hAnsi="Times New Roman" w:cs="Times New Roman"/>
        </w:rPr>
      </w:pPr>
      <w:r w:rsidRPr="00607FAB">
        <w:rPr>
          <w:rFonts w:ascii="Times New Roman"/>
          <w:i/>
        </w:rPr>
        <w:t>AVF4095g</w:t>
      </w:r>
    </w:p>
    <w:p w14:paraId="753206BA" w14:textId="20ED5880" w:rsidR="00047E69" w:rsidRPr="00607FAB" w:rsidRDefault="00C210A5" w:rsidP="0077368B">
      <w:pPr>
        <w:pStyle w:val="a5"/>
        <w:widowControl/>
        <w:adjustRightInd w:val="0"/>
        <w:snapToGrid w:val="0"/>
      </w:pPr>
      <w:r w:rsidRPr="00607FAB">
        <w:t>The safety and efficacy of bevacizumab in the treatment of patients with platinum</w:t>
      </w:r>
      <w:r w:rsidR="00FD0731" w:rsidRPr="00607FAB">
        <w:noBreakHyphen/>
      </w:r>
      <w:r w:rsidRPr="00607FAB">
        <w:t>sensitive, recurrent epithelial ovarian, fallopian tube or primary peritoneal cancer, who have not received prior chemotherapy in the recurrent setting or prior bevacizumab treatment, was studied in a phase III randomised, double</w:t>
      </w:r>
      <w:r w:rsidR="00FD0731" w:rsidRPr="00607FAB">
        <w:noBreakHyphen/>
      </w:r>
      <w:r w:rsidRPr="00607FAB">
        <w:t>blind, placebo</w:t>
      </w:r>
      <w:r w:rsidR="00FD0731" w:rsidRPr="00607FAB">
        <w:noBreakHyphen/>
      </w:r>
      <w:r w:rsidRPr="00607FAB">
        <w:t>controlled trial (AVF4095g). The study compared the effect of adding bevacizumab to carboplatin and gemcitabine chemotherapy and continuing bevacizumab as a single agent to progression, to carboplatin and gemcitabine alone.</w:t>
      </w:r>
    </w:p>
    <w:p w14:paraId="1B38F74C" w14:textId="77777777" w:rsidR="00047E69" w:rsidRPr="00607FAB" w:rsidRDefault="00047E69" w:rsidP="0077368B">
      <w:pPr>
        <w:widowControl/>
        <w:adjustRightInd w:val="0"/>
        <w:snapToGrid w:val="0"/>
        <w:rPr>
          <w:rFonts w:ascii="Times New Roman" w:eastAsia="Times New Roman" w:hAnsi="Times New Roman" w:cs="Times New Roman"/>
          <w:sz w:val="21"/>
          <w:szCs w:val="21"/>
        </w:rPr>
      </w:pPr>
    </w:p>
    <w:p w14:paraId="7373E903" w14:textId="4C68E7FD" w:rsidR="00047E69" w:rsidRPr="00607FAB" w:rsidRDefault="00C210A5" w:rsidP="0077368B">
      <w:pPr>
        <w:pStyle w:val="a5"/>
        <w:widowControl/>
        <w:adjustRightInd w:val="0"/>
        <w:snapToGrid w:val="0"/>
      </w:pPr>
      <w:r w:rsidRPr="00607FAB">
        <w:t>Only patients with histologically documented ovarian, primary peritoneal, or fallopian tube carcinoma that had recurred &gt; 6 months after platinum</w:t>
      </w:r>
      <w:r w:rsidR="00FD0731" w:rsidRPr="00607FAB">
        <w:noBreakHyphen/>
      </w:r>
      <w:r w:rsidRPr="00607FAB">
        <w:t>based chemotherapy and who had not received chemotherapy in the recurrent setting and who have not received prior therapy with bevacizumab or other VEGF inhibitors or VEGF receptor–targeted agents were included in the study.</w:t>
      </w:r>
    </w:p>
    <w:p w14:paraId="1C00682F" w14:textId="77777777" w:rsidR="00A135EE" w:rsidRPr="00607FAB" w:rsidRDefault="00A135EE" w:rsidP="0077368B">
      <w:pPr>
        <w:pStyle w:val="a5"/>
        <w:widowControl/>
        <w:adjustRightInd w:val="0"/>
        <w:snapToGrid w:val="0"/>
        <w:ind w:left="567" w:hanging="567"/>
      </w:pPr>
    </w:p>
    <w:p w14:paraId="7A7350B0" w14:textId="041B07A1" w:rsidR="00047E69" w:rsidRPr="00607FAB" w:rsidRDefault="00C210A5" w:rsidP="0077368B">
      <w:pPr>
        <w:pStyle w:val="a5"/>
        <w:widowControl/>
        <w:adjustRightInd w:val="0"/>
        <w:snapToGrid w:val="0"/>
        <w:ind w:left="567" w:hanging="567"/>
      </w:pPr>
      <w:r w:rsidRPr="00607FAB">
        <w:t>A total of 484 patients with measurable disease were randomised 1:1 to either:</w:t>
      </w:r>
    </w:p>
    <w:p w14:paraId="34EB6414" w14:textId="77777777" w:rsidR="00047E69" w:rsidRPr="00607FAB" w:rsidRDefault="00C210A5" w:rsidP="0077368B">
      <w:pPr>
        <w:pStyle w:val="a5"/>
        <w:widowControl/>
        <w:numPr>
          <w:ilvl w:val="0"/>
          <w:numId w:val="11"/>
        </w:numPr>
        <w:tabs>
          <w:tab w:val="left" w:pos="683"/>
        </w:tabs>
        <w:adjustRightInd w:val="0"/>
        <w:snapToGrid w:val="0"/>
        <w:ind w:left="567" w:hanging="567"/>
      </w:pPr>
      <w:r w:rsidRPr="00607FAB">
        <w:lastRenderedPageBreak/>
        <w:t>Carboplatin (AUC4, Day 1) and gemcitabine (1000 mg/m</w:t>
      </w:r>
      <w:r w:rsidRPr="00607FAB">
        <w:rPr>
          <w:position w:val="9"/>
          <w:sz w:val="14"/>
        </w:rPr>
        <w:t xml:space="preserve">2 </w:t>
      </w:r>
      <w:r w:rsidRPr="00607FAB">
        <w:t>on Days 1 and 8) and concurrent placebo every 3 weeks for 6 and up to 10 cycles followed by placebo (every 3 weeks) alone until disease progression or unacceptable toxicity</w:t>
      </w:r>
    </w:p>
    <w:p w14:paraId="456B1BB9" w14:textId="77777777" w:rsidR="00047E69" w:rsidRPr="00607FAB" w:rsidRDefault="00C210A5" w:rsidP="0077368B">
      <w:pPr>
        <w:pStyle w:val="a5"/>
        <w:widowControl/>
        <w:numPr>
          <w:ilvl w:val="0"/>
          <w:numId w:val="11"/>
        </w:numPr>
        <w:tabs>
          <w:tab w:val="left" w:pos="683"/>
        </w:tabs>
        <w:adjustRightInd w:val="0"/>
        <w:snapToGrid w:val="0"/>
        <w:ind w:left="567" w:hanging="567"/>
      </w:pPr>
      <w:r w:rsidRPr="00607FAB">
        <w:t>Carboplatin (AUC4, Day 1) and gemcitabine (1000 mg/m</w:t>
      </w:r>
      <w:r w:rsidRPr="00607FAB">
        <w:rPr>
          <w:position w:val="9"/>
          <w:sz w:val="14"/>
        </w:rPr>
        <w:t xml:space="preserve">2 </w:t>
      </w:r>
      <w:r w:rsidRPr="00607FAB">
        <w:t>on Days 1 and 8) and concurrent bevacizumab (15 mg/kg Day 1) every 3 weeks for 6 and up to 10 cycles followed by bevacizumab (15 mg/kg every 3 weeks) alone until disease progression or unacceptable toxicity</w:t>
      </w:r>
    </w:p>
    <w:p w14:paraId="3913547C" w14:textId="77777777" w:rsidR="00047E69" w:rsidRPr="00607FAB" w:rsidRDefault="00047E69" w:rsidP="0077368B">
      <w:pPr>
        <w:widowControl/>
        <w:adjustRightInd w:val="0"/>
        <w:snapToGrid w:val="0"/>
        <w:ind w:left="567" w:hanging="567"/>
        <w:rPr>
          <w:rFonts w:ascii="Times New Roman" w:eastAsia="Times New Roman" w:hAnsi="Times New Roman" w:cs="Times New Roman"/>
        </w:rPr>
      </w:pPr>
    </w:p>
    <w:p w14:paraId="359CEF71" w14:textId="7F7F0485" w:rsidR="00047E69" w:rsidRPr="00607FAB" w:rsidRDefault="00C210A5" w:rsidP="0077368B">
      <w:pPr>
        <w:pStyle w:val="a5"/>
        <w:widowControl/>
        <w:adjustRightInd w:val="0"/>
        <w:snapToGrid w:val="0"/>
      </w:pPr>
      <w:r w:rsidRPr="00607FAB">
        <w:t xml:space="preserve">The primary endpoint was </w:t>
      </w:r>
      <w:r w:rsidR="00A135EE" w:rsidRPr="00607FAB">
        <w:t>PFS</w:t>
      </w:r>
      <w:r w:rsidRPr="00607FAB">
        <w:t xml:space="preserve"> based on investigator assessment using modified RECIST 1.0. Additional endpoints included objective response, duration of response, </w:t>
      </w:r>
      <w:r w:rsidR="00410031" w:rsidRPr="00607FAB">
        <w:t>OS</w:t>
      </w:r>
      <w:r w:rsidRPr="00607FAB">
        <w:t xml:space="preserve"> and safety. An independent review of the primary endpoint was also conducted.</w:t>
      </w:r>
    </w:p>
    <w:p w14:paraId="609A8616" w14:textId="77777777" w:rsidR="00047E69" w:rsidRPr="00607FAB" w:rsidRDefault="00047E69" w:rsidP="002E1DD8">
      <w:pPr>
        <w:widowControl/>
        <w:adjustRightInd w:val="0"/>
        <w:snapToGrid w:val="0"/>
        <w:rPr>
          <w:rFonts w:ascii="Times New Roman" w:eastAsia="Times New Roman" w:hAnsi="Times New Roman" w:cs="Times New Roman"/>
          <w:sz w:val="21"/>
          <w:szCs w:val="21"/>
        </w:rPr>
      </w:pPr>
    </w:p>
    <w:p w14:paraId="2316D123" w14:textId="77777777" w:rsidR="00047E69" w:rsidRPr="00607FAB" w:rsidRDefault="00C210A5" w:rsidP="002E1DD8">
      <w:pPr>
        <w:pStyle w:val="a5"/>
        <w:widowControl/>
        <w:adjustRightInd w:val="0"/>
        <w:snapToGrid w:val="0"/>
        <w:jc w:val="both"/>
      </w:pPr>
      <w:r w:rsidRPr="00607FAB">
        <w:t>The results of this study are summarised in Table 20.</w:t>
      </w:r>
    </w:p>
    <w:p w14:paraId="3D61E8B5" w14:textId="77777777" w:rsidR="00047E69" w:rsidRPr="00607FAB" w:rsidRDefault="00047E69" w:rsidP="002E1DD8">
      <w:pPr>
        <w:widowControl/>
        <w:adjustRightInd w:val="0"/>
        <w:snapToGrid w:val="0"/>
        <w:rPr>
          <w:rFonts w:ascii="Times New Roman" w:eastAsia="Times New Roman" w:hAnsi="Times New Roman" w:cs="Times New Roman"/>
        </w:rPr>
      </w:pPr>
    </w:p>
    <w:p w14:paraId="70293C0C" w14:textId="79E0F7DD" w:rsidR="00047E69" w:rsidRPr="001762AB" w:rsidRDefault="00C210A5" w:rsidP="001762AB">
      <w:pPr>
        <w:ind w:left="1134" w:hanging="1134"/>
        <w:rPr>
          <w:rFonts w:ascii="Times New Roman" w:hAnsi="Times New Roman" w:cs="Times New Roman"/>
          <w:b/>
          <w:bCs/>
        </w:rPr>
      </w:pPr>
      <w:r w:rsidRPr="001762AB">
        <w:rPr>
          <w:rFonts w:ascii="Times New Roman" w:hAnsi="Times New Roman" w:cs="Times New Roman"/>
          <w:b/>
          <w:bCs/>
        </w:rPr>
        <w:t>Table 20   Efficacy results from study AVF4095g</w:t>
      </w:r>
    </w:p>
    <w:p w14:paraId="4691E061" w14:textId="77777777" w:rsidR="002F3873" w:rsidRPr="00607FAB" w:rsidRDefault="002F3873" w:rsidP="00C32D39">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2271"/>
        <w:gridCol w:w="1646"/>
        <w:gridCol w:w="1751"/>
        <w:gridCol w:w="1610"/>
        <w:gridCol w:w="67"/>
        <w:gridCol w:w="1717"/>
      </w:tblGrid>
      <w:tr w:rsidR="00A46B65" w:rsidRPr="00607FAB" w14:paraId="7E7314A3" w14:textId="77777777" w:rsidTr="004228B0">
        <w:tc>
          <w:tcPr>
            <w:tcW w:w="9278" w:type="dxa"/>
            <w:gridSpan w:val="6"/>
            <w:tcBorders>
              <w:top w:val="single" w:sz="5" w:space="0" w:color="000000"/>
              <w:left w:val="single" w:sz="5" w:space="0" w:color="000000"/>
              <w:bottom w:val="single" w:sz="5" w:space="0" w:color="000000"/>
              <w:right w:val="single" w:sz="5" w:space="0" w:color="000000"/>
            </w:tcBorders>
          </w:tcPr>
          <w:p w14:paraId="63B3A94F" w14:textId="34BBB6FD" w:rsidR="00047E69" w:rsidRPr="00607FAB" w:rsidRDefault="00C210A5" w:rsidP="002E1DD8">
            <w:pPr>
              <w:pStyle w:val="TableParagraph"/>
              <w:widowControl/>
              <w:ind w:left="104"/>
              <w:rPr>
                <w:rFonts w:ascii="Times New Roman" w:eastAsia="Times New Roman" w:hAnsi="Times New Roman" w:cs="Times New Roman"/>
                <w:b/>
                <w:bCs/>
              </w:rPr>
            </w:pPr>
            <w:r w:rsidRPr="00607FAB">
              <w:rPr>
                <w:rFonts w:ascii="Times New Roman"/>
                <w:b/>
                <w:bCs/>
                <w:u w:val="single" w:color="000000"/>
              </w:rPr>
              <w:t>Progression</w:t>
            </w:r>
            <w:r w:rsidR="00FD0731" w:rsidRPr="00607FAB">
              <w:rPr>
                <w:rFonts w:ascii="Times New Roman"/>
                <w:b/>
                <w:bCs/>
                <w:u w:val="single" w:color="000000"/>
              </w:rPr>
              <w:noBreakHyphen/>
            </w:r>
            <w:r w:rsidRPr="00607FAB">
              <w:rPr>
                <w:rFonts w:ascii="Times New Roman"/>
                <w:b/>
                <w:bCs/>
                <w:u w:val="single" w:color="000000"/>
              </w:rPr>
              <w:t>free survival</w:t>
            </w:r>
          </w:p>
        </w:tc>
      </w:tr>
      <w:tr w:rsidR="00A27683" w:rsidRPr="00607FAB" w14:paraId="1D3625B8"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1FEBA25C" w14:textId="77777777" w:rsidR="00047E69" w:rsidRPr="00607FAB" w:rsidRDefault="00047E69" w:rsidP="002E1DD8">
            <w:pPr>
              <w:widowControl/>
            </w:pPr>
          </w:p>
        </w:tc>
        <w:tc>
          <w:tcPr>
            <w:tcW w:w="3478" w:type="dxa"/>
            <w:gridSpan w:val="2"/>
            <w:tcBorders>
              <w:top w:val="single" w:sz="5" w:space="0" w:color="000000"/>
              <w:left w:val="single" w:sz="5" w:space="0" w:color="000000"/>
              <w:bottom w:val="single" w:sz="5" w:space="0" w:color="000000"/>
              <w:right w:val="single" w:sz="5" w:space="0" w:color="000000"/>
            </w:tcBorders>
          </w:tcPr>
          <w:p w14:paraId="2DC061B0" w14:textId="2067CB20" w:rsidR="00047E69" w:rsidRPr="00607FAB" w:rsidRDefault="00C210A5" w:rsidP="002E1DD8">
            <w:pPr>
              <w:pStyle w:val="TableParagraph"/>
              <w:widowControl/>
              <w:ind w:left="666"/>
              <w:rPr>
                <w:rFonts w:ascii="Times New Roman" w:eastAsia="Times New Roman" w:hAnsi="Times New Roman" w:cs="Times New Roman"/>
                <w:b/>
                <w:bCs/>
              </w:rPr>
            </w:pPr>
            <w:r w:rsidRPr="00607FAB">
              <w:rPr>
                <w:rFonts w:ascii="Times New Roman"/>
                <w:b/>
                <w:bCs/>
              </w:rPr>
              <w:t xml:space="preserve">Investigator </w:t>
            </w:r>
            <w:r w:rsidR="00AD6B3A" w:rsidRPr="00607FAB">
              <w:rPr>
                <w:rFonts w:ascii="Times New Roman"/>
                <w:b/>
                <w:bCs/>
              </w:rPr>
              <w:t>assessment</w:t>
            </w:r>
          </w:p>
        </w:tc>
        <w:tc>
          <w:tcPr>
            <w:tcW w:w="3472" w:type="dxa"/>
            <w:gridSpan w:val="3"/>
            <w:tcBorders>
              <w:top w:val="single" w:sz="5" w:space="0" w:color="000000"/>
              <w:left w:val="single" w:sz="5" w:space="0" w:color="000000"/>
              <w:bottom w:val="single" w:sz="5" w:space="0" w:color="000000"/>
              <w:right w:val="single" w:sz="5" w:space="0" w:color="000000"/>
            </w:tcBorders>
          </w:tcPr>
          <w:p w14:paraId="4870749A" w14:textId="48E83B7A" w:rsidR="00047E69" w:rsidRPr="00607FAB" w:rsidRDefault="00C210A5" w:rsidP="002E1DD8">
            <w:pPr>
              <w:pStyle w:val="TableParagraph"/>
              <w:widowControl/>
              <w:ind w:left="915"/>
              <w:rPr>
                <w:rFonts w:ascii="Times New Roman" w:eastAsia="Times New Roman" w:hAnsi="Times New Roman" w:cs="Times New Roman"/>
                <w:b/>
                <w:bCs/>
              </w:rPr>
            </w:pPr>
            <w:r w:rsidRPr="00607FAB">
              <w:rPr>
                <w:rFonts w:ascii="Times New Roman"/>
                <w:b/>
                <w:bCs/>
              </w:rPr>
              <w:t xml:space="preserve">IRC </w:t>
            </w:r>
            <w:r w:rsidR="00AD6B3A" w:rsidRPr="00607FAB">
              <w:rPr>
                <w:rFonts w:ascii="Times New Roman"/>
                <w:b/>
                <w:bCs/>
              </w:rPr>
              <w:t>assessment</w:t>
            </w:r>
          </w:p>
        </w:tc>
      </w:tr>
      <w:tr w:rsidR="00A27683" w:rsidRPr="00607FAB" w14:paraId="1E1791BE"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4151BB4A" w14:textId="77777777" w:rsidR="00047E69" w:rsidRPr="00607FAB" w:rsidRDefault="00047E69" w:rsidP="002E1DD8">
            <w:pPr>
              <w:widowControl/>
            </w:pPr>
          </w:p>
        </w:tc>
        <w:tc>
          <w:tcPr>
            <w:tcW w:w="1685" w:type="dxa"/>
            <w:tcBorders>
              <w:top w:val="single" w:sz="5" w:space="0" w:color="000000"/>
              <w:left w:val="single" w:sz="5" w:space="0" w:color="000000"/>
              <w:bottom w:val="single" w:sz="5" w:space="0" w:color="000000"/>
              <w:right w:val="single" w:sz="5" w:space="0" w:color="000000"/>
            </w:tcBorders>
          </w:tcPr>
          <w:p w14:paraId="778AEF9B"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Placebo+ C/G (n=242)</w:t>
            </w:r>
          </w:p>
        </w:tc>
        <w:tc>
          <w:tcPr>
            <w:tcW w:w="1793" w:type="dxa"/>
            <w:tcBorders>
              <w:top w:val="single" w:sz="5" w:space="0" w:color="000000"/>
              <w:left w:val="single" w:sz="5" w:space="0" w:color="000000"/>
              <w:bottom w:val="single" w:sz="5" w:space="0" w:color="000000"/>
              <w:right w:val="single" w:sz="5" w:space="0" w:color="000000"/>
            </w:tcBorders>
          </w:tcPr>
          <w:p w14:paraId="2816F277" w14:textId="103EA1A6"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Bevac</w:t>
            </w:r>
            <w:r w:rsidR="00AD6B3A" w:rsidRPr="00607FAB">
              <w:rPr>
                <w:rFonts w:ascii="Times New Roman"/>
                <w:b/>
                <w:bCs/>
                <w:lang w:eastAsia="ko-KR"/>
              </w:rPr>
              <w:t>iz</w:t>
            </w:r>
            <w:r w:rsidRPr="00607FAB">
              <w:rPr>
                <w:rFonts w:ascii="Times New Roman"/>
                <w:b/>
                <w:bCs/>
              </w:rPr>
              <w:t>umab + C/G (n=242)</w:t>
            </w:r>
          </w:p>
        </w:tc>
        <w:tc>
          <w:tcPr>
            <w:tcW w:w="1648" w:type="dxa"/>
            <w:tcBorders>
              <w:top w:val="single" w:sz="5" w:space="0" w:color="000000"/>
              <w:left w:val="single" w:sz="5" w:space="0" w:color="000000"/>
              <w:bottom w:val="single" w:sz="5" w:space="0" w:color="000000"/>
              <w:right w:val="single" w:sz="5" w:space="0" w:color="000000"/>
            </w:tcBorders>
          </w:tcPr>
          <w:p w14:paraId="13607B1A"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Placebo+ C/G (n=242)</w:t>
            </w:r>
          </w:p>
        </w:tc>
        <w:tc>
          <w:tcPr>
            <w:tcW w:w="1824" w:type="dxa"/>
            <w:gridSpan w:val="2"/>
            <w:tcBorders>
              <w:top w:val="single" w:sz="5" w:space="0" w:color="000000"/>
              <w:left w:val="single" w:sz="5" w:space="0" w:color="000000"/>
              <w:bottom w:val="single" w:sz="5" w:space="0" w:color="000000"/>
              <w:right w:val="single" w:sz="5" w:space="0" w:color="000000"/>
            </w:tcBorders>
          </w:tcPr>
          <w:p w14:paraId="775F4CF0"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Bevacizumab + C/G (n=242)</w:t>
            </w:r>
          </w:p>
        </w:tc>
      </w:tr>
      <w:tr w:rsidR="00A27683" w:rsidRPr="00607FAB" w14:paraId="28ECC1FC"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093EF7EC" w14:textId="77777777" w:rsidR="00047E69" w:rsidRPr="00607FAB" w:rsidRDefault="00C210A5" w:rsidP="002E1DD8">
            <w:pPr>
              <w:pStyle w:val="TableParagraph"/>
              <w:widowControl/>
              <w:rPr>
                <w:rFonts w:ascii="Times New Roman" w:eastAsia="Times New Roman" w:hAnsi="Times New Roman" w:cs="Times New Roman"/>
                <w:u w:val="single"/>
              </w:rPr>
            </w:pPr>
            <w:r w:rsidRPr="00607FAB">
              <w:rPr>
                <w:rFonts w:ascii="Times New Roman"/>
                <w:i/>
                <w:u w:val="single"/>
              </w:rPr>
              <w:t>Not censored for NPT</w:t>
            </w:r>
          </w:p>
        </w:tc>
        <w:tc>
          <w:tcPr>
            <w:tcW w:w="6950" w:type="dxa"/>
            <w:gridSpan w:val="5"/>
            <w:tcBorders>
              <w:top w:val="single" w:sz="5" w:space="0" w:color="000000"/>
              <w:left w:val="single" w:sz="5" w:space="0" w:color="000000"/>
              <w:bottom w:val="single" w:sz="5" w:space="0" w:color="000000"/>
              <w:right w:val="single" w:sz="5" w:space="0" w:color="000000"/>
            </w:tcBorders>
          </w:tcPr>
          <w:p w14:paraId="4FB9E0AA" w14:textId="77777777" w:rsidR="00047E69" w:rsidRPr="00607FAB" w:rsidRDefault="00047E69" w:rsidP="002E1DD8">
            <w:pPr>
              <w:widowControl/>
              <w:rPr>
                <w:b/>
                <w:bCs/>
              </w:rPr>
            </w:pPr>
          </w:p>
        </w:tc>
      </w:tr>
      <w:tr w:rsidR="00A27683" w:rsidRPr="00607FAB" w14:paraId="06E9FFD9"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1DDAAD6D"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Median PFS (months)</w:t>
            </w:r>
          </w:p>
        </w:tc>
        <w:tc>
          <w:tcPr>
            <w:tcW w:w="1685" w:type="dxa"/>
            <w:tcBorders>
              <w:top w:val="single" w:sz="5" w:space="0" w:color="000000"/>
              <w:left w:val="single" w:sz="5" w:space="0" w:color="000000"/>
              <w:bottom w:val="single" w:sz="5" w:space="0" w:color="000000"/>
              <w:right w:val="single" w:sz="5" w:space="0" w:color="000000"/>
            </w:tcBorders>
          </w:tcPr>
          <w:p w14:paraId="693BF002"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8.4</w:t>
            </w:r>
          </w:p>
        </w:tc>
        <w:tc>
          <w:tcPr>
            <w:tcW w:w="1793" w:type="dxa"/>
            <w:tcBorders>
              <w:top w:val="single" w:sz="5" w:space="0" w:color="000000"/>
              <w:left w:val="single" w:sz="5" w:space="0" w:color="000000"/>
              <w:bottom w:val="single" w:sz="5" w:space="0" w:color="000000"/>
              <w:right w:val="single" w:sz="5" w:space="0" w:color="000000"/>
            </w:tcBorders>
          </w:tcPr>
          <w:p w14:paraId="3B736C85" w14:textId="77777777" w:rsidR="00047E69" w:rsidRPr="00607FAB" w:rsidRDefault="00C210A5" w:rsidP="002E1DD8">
            <w:pPr>
              <w:pStyle w:val="TableParagraph"/>
              <w:widowControl/>
              <w:ind w:left="9"/>
              <w:jc w:val="center"/>
              <w:rPr>
                <w:rFonts w:ascii="Times New Roman" w:eastAsia="Times New Roman" w:hAnsi="Times New Roman" w:cs="Times New Roman"/>
              </w:rPr>
            </w:pPr>
            <w:r w:rsidRPr="00607FAB">
              <w:rPr>
                <w:rFonts w:ascii="Times New Roman"/>
              </w:rPr>
              <w:t>12.4</w:t>
            </w:r>
          </w:p>
        </w:tc>
        <w:tc>
          <w:tcPr>
            <w:tcW w:w="1648" w:type="dxa"/>
            <w:tcBorders>
              <w:top w:val="single" w:sz="5" w:space="0" w:color="000000"/>
              <w:left w:val="single" w:sz="5" w:space="0" w:color="000000"/>
              <w:bottom w:val="single" w:sz="5" w:space="0" w:color="000000"/>
              <w:right w:val="single" w:sz="5" w:space="0" w:color="000000"/>
            </w:tcBorders>
          </w:tcPr>
          <w:p w14:paraId="56170474"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8.6</w:t>
            </w:r>
          </w:p>
        </w:tc>
        <w:tc>
          <w:tcPr>
            <w:tcW w:w="1824" w:type="dxa"/>
            <w:gridSpan w:val="2"/>
            <w:tcBorders>
              <w:top w:val="single" w:sz="5" w:space="0" w:color="000000"/>
              <w:left w:val="single" w:sz="5" w:space="0" w:color="000000"/>
              <w:bottom w:val="single" w:sz="5" w:space="0" w:color="000000"/>
              <w:right w:val="single" w:sz="5" w:space="0" w:color="000000"/>
            </w:tcBorders>
          </w:tcPr>
          <w:p w14:paraId="4C12C3AF"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12.3</w:t>
            </w:r>
          </w:p>
        </w:tc>
      </w:tr>
      <w:tr w:rsidR="00A27683" w:rsidRPr="00607FAB" w14:paraId="3C8DF0C5"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5A08D131"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Hazard ratio (95% CI)</w:t>
            </w:r>
          </w:p>
        </w:tc>
        <w:tc>
          <w:tcPr>
            <w:tcW w:w="3478" w:type="dxa"/>
            <w:gridSpan w:val="2"/>
            <w:tcBorders>
              <w:top w:val="single" w:sz="5" w:space="0" w:color="000000"/>
              <w:left w:val="single" w:sz="5" w:space="0" w:color="000000"/>
              <w:bottom w:val="single" w:sz="5" w:space="0" w:color="000000"/>
              <w:right w:val="single" w:sz="5" w:space="0" w:color="000000"/>
            </w:tcBorders>
          </w:tcPr>
          <w:p w14:paraId="1F4E28D5" w14:textId="77777777" w:rsidR="00047E69" w:rsidRPr="00607FAB" w:rsidRDefault="00C210A5" w:rsidP="002E1DD8">
            <w:pPr>
              <w:pStyle w:val="TableParagraph"/>
              <w:widowControl/>
              <w:ind w:left="838"/>
              <w:rPr>
                <w:rFonts w:ascii="Times New Roman" w:eastAsia="Times New Roman" w:hAnsi="Times New Roman" w:cs="Times New Roman"/>
              </w:rPr>
            </w:pPr>
            <w:r w:rsidRPr="00607FAB">
              <w:rPr>
                <w:rFonts w:ascii="Times New Roman"/>
              </w:rPr>
              <w:t>0.524 [0.425, 0.645]</w:t>
            </w:r>
          </w:p>
        </w:tc>
        <w:tc>
          <w:tcPr>
            <w:tcW w:w="3472" w:type="dxa"/>
            <w:gridSpan w:val="3"/>
            <w:tcBorders>
              <w:top w:val="single" w:sz="5" w:space="0" w:color="000000"/>
              <w:left w:val="single" w:sz="5" w:space="0" w:color="000000"/>
              <w:bottom w:val="single" w:sz="5" w:space="0" w:color="000000"/>
              <w:right w:val="single" w:sz="5" w:space="0" w:color="000000"/>
            </w:tcBorders>
          </w:tcPr>
          <w:p w14:paraId="148139AA" w14:textId="77777777" w:rsidR="00047E69" w:rsidRPr="00607FAB" w:rsidRDefault="00C210A5" w:rsidP="002E1DD8">
            <w:pPr>
              <w:pStyle w:val="TableParagraph"/>
              <w:widowControl/>
              <w:ind w:left="747"/>
              <w:rPr>
                <w:rFonts w:ascii="Times New Roman" w:eastAsia="Times New Roman" w:hAnsi="Times New Roman" w:cs="Times New Roman"/>
              </w:rPr>
            </w:pPr>
            <w:r w:rsidRPr="00607FAB">
              <w:rPr>
                <w:rFonts w:ascii="Times New Roman"/>
              </w:rPr>
              <w:t>0.480 [0.377, 0.613]</w:t>
            </w:r>
          </w:p>
        </w:tc>
      </w:tr>
      <w:tr w:rsidR="00A27683" w:rsidRPr="00607FAB" w14:paraId="31935B45"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2C5A9062"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eastAsia="Times New Roman" w:hAnsi="Times New Roman" w:cs="Times New Roman"/>
              </w:rPr>
              <w:t>p –value</w:t>
            </w:r>
          </w:p>
        </w:tc>
        <w:tc>
          <w:tcPr>
            <w:tcW w:w="3478" w:type="dxa"/>
            <w:gridSpan w:val="2"/>
            <w:tcBorders>
              <w:top w:val="single" w:sz="5" w:space="0" w:color="000000"/>
              <w:left w:val="single" w:sz="5" w:space="0" w:color="000000"/>
              <w:bottom w:val="single" w:sz="5" w:space="0" w:color="000000"/>
              <w:right w:val="single" w:sz="5" w:space="0" w:color="000000"/>
            </w:tcBorders>
          </w:tcPr>
          <w:p w14:paraId="2961B8C6" w14:textId="77777777" w:rsidR="00047E69" w:rsidRPr="00607FAB" w:rsidRDefault="00C210A5" w:rsidP="002E1DD8">
            <w:pPr>
              <w:pStyle w:val="TableParagraph"/>
              <w:widowControl/>
              <w:ind w:left="67"/>
              <w:jc w:val="center"/>
              <w:rPr>
                <w:rFonts w:ascii="Times New Roman" w:eastAsia="Times New Roman" w:hAnsi="Times New Roman" w:cs="Times New Roman"/>
              </w:rPr>
            </w:pPr>
            <w:r w:rsidRPr="00607FAB">
              <w:rPr>
                <w:rFonts w:ascii="Times New Roman"/>
              </w:rPr>
              <w:t>&lt;0.0001</w:t>
            </w:r>
          </w:p>
        </w:tc>
        <w:tc>
          <w:tcPr>
            <w:tcW w:w="3472" w:type="dxa"/>
            <w:gridSpan w:val="3"/>
            <w:tcBorders>
              <w:top w:val="single" w:sz="5" w:space="0" w:color="000000"/>
              <w:left w:val="single" w:sz="5" w:space="0" w:color="000000"/>
              <w:bottom w:val="single" w:sz="5" w:space="0" w:color="000000"/>
              <w:right w:val="single" w:sz="5" w:space="0" w:color="000000"/>
            </w:tcBorders>
          </w:tcPr>
          <w:p w14:paraId="24FA4E1C"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&lt;0.0001</w:t>
            </w:r>
          </w:p>
        </w:tc>
      </w:tr>
      <w:tr w:rsidR="00A27683" w:rsidRPr="00607FAB" w14:paraId="36454B7C"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7D212A66" w14:textId="77777777" w:rsidR="00047E69" w:rsidRPr="00607FAB" w:rsidRDefault="00C210A5" w:rsidP="002E1DD8">
            <w:pPr>
              <w:pStyle w:val="TableParagraph"/>
              <w:widowControl/>
              <w:rPr>
                <w:rFonts w:ascii="Times New Roman" w:eastAsia="Times New Roman" w:hAnsi="Times New Roman" w:cs="Times New Roman"/>
                <w:u w:val="single"/>
              </w:rPr>
            </w:pPr>
            <w:r w:rsidRPr="00607FAB">
              <w:rPr>
                <w:rFonts w:ascii="Times New Roman"/>
                <w:i/>
                <w:u w:val="single"/>
              </w:rPr>
              <w:t>Censored for NPT</w:t>
            </w:r>
          </w:p>
        </w:tc>
        <w:tc>
          <w:tcPr>
            <w:tcW w:w="6950" w:type="dxa"/>
            <w:gridSpan w:val="5"/>
            <w:tcBorders>
              <w:top w:val="single" w:sz="5" w:space="0" w:color="000000"/>
              <w:left w:val="single" w:sz="5" w:space="0" w:color="000000"/>
              <w:bottom w:val="single" w:sz="5" w:space="0" w:color="000000"/>
              <w:right w:val="single" w:sz="5" w:space="0" w:color="000000"/>
            </w:tcBorders>
          </w:tcPr>
          <w:p w14:paraId="7C647E11" w14:textId="77777777" w:rsidR="00047E69" w:rsidRPr="00607FAB" w:rsidRDefault="00047E69" w:rsidP="002E1DD8">
            <w:pPr>
              <w:widowControl/>
            </w:pPr>
          </w:p>
        </w:tc>
      </w:tr>
      <w:tr w:rsidR="00A27683" w:rsidRPr="00607FAB" w14:paraId="70DD1869"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1B6DB0E3"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Median PFS (months)</w:t>
            </w:r>
          </w:p>
        </w:tc>
        <w:tc>
          <w:tcPr>
            <w:tcW w:w="1685" w:type="dxa"/>
            <w:tcBorders>
              <w:top w:val="single" w:sz="5" w:space="0" w:color="000000"/>
              <w:left w:val="single" w:sz="5" w:space="0" w:color="000000"/>
              <w:bottom w:val="single" w:sz="5" w:space="0" w:color="000000"/>
              <w:right w:val="single" w:sz="5" w:space="0" w:color="000000"/>
            </w:tcBorders>
          </w:tcPr>
          <w:p w14:paraId="5A27A9F6"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8.4</w:t>
            </w:r>
          </w:p>
        </w:tc>
        <w:tc>
          <w:tcPr>
            <w:tcW w:w="1793" w:type="dxa"/>
            <w:tcBorders>
              <w:top w:val="single" w:sz="5" w:space="0" w:color="000000"/>
              <w:left w:val="single" w:sz="5" w:space="0" w:color="000000"/>
              <w:bottom w:val="single" w:sz="5" w:space="0" w:color="000000"/>
              <w:right w:val="single" w:sz="5" w:space="0" w:color="000000"/>
            </w:tcBorders>
          </w:tcPr>
          <w:p w14:paraId="3EB036BB" w14:textId="77777777" w:rsidR="00047E69" w:rsidRPr="00607FAB" w:rsidRDefault="00C210A5" w:rsidP="002E1DD8">
            <w:pPr>
              <w:pStyle w:val="TableParagraph"/>
              <w:widowControl/>
              <w:ind w:left="9"/>
              <w:jc w:val="center"/>
              <w:rPr>
                <w:rFonts w:ascii="Times New Roman" w:eastAsia="Times New Roman" w:hAnsi="Times New Roman" w:cs="Times New Roman"/>
              </w:rPr>
            </w:pPr>
            <w:r w:rsidRPr="00607FAB">
              <w:rPr>
                <w:rFonts w:ascii="Times New Roman"/>
              </w:rPr>
              <w:t>12.4</w:t>
            </w:r>
          </w:p>
        </w:tc>
        <w:tc>
          <w:tcPr>
            <w:tcW w:w="1648" w:type="dxa"/>
            <w:tcBorders>
              <w:top w:val="single" w:sz="5" w:space="0" w:color="000000"/>
              <w:left w:val="single" w:sz="5" w:space="0" w:color="000000"/>
              <w:bottom w:val="single" w:sz="5" w:space="0" w:color="000000"/>
              <w:right w:val="single" w:sz="5" w:space="0" w:color="000000"/>
            </w:tcBorders>
          </w:tcPr>
          <w:p w14:paraId="09308126"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8.6</w:t>
            </w:r>
          </w:p>
        </w:tc>
        <w:tc>
          <w:tcPr>
            <w:tcW w:w="1824" w:type="dxa"/>
            <w:gridSpan w:val="2"/>
            <w:tcBorders>
              <w:top w:val="single" w:sz="5" w:space="0" w:color="000000"/>
              <w:left w:val="single" w:sz="5" w:space="0" w:color="000000"/>
              <w:bottom w:val="single" w:sz="5" w:space="0" w:color="000000"/>
              <w:right w:val="single" w:sz="5" w:space="0" w:color="000000"/>
            </w:tcBorders>
          </w:tcPr>
          <w:p w14:paraId="24D740C9"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12.3</w:t>
            </w:r>
          </w:p>
        </w:tc>
      </w:tr>
      <w:tr w:rsidR="00A27683" w:rsidRPr="00607FAB" w14:paraId="288D415F"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6CFE7997"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Hazard ratio (95% CI)</w:t>
            </w:r>
          </w:p>
        </w:tc>
        <w:tc>
          <w:tcPr>
            <w:tcW w:w="3478" w:type="dxa"/>
            <w:gridSpan w:val="2"/>
            <w:tcBorders>
              <w:top w:val="single" w:sz="5" w:space="0" w:color="000000"/>
              <w:left w:val="single" w:sz="5" w:space="0" w:color="000000"/>
              <w:bottom w:val="single" w:sz="5" w:space="0" w:color="000000"/>
              <w:right w:val="single" w:sz="5" w:space="0" w:color="000000"/>
            </w:tcBorders>
          </w:tcPr>
          <w:p w14:paraId="798B8306" w14:textId="77777777" w:rsidR="00047E69" w:rsidRPr="00607FAB" w:rsidRDefault="00C210A5" w:rsidP="002E1DD8">
            <w:pPr>
              <w:pStyle w:val="TableParagraph"/>
              <w:widowControl/>
              <w:ind w:left="838"/>
              <w:rPr>
                <w:rFonts w:ascii="Times New Roman" w:eastAsia="Times New Roman" w:hAnsi="Times New Roman" w:cs="Times New Roman"/>
              </w:rPr>
            </w:pPr>
            <w:r w:rsidRPr="00607FAB">
              <w:rPr>
                <w:rFonts w:ascii="Times New Roman"/>
              </w:rPr>
              <w:t>0.484 [0.388, 0.605]</w:t>
            </w:r>
          </w:p>
        </w:tc>
        <w:tc>
          <w:tcPr>
            <w:tcW w:w="3472" w:type="dxa"/>
            <w:gridSpan w:val="3"/>
            <w:tcBorders>
              <w:top w:val="single" w:sz="5" w:space="0" w:color="000000"/>
              <w:left w:val="single" w:sz="5" w:space="0" w:color="000000"/>
              <w:bottom w:val="single" w:sz="5" w:space="0" w:color="000000"/>
              <w:right w:val="single" w:sz="5" w:space="0" w:color="000000"/>
            </w:tcBorders>
          </w:tcPr>
          <w:p w14:paraId="782E700B" w14:textId="77777777" w:rsidR="00047E69" w:rsidRPr="00607FAB" w:rsidRDefault="00C210A5" w:rsidP="002E1DD8">
            <w:pPr>
              <w:pStyle w:val="TableParagraph"/>
              <w:widowControl/>
              <w:ind w:left="747"/>
              <w:rPr>
                <w:rFonts w:ascii="Times New Roman" w:eastAsia="Times New Roman" w:hAnsi="Times New Roman" w:cs="Times New Roman"/>
              </w:rPr>
            </w:pPr>
            <w:r w:rsidRPr="00607FAB">
              <w:rPr>
                <w:rFonts w:ascii="Times New Roman"/>
              </w:rPr>
              <w:t>0.451 [0.351, 0.580]</w:t>
            </w:r>
          </w:p>
        </w:tc>
      </w:tr>
      <w:tr w:rsidR="00A27683" w:rsidRPr="00607FAB" w14:paraId="11E8A2F6"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4E11983A"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eastAsia="Times New Roman" w:hAnsi="Times New Roman" w:cs="Times New Roman"/>
              </w:rPr>
              <w:t>p –value</w:t>
            </w:r>
          </w:p>
        </w:tc>
        <w:tc>
          <w:tcPr>
            <w:tcW w:w="3478" w:type="dxa"/>
            <w:gridSpan w:val="2"/>
            <w:tcBorders>
              <w:top w:val="single" w:sz="5" w:space="0" w:color="000000"/>
              <w:left w:val="single" w:sz="5" w:space="0" w:color="000000"/>
              <w:bottom w:val="single" w:sz="5" w:space="0" w:color="000000"/>
              <w:right w:val="single" w:sz="5" w:space="0" w:color="000000"/>
            </w:tcBorders>
          </w:tcPr>
          <w:p w14:paraId="1409C430" w14:textId="77777777" w:rsidR="00047E69" w:rsidRPr="00607FAB" w:rsidRDefault="00C210A5" w:rsidP="002E1DD8">
            <w:pPr>
              <w:pStyle w:val="TableParagraph"/>
              <w:widowControl/>
              <w:ind w:left="67"/>
              <w:jc w:val="center"/>
              <w:rPr>
                <w:rFonts w:ascii="Times New Roman" w:eastAsia="Times New Roman" w:hAnsi="Times New Roman" w:cs="Times New Roman"/>
              </w:rPr>
            </w:pPr>
            <w:r w:rsidRPr="00607FAB">
              <w:rPr>
                <w:rFonts w:ascii="Times New Roman"/>
              </w:rPr>
              <w:t>&lt; 0.0001</w:t>
            </w:r>
          </w:p>
        </w:tc>
        <w:tc>
          <w:tcPr>
            <w:tcW w:w="3472" w:type="dxa"/>
            <w:gridSpan w:val="3"/>
            <w:tcBorders>
              <w:top w:val="single" w:sz="5" w:space="0" w:color="000000"/>
              <w:left w:val="single" w:sz="5" w:space="0" w:color="000000"/>
              <w:bottom w:val="single" w:sz="5" w:space="0" w:color="000000"/>
              <w:right w:val="single" w:sz="5" w:space="0" w:color="000000"/>
            </w:tcBorders>
          </w:tcPr>
          <w:p w14:paraId="55B8141E"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&lt;0.0001</w:t>
            </w:r>
          </w:p>
        </w:tc>
      </w:tr>
      <w:tr w:rsidR="00A46B65" w:rsidRPr="00607FAB" w14:paraId="04067B33" w14:textId="77777777" w:rsidTr="004228B0">
        <w:tc>
          <w:tcPr>
            <w:tcW w:w="9278" w:type="dxa"/>
            <w:gridSpan w:val="6"/>
            <w:tcBorders>
              <w:top w:val="single" w:sz="5" w:space="0" w:color="000000"/>
              <w:left w:val="single" w:sz="5" w:space="0" w:color="000000"/>
              <w:bottom w:val="single" w:sz="5" w:space="0" w:color="000000"/>
              <w:right w:val="single" w:sz="5" w:space="0" w:color="000000"/>
            </w:tcBorders>
          </w:tcPr>
          <w:p w14:paraId="24C0659A" w14:textId="77777777" w:rsidR="00047E69" w:rsidRPr="00607FAB" w:rsidRDefault="00C210A5" w:rsidP="002E1DD8">
            <w:pPr>
              <w:pStyle w:val="TableParagraph"/>
              <w:widowControl/>
              <w:rPr>
                <w:rFonts w:ascii="Times New Roman" w:eastAsia="Times New Roman" w:hAnsi="Times New Roman" w:cs="Times New Roman"/>
                <w:b/>
                <w:bCs/>
                <w:u w:val="single"/>
              </w:rPr>
            </w:pPr>
            <w:r w:rsidRPr="00607FAB">
              <w:rPr>
                <w:rFonts w:ascii="Times New Roman"/>
                <w:b/>
                <w:bCs/>
                <w:u w:val="single"/>
              </w:rPr>
              <w:t>Objective response rate</w:t>
            </w:r>
          </w:p>
        </w:tc>
      </w:tr>
      <w:tr w:rsidR="00A27683" w:rsidRPr="00607FAB" w14:paraId="5CCF3385"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07B0F420" w14:textId="77777777" w:rsidR="00047E69" w:rsidRPr="00607FAB" w:rsidRDefault="00047E69" w:rsidP="002E1DD8">
            <w:pPr>
              <w:widowControl/>
            </w:pPr>
          </w:p>
        </w:tc>
        <w:tc>
          <w:tcPr>
            <w:tcW w:w="3478" w:type="dxa"/>
            <w:gridSpan w:val="2"/>
            <w:tcBorders>
              <w:top w:val="single" w:sz="5" w:space="0" w:color="000000"/>
              <w:left w:val="single" w:sz="5" w:space="0" w:color="000000"/>
              <w:bottom w:val="single" w:sz="5" w:space="0" w:color="000000"/>
              <w:right w:val="single" w:sz="5" w:space="0" w:color="000000"/>
            </w:tcBorders>
          </w:tcPr>
          <w:p w14:paraId="2A9223A0" w14:textId="4DCC071D" w:rsidR="00047E69" w:rsidRPr="00607FAB" w:rsidRDefault="00C210A5" w:rsidP="002E1DD8">
            <w:pPr>
              <w:pStyle w:val="TableParagraph"/>
              <w:widowControl/>
              <w:ind w:left="666"/>
              <w:rPr>
                <w:rFonts w:ascii="Times New Roman" w:eastAsia="Times New Roman" w:hAnsi="Times New Roman" w:cs="Times New Roman"/>
                <w:b/>
                <w:bCs/>
              </w:rPr>
            </w:pPr>
            <w:r w:rsidRPr="00607FAB">
              <w:rPr>
                <w:rFonts w:ascii="Times New Roman"/>
                <w:b/>
                <w:bCs/>
              </w:rPr>
              <w:t xml:space="preserve">Investigator </w:t>
            </w:r>
            <w:r w:rsidR="00AD6B3A" w:rsidRPr="00607FAB">
              <w:rPr>
                <w:rFonts w:ascii="Times New Roman"/>
                <w:b/>
                <w:bCs/>
              </w:rPr>
              <w:t>assessment</w:t>
            </w:r>
          </w:p>
        </w:tc>
        <w:tc>
          <w:tcPr>
            <w:tcW w:w="3472" w:type="dxa"/>
            <w:gridSpan w:val="3"/>
            <w:tcBorders>
              <w:top w:val="single" w:sz="5" w:space="0" w:color="000000"/>
              <w:left w:val="single" w:sz="5" w:space="0" w:color="000000"/>
              <w:bottom w:val="single" w:sz="5" w:space="0" w:color="000000"/>
              <w:right w:val="single" w:sz="5" w:space="0" w:color="000000"/>
            </w:tcBorders>
          </w:tcPr>
          <w:p w14:paraId="436D8D36" w14:textId="2739CB03" w:rsidR="00047E69" w:rsidRPr="00607FAB" w:rsidRDefault="00C210A5" w:rsidP="002E1DD8">
            <w:pPr>
              <w:pStyle w:val="TableParagraph"/>
              <w:widowControl/>
              <w:ind w:left="915"/>
              <w:rPr>
                <w:rFonts w:ascii="Times New Roman" w:eastAsia="Times New Roman" w:hAnsi="Times New Roman" w:cs="Times New Roman"/>
                <w:b/>
                <w:bCs/>
              </w:rPr>
            </w:pPr>
            <w:r w:rsidRPr="00607FAB">
              <w:rPr>
                <w:rFonts w:ascii="Times New Roman"/>
                <w:b/>
                <w:bCs/>
              </w:rPr>
              <w:t xml:space="preserve">IRC </w:t>
            </w:r>
            <w:r w:rsidR="00AD6B3A" w:rsidRPr="00607FAB">
              <w:rPr>
                <w:rFonts w:ascii="Times New Roman"/>
                <w:b/>
                <w:bCs/>
              </w:rPr>
              <w:t>assessment</w:t>
            </w:r>
          </w:p>
        </w:tc>
      </w:tr>
      <w:tr w:rsidR="00A27683" w:rsidRPr="00607FAB" w14:paraId="09BCCD8C"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13F86C88" w14:textId="77777777" w:rsidR="00047E69" w:rsidRPr="00607FAB" w:rsidRDefault="00047E69" w:rsidP="002E1DD8">
            <w:pPr>
              <w:widowControl/>
            </w:pPr>
          </w:p>
        </w:tc>
        <w:tc>
          <w:tcPr>
            <w:tcW w:w="1685" w:type="dxa"/>
            <w:tcBorders>
              <w:top w:val="single" w:sz="5" w:space="0" w:color="000000"/>
              <w:left w:val="single" w:sz="5" w:space="0" w:color="000000"/>
              <w:bottom w:val="single" w:sz="5" w:space="0" w:color="000000"/>
              <w:right w:val="single" w:sz="5" w:space="0" w:color="000000"/>
            </w:tcBorders>
          </w:tcPr>
          <w:p w14:paraId="3C685082"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Placebo+ C/G (n = 242)</w:t>
            </w:r>
          </w:p>
        </w:tc>
        <w:tc>
          <w:tcPr>
            <w:tcW w:w="1793" w:type="dxa"/>
            <w:tcBorders>
              <w:top w:val="single" w:sz="5" w:space="0" w:color="000000"/>
              <w:left w:val="single" w:sz="5" w:space="0" w:color="000000"/>
              <w:bottom w:val="single" w:sz="5" w:space="0" w:color="000000"/>
              <w:right w:val="single" w:sz="5" w:space="0" w:color="000000"/>
            </w:tcBorders>
          </w:tcPr>
          <w:p w14:paraId="08E5606C" w14:textId="77777777" w:rsidR="00047E69" w:rsidRPr="00607FAB" w:rsidRDefault="00C210A5" w:rsidP="002E1DD8">
            <w:pPr>
              <w:pStyle w:val="TableParagraph"/>
              <w:widowControl/>
              <w:jc w:val="center"/>
              <w:rPr>
                <w:rFonts w:ascii="Times New Roman"/>
                <w:b/>
                <w:bCs/>
              </w:rPr>
            </w:pPr>
            <w:r w:rsidRPr="00607FAB">
              <w:rPr>
                <w:rFonts w:ascii="Times New Roman"/>
                <w:b/>
                <w:bCs/>
              </w:rPr>
              <w:t xml:space="preserve">Bevacizumab + C/G </w:t>
            </w:r>
          </w:p>
          <w:p w14:paraId="62B0D6DD"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(n = 242)</w:t>
            </w:r>
          </w:p>
        </w:tc>
        <w:tc>
          <w:tcPr>
            <w:tcW w:w="1717" w:type="dxa"/>
            <w:gridSpan w:val="2"/>
            <w:tcBorders>
              <w:top w:val="single" w:sz="5" w:space="0" w:color="000000"/>
              <w:left w:val="single" w:sz="5" w:space="0" w:color="000000"/>
              <w:bottom w:val="single" w:sz="5" w:space="0" w:color="000000"/>
              <w:right w:val="single" w:sz="5" w:space="0" w:color="000000"/>
            </w:tcBorders>
          </w:tcPr>
          <w:p w14:paraId="352FCF00"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Placebo+ C/G (n = 242)</w:t>
            </w:r>
          </w:p>
        </w:tc>
        <w:tc>
          <w:tcPr>
            <w:tcW w:w="1755" w:type="dxa"/>
            <w:tcBorders>
              <w:top w:val="single" w:sz="5" w:space="0" w:color="000000"/>
              <w:left w:val="single" w:sz="5" w:space="0" w:color="000000"/>
              <w:bottom w:val="single" w:sz="5" w:space="0" w:color="000000"/>
              <w:right w:val="single" w:sz="5" w:space="0" w:color="000000"/>
            </w:tcBorders>
          </w:tcPr>
          <w:p w14:paraId="0625105D" w14:textId="77777777" w:rsidR="00047E69" w:rsidRPr="00607FAB" w:rsidRDefault="00C210A5" w:rsidP="002E1DD8">
            <w:pPr>
              <w:pStyle w:val="TableParagraph"/>
              <w:widowControl/>
              <w:jc w:val="center"/>
              <w:rPr>
                <w:rFonts w:ascii="Times New Roman"/>
                <w:b/>
                <w:bCs/>
              </w:rPr>
            </w:pPr>
            <w:r w:rsidRPr="00607FAB">
              <w:rPr>
                <w:rFonts w:ascii="Times New Roman"/>
                <w:b/>
                <w:bCs/>
              </w:rPr>
              <w:t>Bevacizumab + C/G</w:t>
            </w:r>
          </w:p>
          <w:p w14:paraId="56F17FB3"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(n = 242)</w:t>
            </w:r>
          </w:p>
        </w:tc>
      </w:tr>
      <w:tr w:rsidR="00A27683" w:rsidRPr="00607FAB" w14:paraId="7540DA06"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2B262D55"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 pts with objective response</w:t>
            </w:r>
          </w:p>
        </w:tc>
        <w:tc>
          <w:tcPr>
            <w:tcW w:w="1685" w:type="dxa"/>
            <w:tcBorders>
              <w:top w:val="single" w:sz="5" w:space="0" w:color="000000"/>
              <w:left w:val="single" w:sz="5" w:space="0" w:color="000000"/>
              <w:bottom w:val="single" w:sz="5" w:space="0" w:color="000000"/>
              <w:right w:val="single" w:sz="5" w:space="0" w:color="000000"/>
            </w:tcBorders>
          </w:tcPr>
          <w:p w14:paraId="72A5D591" w14:textId="77777777" w:rsidR="00047E69" w:rsidRPr="00607FAB" w:rsidRDefault="00C210A5" w:rsidP="002E1DD8">
            <w:pPr>
              <w:pStyle w:val="TableParagraph"/>
              <w:widowControl/>
              <w:ind w:left="531"/>
              <w:rPr>
                <w:rFonts w:ascii="Times New Roman" w:eastAsia="Times New Roman" w:hAnsi="Times New Roman" w:cs="Times New Roman"/>
              </w:rPr>
            </w:pPr>
            <w:r w:rsidRPr="00607FAB">
              <w:rPr>
                <w:rFonts w:ascii="Times New Roman"/>
              </w:rPr>
              <w:t>57.4%</w:t>
            </w:r>
          </w:p>
        </w:tc>
        <w:tc>
          <w:tcPr>
            <w:tcW w:w="1793" w:type="dxa"/>
            <w:tcBorders>
              <w:top w:val="single" w:sz="5" w:space="0" w:color="000000"/>
              <w:left w:val="single" w:sz="5" w:space="0" w:color="000000"/>
              <w:bottom w:val="single" w:sz="5" w:space="0" w:color="000000"/>
              <w:right w:val="single" w:sz="5" w:space="0" w:color="000000"/>
            </w:tcBorders>
          </w:tcPr>
          <w:p w14:paraId="5EFF04A6" w14:textId="77777777" w:rsidR="00047E69" w:rsidRPr="00607FAB" w:rsidRDefault="00C210A5" w:rsidP="002E1DD8">
            <w:pPr>
              <w:pStyle w:val="TableParagraph"/>
              <w:widowControl/>
              <w:ind w:left="11"/>
              <w:jc w:val="center"/>
              <w:rPr>
                <w:rFonts w:ascii="Times New Roman" w:eastAsia="Times New Roman" w:hAnsi="Times New Roman" w:cs="Times New Roman"/>
              </w:rPr>
            </w:pPr>
            <w:r w:rsidRPr="00607FAB">
              <w:rPr>
                <w:rFonts w:ascii="Times New Roman"/>
              </w:rPr>
              <w:t>78.5%</w:t>
            </w:r>
          </w:p>
        </w:tc>
        <w:tc>
          <w:tcPr>
            <w:tcW w:w="1717" w:type="dxa"/>
            <w:gridSpan w:val="2"/>
            <w:tcBorders>
              <w:top w:val="single" w:sz="5" w:space="0" w:color="000000"/>
              <w:left w:val="single" w:sz="5" w:space="0" w:color="000000"/>
              <w:bottom w:val="single" w:sz="5" w:space="0" w:color="000000"/>
              <w:right w:val="single" w:sz="5" w:space="0" w:color="000000"/>
            </w:tcBorders>
          </w:tcPr>
          <w:p w14:paraId="78624093" w14:textId="77777777" w:rsidR="00047E69" w:rsidRPr="00607FAB" w:rsidRDefault="00C210A5" w:rsidP="002E1DD8">
            <w:pPr>
              <w:pStyle w:val="TableParagraph"/>
              <w:widowControl/>
              <w:ind w:left="507"/>
              <w:rPr>
                <w:rFonts w:ascii="Times New Roman" w:eastAsia="Times New Roman" w:hAnsi="Times New Roman" w:cs="Times New Roman"/>
              </w:rPr>
            </w:pPr>
            <w:r w:rsidRPr="00607FAB">
              <w:rPr>
                <w:rFonts w:ascii="Times New Roman"/>
              </w:rPr>
              <w:t>53.7%</w:t>
            </w:r>
          </w:p>
        </w:tc>
        <w:tc>
          <w:tcPr>
            <w:tcW w:w="1755" w:type="dxa"/>
            <w:tcBorders>
              <w:top w:val="single" w:sz="5" w:space="0" w:color="000000"/>
              <w:left w:val="single" w:sz="5" w:space="0" w:color="000000"/>
              <w:bottom w:val="single" w:sz="5" w:space="0" w:color="000000"/>
              <w:right w:val="single" w:sz="5" w:space="0" w:color="000000"/>
            </w:tcBorders>
          </w:tcPr>
          <w:p w14:paraId="6C54334C" w14:textId="77777777" w:rsidR="00047E69" w:rsidRPr="00607FAB" w:rsidRDefault="00C210A5" w:rsidP="002E1DD8">
            <w:pPr>
              <w:pStyle w:val="TableParagraph"/>
              <w:widowControl/>
              <w:ind w:left="570"/>
              <w:rPr>
                <w:rFonts w:ascii="Times New Roman" w:eastAsia="Times New Roman" w:hAnsi="Times New Roman" w:cs="Times New Roman"/>
              </w:rPr>
            </w:pPr>
            <w:r w:rsidRPr="00607FAB">
              <w:rPr>
                <w:rFonts w:ascii="Times New Roman"/>
              </w:rPr>
              <w:t>74.8%</w:t>
            </w:r>
          </w:p>
        </w:tc>
      </w:tr>
      <w:tr w:rsidR="00A27683" w:rsidRPr="00607FAB" w14:paraId="5FA3F9F2"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53F91C47"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eastAsia="Times New Roman" w:hAnsi="Times New Roman" w:cs="Times New Roman"/>
              </w:rPr>
              <w:t>p –value</w:t>
            </w:r>
          </w:p>
        </w:tc>
        <w:tc>
          <w:tcPr>
            <w:tcW w:w="3478" w:type="dxa"/>
            <w:gridSpan w:val="2"/>
            <w:tcBorders>
              <w:top w:val="single" w:sz="5" w:space="0" w:color="000000"/>
              <w:left w:val="single" w:sz="5" w:space="0" w:color="000000"/>
              <w:bottom w:val="single" w:sz="5" w:space="0" w:color="000000"/>
              <w:right w:val="single" w:sz="5" w:space="0" w:color="000000"/>
            </w:tcBorders>
          </w:tcPr>
          <w:p w14:paraId="16BEB2A0" w14:textId="77777777" w:rsidR="00047E69" w:rsidRPr="00607FAB" w:rsidRDefault="00C210A5" w:rsidP="002E1DD8">
            <w:pPr>
              <w:pStyle w:val="TableParagraph"/>
              <w:widowControl/>
              <w:ind w:left="9"/>
              <w:jc w:val="center"/>
              <w:rPr>
                <w:rFonts w:ascii="Times New Roman" w:eastAsia="Times New Roman" w:hAnsi="Times New Roman" w:cs="Times New Roman"/>
              </w:rPr>
            </w:pPr>
            <w:r w:rsidRPr="00607FAB">
              <w:rPr>
                <w:rFonts w:ascii="Times New Roman"/>
              </w:rPr>
              <w:t>&lt; 0.0001</w:t>
            </w:r>
          </w:p>
        </w:tc>
        <w:tc>
          <w:tcPr>
            <w:tcW w:w="3472" w:type="dxa"/>
            <w:gridSpan w:val="3"/>
            <w:tcBorders>
              <w:top w:val="single" w:sz="5" w:space="0" w:color="000000"/>
              <w:left w:val="single" w:sz="5" w:space="0" w:color="000000"/>
              <w:bottom w:val="single" w:sz="5" w:space="0" w:color="000000"/>
              <w:right w:val="single" w:sz="5" w:space="0" w:color="000000"/>
            </w:tcBorders>
          </w:tcPr>
          <w:p w14:paraId="2CD76E01" w14:textId="77777777" w:rsidR="00047E69" w:rsidRPr="00607FAB" w:rsidRDefault="00C210A5" w:rsidP="002E1DD8">
            <w:pPr>
              <w:pStyle w:val="TableParagraph"/>
              <w:widowControl/>
              <w:ind w:left="9"/>
              <w:jc w:val="center"/>
              <w:rPr>
                <w:rFonts w:ascii="Times New Roman" w:eastAsia="Times New Roman" w:hAnsi="Times New Roman" w:cs="Times New Roman"/>
              </w:rPr>
            </w:pPr>
            <w:r w:rsidRPr="00607FAB">
              <w:rPr>
                <w:rFonts w:ascii="Times New Roman"/>
              </w:rPr>
              <w:t>&lt; 0.0001</w:t>
            </w:r>
          </w:p>
        </w:tc>
      </w:tr>
      <w:tr w:rsidR="00A46B65" w:rsidRPr="00607FAB" w14:paraId="38E1EE3C" w14:textId="77777777" w:rsidTr="004228B0">
        <w:tc>
          <w:tcPr>
            <w:tcW w:w="9278" w:type="dxa"/>
            <w:gridSpan w:val="6"/>
            <w:tcBorders>
              <w:top w:val="single" w:sz="5" w:space="0" w:color="000000"/>
              <w:left w:val="single" w:sz="5" w:space="0" w:color="000000"/>
              <w:bottom w:val="single" w:sz="5" w:space="0" w:color="000000"/>
              <w:right w:val="single" w:sz="5" w:space="0" w:color="000000"/>
            </w:tcBorders>
          </w:tcPr>
          <w:p w14:paraId="30B8B419" w14:textId="77777777" w:rsidR="00047E69" w:rsidRPr="00607FAB" w:rsidRDefault="00C210A5" w:rsidP="002E1DD8">
            <w:pPr>
              <w:pStyle w:val="TableParagraph"/>
              <w:widowControl/>
              <w:rPr>
                <w:rFonts w:ascii="Times New Roman" w:eastAsia="Times New Roman" w:hAnsi="Times New Roman" w:cs="Times New Roman"/>
                <w:b/>
                <w:bCs/>
                <w:u w:val="single"/>
              </w:rPr>
            </w:pPr>
            <w:r w:rsidRPr="00607FAB">
              <w:rPr>
                <w:rFonts w:ascii="Times New Roman"/>
                <w:b/>
                <w:bCs/>
                <w:u w:val="single"/>
              </w:rPr>
              <w:t>Overall survival</w:t>
            </w:r>
          </w:p>
        </w:tc>
      </w:tr>
      <w:tr w:rsidR="00A27683" w:rsidRPr="00607FAB" w14:paraId="626D31D4"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4E7D54C1" w14:textId="77777777" w:rsidR="00047E69" w:rsidRPr="00607FAB" w:rsidRDefault="00047E69" w:rsidP="002E1DD8">
            <w:pPr>
              <w:widowControl/>
            </w:pPr>
          </w:p>
        </w:tc>
        <w:tc>
          <w:tcPr>
            <w:tcW w:w="3475" w:type="dxa"/>
            <w:gridSpan w:val="2"/>
            <w:tcBorders>
              <w:top w:val="single" w:sz="5" w:space="0" w:color="000000"/>
              <w:left w:val="single" w:sz="5" w:space="0" w:color="000000"/>
              <w:bottom w:val="single" w:sz="5" w:space="0" w:color="000000"/>
              <w:right w:val="single" w:sz="5" w:space="0" w:color="000000"/>
            </w:tcBorders>
          </w:tcPr>
          <w:p w14:paraId="425710B3" w14:textId="77777777" w:rsidR="00AD6B3A" w:rsidRPr="00607FAB" w:rsidRDefault="00C210A5" w:rsidP="002E1DD8">
            <w:pPr>
              <w:pStyle w:val="TableParagraph"/>
              <w:widowControl/>
              <w:jc w:val="center"/>
              <w:rPr>
                <w:rFonts w:ascii="Times New Roman"/>
                <w:b/>
                <w:bCs/>
              </w:rPr>
            </w:pPr>
            <w:r w:rsidRPr="00607FAB">
              <w:rPr>
                <w:rFonts w:ascii="Times New Roman"/>
                <w:b/>
                <w:bCs/>
              </w:rPr>
              <w:t xml:space="preserve">Placebo+ C/G </w:t>
            </w:r>
          </w:p>
          <w:p w14:paraId="39294B9A" w14:textId="71AE2F3C"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(n = 242)</w:t>
            </w:r>
          </w:p>
        </w:tc>
        <w:tc>
          <w:tcPr>
            <w:tcW w:w="3475" w:type="dxa"/>
            <w:gridSpan w:val="3"/>
            <w:tcBorders>
              <w:top w:val="single" w:sz="5" w:space="0" w:color="000000"/>
              <w:left w:val="single" w:sz="5" w:space="0" w:color="000000"/>
              <w:bottom w:val="single" w:sz="5" w:space="0" w:color="000000"/>
              <w:right w:val="single" w:sz="5" w:space="0" w:color="000000"/>
            </w:tcBorders>
          </w:tcPr>
          <w:p w14:paraId="00462479" w14:textId="77777777" w:rsidR="00047E69" w:rsidRPr="00607FAB" w:rsidRDefault="00C210A5" w:rsidP="002E1DD8">
            <w:pPr>
              <w:pStyle w:val="TableParagraph"/>
              <w:widowControl/>
              <w:jc w:val="center"/>
              <w:rPr>
                <w:rFonts w:ascii="Times New Roman"/>
                <w:b/>
                <w:bCs/>
              </w:rPr>
            </w:pPr>
            <w:r w:rsidRPr="00607FAB">
              <w:rPr>
                <w:rFonts w:ascii="Times New Roman"/>
                <w:b/>
                <w:bCs/>
              </w:rPr>
              <w:t>Bevacizumab + C/G</w:t>
            </w:r>
          </w:p>
          <w:p w14:paraId="1DF1DB0D" w14:textId="77777777" w:rsidR="00047E69" w:rsidRPr="00607FAB" w:rsidRDefault="00C210A5" w:rsidP="002E1DD8">
            <w:pPr>
              <w:pStyle w:val="TableParagraph"/>
              <w:widowControl/>
              <w:jc w:val="center"/>
              <w:rPr>
                <w:rFonts w:ascii="Times New Roman" w:eastAsia="Times New Roman" w:hAnsi="Times New Roman" w:cs="Times New Roman"/>
                <w:b/>
                <w:bCs/>
              </w:rPr>
            </w:pPr>
            <w:r w:rsidRPr="00607FAB">
              <w:rPr>
                <w:rFonts w:ascii="Times New Roman"/>
                <w:b/>
                <w:bCs/>
              </w:rPr>
              <w:t>(n = 242)</w:t>
            </w:r>
          </w:p>
        </w:tc>
      </w:tr>
      <w:tr w:rsidR="00A27683" w:rsidRPr="00607FAB" w14:paraId="42BA8DA9"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121D6B69" w14:textId="77777777"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Median OS (months)</w:t>
            </w:r>
          </w:p>
        </w:tc>
        <w:tc>
          <w:tcPr>
            <w:tcW w:w="3475" w:type="dxa"/>
            <w:gridSpan w:val="2"/>
            <w:tcBorders>
              <w:top w:val="single" w:sz="5" w:space="0" w:color="000000"/>
              <w:left w:val="single" w:sz="5" w:space="0" w:color="000000"/>
              <w:bottom w:val="single" w:sz="5" w:space="0" w:color="000000"/>
              <w:right w:val="single" w:sz="5" w:space="0" w:color="000000"/>
            </w:tcBorders>
          </w:tcPr>
          <w:p w14:paraId="0DAE4303" w14:textId="77777777" w:rsidR="00047E69" w:rsidRPr="00607FAB" w:rsidRDefault="00C210A5" w:rsidP="002E1DD8">
            <w:pPr>
              <w:pStyle w:val="TableParagraph"/>
              <w:widowControl/>
              <w:ind w:left="9"/>
              <w:jc w:val="center"/>
              <w:rPr>
                <w:rFonts w:ascii="Times New Roman" w:eastAsia="Times New Roman" w:hAnsi="Times New Roman" w:cs="Times New Roman"/>
              </w:rPr>
            </w:pPr>
            <w:r w:rsidRPr="00607FAB">
              <w:rPr>
                <w:rFonts w:ascii="Times New Roman"/>
              </w:rPr>
              <w:t>32.9</w:t>
            </w:r>
          </w:p>
        </w:tc>
        <w:tc>
          <w:tcPr>
            <w:tcW w:w="3475" w:type="dxa"/>
            <w:gridSpan w:val="3"/>
            <w:tcBorders>
              <w:top w:val="single" w:sz="5" w:space="0" w:color="000000"/>
              <w:left w:val="single" w:sz="5" w:space="0" w:color="000000"/>
              <w:bottom w:val="single" w:sz="5" w:space="0" w:color="000000"/>
              <w:right w:val="single" w:sz="5" w:space="0" w:color="000000"/>
            </w:tcBorders>
          </w:tcPr>
          <w:p w14:paraId="714D6F7A" w14:textId="77777777" w:rsidR="00047E69" w:rsidRPr="00607FAB" w:rsidRDefault="00C210A5" w:rsidP="002E1DD8">
            <w:pPr>
              <w:pStyle w:val="TableParagraph"/>
              <w:widowControl/>
              <w:ind w:left="9"/>
              <w:jc w:val="center"/>
              <w:rPr>
                <w:rFonts w:ascii="Times New Roman" w:eastAsia="Times New Roman" w:hAnsi="Times New Roman" w:cs="Times New Roman"/>
              </w:rPr>
            </w:pPr>
            <w:r w:rsidRPr="00607FAB">
              <w:rPr>
                <w:rFonts w:ascii="Times New Roman"/>
              </w:rPr>
              <w:t>33.6</w:t>
            </w:r>
          </w:p>
        </w:tc>
      </w:tr>
      <w:tr w:rsidR="00A27683" w:rsidRPr="00607FAB" w14:paraId="5F2BD37C"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09D96D6E" w14:textId="6F2E0602"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 xml:space="preserve">Hazard </w:t>
            </w:r>
            <w:r w:rsidR="00AD6B3A" w:rsidRPr="00607FAB">
              <w:rPr>
                <w:rFonts w:ascii="Times New Roman"/>
              </w:rPr>
              <w:t>r</w:t>
            </w:r>
            <w:r w:rsidRPr="00607FAB">
              <w:rPr>
                <w:rFonts w:ascii="Times New Roman"/>
              </w:rPr>
              <w:t>atio (95% CI)</w:t>
            </w:r>
          </w:p>
        </w:tc>
        <w:tc>
          <w:tcPr>
            <w:tcW w:w="6950" w:type="dxa"/>
            <w:gridSpan w:val="5"/>
            <w:tcBorders>
              <w:top w:val="single" w:sz="5" w:space="0" w:color="000000"/>
              <w:left w:val="single" w:sz="5" w:space="0" w:color="000000"/>
              <w:bottom w:val="single" w:sz="5" w:space="0" w:color="000000"/>
              <w:right w:val="single" w:sz="5" w:space="0" w:color="000000"/>
            </w:tcBorders>
          </w:tcPr>
          <w:p w14:paraId="7547D10D" w14:textId="77777777" w:rsidR="00047E69" w:rsidRPr="00607FAB" w:rsidRDefault="00C210A5" w:rsidP="002E1DD8">
            <w:pPr>
              <w:pStyle w:val="TableParagraph"/>
              <w:widowControl/>
              <w:ind w:left="62"/>
              <w:jc w:val="center"/>
              <w:rPr>
                <w:rFonts w:ascii="Times New Roman" w:eastAsia="Times New Roman" w:hAnsi="Times New Roman" w:cs="Times New Roman"/>
              </w:rPr>
            </w:pPr>
            <w:r w:rsidRPr="00607FAB">
              <w:rPr>
                <w:rFonts w:ascii="Times New Roman"/>
              </w:rPr>
              <w:t>0.952 [0.771, 1.176]</w:t>
            </w:r>
          </w:p>
        </w:tc>
      </w:tr>
      <w:tr w:rsidR="00A27683" w:rsidRPr="00607FAB" w14:paraId="701B2B75" w14:textId="77777777" w:rsidTr="004228B0">
        <w:tc>
          <w:tcPr>
            <w:tcW w:w="2328" w:type="dxa"/>
            <w:tcBorders>
              <w:top w:val="single" w:sz="5" w:space="0" w:color="000000"/>
              <w:left w:val="single" w:sz="5" w:space="0" w:color="000000"/>
              <w:bottom w:val="single" w:sz="5" w:space="0" w:color="000000"/>
              <w:right w:val="single" w:sz="5" w:space="0" w:color="000000"/>
            </w:tcBorders>
          </w:tcPr>
          <w:p w14:paraId="2F5D2E50" w14:textId="53A96559"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rPr>
              <w:t>p</w:t>
            </w:r>
            <w:r w:rsidR="00FD0731" w:rsidRPr="00607FAB">
              <w:rPr>
                <w:rFonts w:ascii="Times New Roman"/>
              </w:rPr>
              <w:noBreakHyphen/>
            </w:r>
            <w:r w:rsidRPr="00607FAB">
              <w:rPr>
                <w:rFonts w:ascii="Times New Roman"/>
              </w:rPr>
              <w:t>value</w:t>
            </w:r>
          </w:p>
        </w:tc>
        <w:tc>
          <w:tcPr>
            <w:tcW w:w="6950" w:type="dxa"/>
            <w:gridSpan w:val="5"/>
            <w:tcBorders>
              <w:top w:val="single" w:sz="5" w:space="0" w:color="000000"/>
              <w:left w:val="single" w:sz="5" w:space="0" w:color="000000"/>
              <w:bottom w:val="single" w:sz="5" w:space="0" w:color="000000"/>
              <w:right w:val="single" w:sz="5" w:space="0" w:color="000000"/>
            </w:tcBorders>
          </w:tcPr>
          <w:p w14:paraId="24C68CFA" w14:textId="77777777" w:rsidR="00047E69" w:rsidRPr="00607FAB" w:rsidRDefault="00C210A5" w:rsidP="002E1DD8">
            <w:pPr>
              <w:pStyle w:val="TableParagraph"/>
              <w:widowControl/>
              <w:ind w:left="4"/>
              <w:jc w:val="center"/>
              <w:rPr>
                <w:rFonts w:ascii="Times New Roman" w:eastAsia="Times New Roman" w:hAnsi="Times New Roman" w:cs="Times New Roman"/>
              </w:rPr>
            </w:pPr>
            <w:r w:rsidRPr="00607FAB">
              <w:rPr>
                <w:rFonts w:ascii="Times New Roman"/>
              </w:rPr>
              <w:t>0.6479</w:t>
            </w:r>
          </w:p>
        </w:tc>
      </w:tr>
    </w:tbl>
    <w:p w14:paraId="5D5F2322" w14:textId="77777777" w:rsidR="00047E69" w:rsidRPr="00607FAB" w:rsidRDefault="00047E69" w:rsidP="002E1DD8">
      <w:pPr>
        <w:widowControl/>
        <w:adjustRightInd w:val="0"/>
        <w:snapToGrid w:val="0"/>
        <w:rPr>
          <w:rFonts w:ascii="Times New Roman" w:eastAsia="Times New Roman" w:hAnsi="Times New Roman" w:cs="Times New Roman"/>
          <w:b/>
          <w:bCs/>
          <w:sz w:val="15"/>
          <w:szCs w:val="15"/>
        </w:rPr>
      </w:pPr>
    </w:p>
    <w:p w14:paraId="6179746F" w14:textId="131CC1BF" w:rsidR="00047E69" w:rsidRPr="00607FAB" w:rsidRDefault="00C210A5" w:rsidP="002E1DD8">
      <w:pPr>
        <w:pStyle w:val="a5"/>
        <w:widowControl/>
        <w:adjustRightInd w:val="0"/>
        <w:snapToGrid w:val="0"/>
      </w:pPr>
      <w:r w:rsidRPr="00607FAB">
        <w:t>PFS subgroup analyses depending on recurrence since last platinum therapy are summarised in Table 21.</w:t>
      </w:r>
    </w:p>
    <w:p w14:paraId="5572A5FF" w14:textId="77777777" w:rsidR="00A135EE" w:rsidRPr="00607FAB" w:rsidRDefault="00A135EE" w:rsidP="002E1DD8">
      <w:pPr>
        <w:pStyle w:val="a5"/>
        <w:widowControl/>
        <w:adjustRightInd w:val="0"/>
        <w:snapToGrid w:val="0"/>
      </w:pPr>
    </w:p>
    <w:p w14:paraId="499B218C" w14:textId="503BE9CD" w:rsidR="00047E69" w:rsidRPr="001762AB" w:rsidRDefault="00C210A5" w:rsidP="001762AB">
      <w:pPr>
        <w:ind w:left="1134" w:hanging="1134"/>
        <w:rPr>
          <w:rFonts w:ascii="Times New Roman" w:hAnsi="Times New Roman" w:cs="Times New Roman"/>
          <w:b/>
          <w:bCs/>
        </w:rPr>
      </w:pPr>
      <w:r w:rsidRPr="001762AB">
        <w:rPr>
          <w:rFonts w:ascii="Times New Roman" w:hAnsi="Times New Roman" w:cs="Times New Roman"/>
          <w:b/>
          <w:bCs/>
        </w:rPr>
        <w:t>Table 21</w:t>
      </w:r>
      <w:r w:rsidRPr="001762AB">
        <w:rPr>
          <w:rFonts w:ascii="Times New Roman" w:hAnsi="Times New Roman" w:cs="Times New Roman"/>
          <w:b/>
          <w:bCs/>
        </w:rPr>
        <w:tab/>
        <w:t>Progression</w:t>
      </w:r>
      <w:r w:rsidR="00FD0731" w:rsidRPr="001762AB">
        <w:rPr>
          <w:rFonts w:ascii="Times New Roman" w:hAnsi="Times New Roman" w:cs="Times New Roman"/>
          <w:b/>
          <w:bCs/>
        </w:rPr>
        <w:noBreakHyphen/>
      </w:r>
      <w:r w:rsidRPr="001762AB">
        <w:rPr>
          <w:rFonts w:ascii="Times New Roman" w:hAnsi="Times New Roman" w:cs="Times New Roman"/>
          <w:b/>
          <w:bCs/>
        </w:rPr>
        <w:t>free survival by time from last platinum therapy to recurrence</w:t>
      </w:r>
    </w:p>
    <w:p w14:paraId="427D86D5" w14:textId="77777777" w:rsidR="002F3873" w:rsidRPr="00607FAB" w:rsidRDefault="002F3873" w:rsidP="00C32D39">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3020"/>
        <w:gridCol w:w="3021"/>
        <w:gridCol w:w="3021"/>
      </w:tblGrid>
      <w:tr w:rsidR="00A46B65" w:rsidRPr="00607FAB" w14:paraId="4AEC9667"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6E866103" w14:textId="77777777" w:rsidR="00047E69" w:rsidRPr="00607FAB" w:rsidRDefault="00047E69" w:rsidP="002E1DD8">
            <w:pPr>
              <w:pStyle w:val="a5"/>
              <w:widowControl/>
              <w:rPr>
                <w:rFonts w:cs="Times New Roman"/>
              </w:rPr>
            </w:pPr>
          </w:p>
        </w:tc>
        <w:tc>
          <w:tcPr>
            <w:tcW w:w="6192" w:type="dxa"/>
            <w:gridSpan w:val="2"/>
            <w:tcBorders>
              <w:top w:val="single" w:sz="5" w:space="0" w:color="000000"/>
              <w:left w:val="single" w:sz="5" w:space="0" w:color="000000"/>
              <w:bottom w:val="single" w:sz="5" w:space="0" w:color="000000"/>
              <w:right w:val="single" w:sz="5" w:space="0" w:color="000000"/>
            </w:tcBorders>
            <w:vAlign w:val="center"/>
          </w:tcPr>
          <w:p w14:paraId="3444B550" w14:textId="2B13CAAD" w:rsidR="00047E69" w:rsidRPr="00607FAB" w:rsidRDefault="00C210A5" w:rsidP="002E1DD8">
            <w:pPr>
              <w:pStyle w:val="a5"/>
              <w:widowControl/>
              <w:jc w:val="center"/>
              <w:rPr>
                <w:rFonts w:cs="Times New Roman"/>
              </w:rPr>
            </w:pPr>
            <w:r w:rsidRPr="00607FAB">
              <w:rPr>
                <w:rFonts w:cs="Times New Roman"/>
              </w:rPr>
              <w:t xml:space="preserve">Investigator </w:t>
            </w:r>
            <w:r w:rsidR="00AD6B3A" w:rsidRPr="00607FAB">
              <w:rPr>
                <w:rFonts w:cs="Times New Roman"/>
              </w:rPr>
              <w:t>a</w:t>
            </w:r>
            <w:r w:rsidRPr="00607FAB">
              <w:rPr>
                <w:rFonts w:cs="Times New Roman"/>
              </w:rPr>
              <w:t>ssessment</w:t>
            </w:r>
          </w:p>
        </w:tc>
      </w:tr>
      <w:tr w:rsidR="00A46B65" w:rsidRPr="00607FAB" w14:paraId="1D09DAEC"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7152CD2C" w14:textId="77777777" w:rsidR="00047E69" w:rsidRPr="00607FAB" w:rsidRDefault="00C210A5" w:rsidP="002E1DD8">
            <w:pPr>
              <w:pStyle w:val="a5"/>
              <w:widowControl/>
              <w:rPr>
                <w:rFonts w:cs="Times New Roman"/>
              </w:rPr>
            </w:pPr>
            <w:r w:rsidRPr="00607FAB">
              <w:rPr>
                <w:rFonts w:cs="Times New Roman"/>
              </w:rPr>
              <w:t>Time from last platinum therapy to recurrence</w:t>
            </w:r>
          </w:p>
        </w:tc>
        <w:tc>
          <w:tcPr>
            <w:tcW w:w="3096" w:type="dxa"/>
            <w:tcBorders>
              <w:top w:val="single" w:sz="5" w:space="0" w:color="000000"/>
              <w:left w:val="single" w:sz="5" w:space="0" w:color="000000"/>
              <w:bottom w:val="single" w:sz="5" w:space="0" w:color="000000"/>
              <w:right w:val="single" w:sz="5" w:space="0" w:color="000000"/>
            </w:tcBorders>
            <w:vAlign w:val="center"/>
          </w:tcPr>
          <w:p w14:paraId="1096166F" w14:textId="77777777" w:rsidR="00047E69" w:rsidRPr="00607FAB" w:rsidRDefault="00C210A5" w:rsidP="002E1DD8">
            <w:pPr>
              <w:pStyle w:val="a5"/>
              <w:widowControl/>
              <w:jc w:val="center"/>
              <w:rPr>
                <w:rFonts w:cs="Times New Roman"/>
              </w:rPr>
            </w:pPr>
            <w:r w:rsidRPr="00607FAB">
              <w:rPr>
                <w:rFonts w:cs="Times New Roman"/>
              </w:rPr>
              <w:t>Placebo + C/G</w:t>
            </w:r>
          </w:p>
          <w:p w14:paraId="68E76721" w14:textId="77777777" w:rsidR="00047E69" w:rsidRPr="00607FAB" w:rsidRDefault="00C210A5" w:rsidP="002E1DD8">
            <w:pPr>
              <w:pStyle w:val="a5"/>
              <w:widowControl/>
              <w:jc w:val="center"/>
              <w:rPr>
                <w:rFonts w:cs="Times New Roman"/>
              </w:rPr>
            </w:pPr>
            <w:r w:rsidRPr="00607FAB">
              <w:rPr>
                <w:rFonts w:cs="Times New Roman"/>
              </w:rPr>
              <w:t>(n = 242)</w:t>
            </w:r>
          </w:p>
        </w:tc>
        <w:tc>
          <w:tcPr>
            <w:tcW w:w="3096" w:type="dxa"/>
            <w:tcBorders>
              <w:top w:val="single" w:sz="5" w:space="0" w:color="000000"/>
              <w:left w:val="single" w:sz="5" w:space="0" w:color="000000"/>
              <w:bottom w:val="single" w:sz="5" w:space="0" w:color="000000"/>
              <w:right w:val="single" w:sz="5" w:space="0" w:color="000000"/>
            </w:tcBorders>
            <w:vAlign w:val="center"/>
          </w:tcPr>
          <w:p w14:paraId="106C4FC8" w14:textId="77777777" w:rsidR="00047E69" w:rsidRPr="00607FAB" w:rsidRDefault="00C210A5" w:rsidP="002E1DD8">
            <w:pPr>
              <w:pStyle w:val="a5"/>
              <w:widowControl/>
              <w:jc w:val="center"/>
              <w:rPr>
                <w:rFonts w:cs="Times New Roman"/>
              </w:rPr>
            </w:pPr>
            <w:r w:rsidRPr="00607FAB">
              <w:rPr>
                <w:rFonts w:cs="Times New Roman"/>
              </w:rPr>
              <w:t>Bevacizumab + C/G</w:t>
            </w:r>
          </w:p>
          <w:p w14:paraId="263D69A0" w14:textId="77777777" w:rsidR="00047E69" w:rsidRPr="00607FAB" w:rsidRDefault="00C210A5" w:rsidP="002E1DD8">
            <w:pPr>
              <w:pStyle w:val="a5"/>
              <w:widowControl/>
              <w:jc w:val="center"/>
              <w:rPr>
                <w:rFonts w:cs="Times New Roman"/>
              </w:rPr>
            </w:pPr>
            <w:r w:rsidRPr="00607FAB">
              <w:rPr>
                <w:rFonts w:cs="Times New Roman"/>
              </w:rPr>
              <w:t>(n = 242)</w:t>
            </w:r>
          </w:p>
        </w:tc>
      </w:tr>
      <w:tr w:rsidR="00A46B65" w:rsidRPr="00607FAB" w14:paraId="39129662"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1E204144" w14:textId="77777777" w:rsidR="00047E69" w:rsidRPr="00607FAB" w:rsidRDefault="00C210A5" w:rsidP="002E1DD8">
            <w:pPr>
              <w:pStyle w:val="a5"/>
              <w:widowControl/>
              <w:rPr>
                <w:rFonts w:cs="Times New Roman"/>
                <w:b/>
              </w:rPr>
            </w:pPr>
            <w:r w:rsidRPr="00607FAB">
              <w:rPr>
                <w:rFonts w:cs="Times New Roman"/>
                <w:b/>
              </w:rPr>
              <w:t>6 - 12 months (n=202)</w:t>
            </w:r>
          </w:p>
        </w:tc>
        <w:tc>
          <w:tcPr>
            <w:tcW w:w="3096" w:type="dxa"/>
            <w:tcBorders>
              <w:top w:val="single" w:sz="5" w:space="0" w:color="000000"/>
              <w:left w:val="single" w:sz="5" w:space="0" w:color="000000"/>
              <w:bottom w:val="single" w:sz="5" w:space="0" w:color="000000"/>
              <w:right w:val="single" w:sz="5" w:space="0" w:color="000000"/>
            </w:tcBorders>
            <w:vAlign w:val="center"/>
          </w:tcPr>
          <w:p w14:paraId="567483A7" w14:textId="77777777" w:rsidR="00047E69" w:rsidRPr="00607FAB" w:rsidRDefault="00047E69" w:rsidP="002E1DD8">
            <w:pPr>
              <w:pStyle w:val="a5"/>
              <w:widowControl/>
              <w:jc w:val="center"/>
              <w:rPr>
                <w:rFonts w:cs="Times New Roman"/>
              </w:rPr>
            </w:pPr>
          </w:p>
        </w:tc>
        <w:tc>
          <w:tcPr>
            <w:tcW w:w="3096" w:type="dxa"/>
            <w:tcBorders>
              <w:top w:val="single" w:sz="5" w:space="0" w:color="000000"/>
              <w:left w:val="single" w:sz="5" w:space="0" w:color="000000"/>
              <w:bottom w:val="single" w:sz="5" w:space="0" w:color="000000"/>
              <w:right w:val="single" w:sz="5" w:space="0" w:color="000000"/>
            </w:tcBorders>
            <w:vAlign w:val="center"/>
          </w:tcPr>
          <w:p w14:paraId="4EEB6F1D" w14:textId="77777777" w:rsidR="00047E69" w:rsidRPr="00607FAB" w:rsidRDefault="00047E69" w:rsidP="002E1DD8">
            <w:pPr>
              <w:pStyle w:val="a5"/>
              <w:widowControl/>
              <w:jc w:val="center"/>
              <w:rPr>
                <w:rFonts w:cs="Times New Roman"/>
              </w:rPr>
            </w:pPr>
          </w:p>
        </w:tc>
      </w:tr>
      <w:tr w:rsidR="00A46B65" w:rsidRPr="00607FAB" w14:paraId="68BBCAE8"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19200831" w14:textId="77777777" w:rsidR="00047E69" w:rsidRPr="00607FAB" w:rsidRDefault="00C210A5" w:rsidP="002E1DD8">
            <w:pPr>
              <w:pStyle w:val="a5"/>
              <w:widowControl/>
              <w:rPr>
                <w:rFonts w:cs="Times New Roman"/>
                <w:b/>
              </w:rPr>
            </w:pPr>
            <w:r w:rsidRPr="00607FAB">
              <w:rPr>
                <w:rFonts w:cs="Times New Roman"/>
                <w:b/>
              </w:rPr>
              <w:t>Median</w:t>
            </w:r>
          </w:p>
        </w:tc>
        <w:tc>
          <w:tcPr>
            <w:tcW w:w="3096" w:type="dxa"/>
            <w:tcBorders>
              <w:top w:val="single" w:sz="5" w:space="0" w:color="000000"/>
              <w:left w:val="single" w:sz="5" w:space="0" w:color="000000"/>
              <w:bottom w:val="single" w:sz="5" w:space="0" w:color="000000"/>
              <w:right w:val="single" w:sz="5" w:space="0" w:color="000000"/>
            </w:tcBorders>
            <w:vAlign w:val="center"/>
          </w:tcPr>
          <w:p w14:paraId="7CE70A6D" w14:textId="77777777" w:rsidR="00047E69" w:rsidRPr="00607FAB" w:rsidRDefault="00C210A5" w:rsidP="002E1DD8">
            <w:pPr>
              <w:pStyle w:val="a5"/>
              <w:widowControl/>
              <w:jc w:val="center"/>
              <w:rPr>
                <w:rFonts w:cs="Times New Roman"/>
              </w:rPr>
            </w:pPr>
            <w:r w:rsidRPr="00607FAB">
              <w:rPr>
                <w:rFonts w:cs="Times New Roman"/>
              </w:rPr>
              <w:t>8.0</w:t>
            </w:r>
          </w:p>
        </w:tc>
        <w:tc>
          <w:tcPr>
            <w:tcW w:w="3096" w:type="dxa"/>
            <w:tcBorders>
              <w:top w:val="single" w:sz="5" w:space="0" w:color="000000"/>
              <w:left w:val="single" w:sz="5" w:space="0" w:color="000000"/>
              <w:bottom w:val="single" w:sz="5" w:space="0" w:color="000000"/>
              <w:right w:val="single" w:sz="5" w:space="0" w:color="000000"/>
            </w:tcBorders>
            <w:vAlign w:val="center"/>
          </w:tcPr>
          <w:p w14:paraId="4687F481" w14:textId="77777777" w:rsidR="00047E69" w:rsidRPr="00607FAB" w:rsidRDefault="00C210A5" w:rsidP="002E1DD8">
            <w:pPr>
              <w:pStyle w:val="a5"/>
              <w:widowControl/>
              <w:jc w:val="center"/>
              <w:rPr>
                <w:rFonts w:cs="Times New Roman"/>
              </w:rPr>
            </w:pPr>
            <w:r w:rsidRPr="00607FAB">
              <w:rPr>
                <w:rFonts w:cs="Times New Roman"/>
              </w:rPr>
              <w:t>11.9</w:t>
            </w:r>
          </w:p>
        </w:tc>
      </w:tr>
      <w:tr w:rsidR="00A46B65" w:rsidRPr="00607FAB" w14:paraId="61D06407"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07642284" w14:textId="77777777" w:rsidR="00047E69" w:rsidRPr="00607FAB" w:rsidRDefault="00C210A5" w:rsidP="002E1DD8">
            <w:pPr>
              <w:pStyle w:val="a5"/>
              <w:widowControl/>
              <w:rPr>
                <w:rFonts w:cs="Times New Roman"/>
              </w:rPr>
            </w:pPr>
            <w:r w:rsidRPr="00607FAB">
              <w:rPr>
                <w:rFonts w:cs="Times New Roman"/>
              </w:rPr>
              <w:t>Hazard ratio (95% CI)</w:t>
            </w:r>
          </w:p>
        </w:tc>
        <w:tc>
          <w:tcPr>
            <w:tcW w:w="6192" w:type="dxa"/>
            <w:gridSpan w:val="2"/>
            <w:tcBorders>
              <w:top w:val="single" w:sz="5" w:space="0" w:color="000000"/>
              <w:left w:val="single" w:sz="5" w:space="0" w:color="000000"/>
              <w:bottom w:val="single" w:sz="5" w:space="0" w:color="000000"/>
              <w:right w:val="single" w:sz="5" w:space="0" w:color="000000"/>
            </w:tcBorders>
            <w:vAlign w:val="center"/>
          </w:tcPr>
          <w:p w14:paraId="278CDB93" w14:textId="77777777" w:rsidR="00047E69" w:rsidRPr="00607FAB" w:rsidRDefault="00C210A5" w:rsidP="002E1DD8">
            <w:pPr>
              <w:pStyle w:val="a5"/>
              <w:widowControl/>
              <w:jc w:val="center"/>
              <w:rPr>
                <w:rFonts w:cs="Times New Roman"/>
              </w:rPr>
            </w:pPr>
            <w:r w:rsidRPr="00607FAB">
              <w:rPr>
                <w:rFonts w:cs="Times New Roman"/>
              </w:rPr>
              <w:t>0.41 (0.29 - 0.58)</w:t>
            </w:r>
          </w:p>
        </w:tc>
      </w:tr>
      <w:tr w:rsidR="00A46B65" w:rsidRPr="00607FAB" w14:paraId="16FFC22C"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129A4147" w14:textId="77777777" w:rsidR="00047E69" w:rsidRPr="00607FAB" w:rsidRDefault="00C210A5" w:rsidP="002E1DD8">
            <w:pPr>
              <w:pStyle w:val="a5"/>
              <w:widowControl/>
              <w:rPr>
                <w:rFonts w:cs="Times New Roman"/>
                <w:b/>
              </w:rPr>
            </w:pPr>
            <w:r w:rsidRPr="00607FAB">
              <w:rPr>
                <w:rFonts w:cs="Times New Roman"/>
                <w:b/>
              </w:rPr>
              <w:t>&gt; 12 months (n=282)</w:t>
            </w:r>
          </w:p>
        </w:tc>
        <w:tc>
          <w:tcPr>
            <w:tcW w:w="3096" w:type="dxa"/>
            <w:tcBorders>
              <w:top w:val="single" w:sz="5" w:space="0" w:color="000000"/>
              <w:left w:val="single" w:sz="5" w:space="0" w:color="000000"/>
              <w:bottom w:val="single" w:sz="5" w:space="0" w:color="000000"/>
              <w:right w:val="single" w:sz="5" w:space="0" w:color="000000"/>
            </w:tcBorders>
            <w:vAlign w:val="center"/>
          </w:tcPr>
          <w:p w14:paraId="42C70760" w14:textId="77777777" w:rsidR="00047E69" w:rsidRPr="00607FAB" w:rsidRDefault="00047E69" w:rsidP="002E1DD8">
            <w:pPr>
              <w:pStyle w:val="a5"/>
              <w:widowControl/>
              <w:jc w:val="center"/>
              <w:rPr>
                <w:rFonts w:cs="Times New Roman"/>
              </w:rPr>
            </w:pPr>
          </w:p>
        </w:tc>
        <w:tc>
          <w:tcPr>
            <w:tcW w:w="3096" w:type="dxa"/>
            <w:tcBorders>
              <w:top w:val="single" w:sz="5" w:space="0" w:color="000000"/>
              <w:left w:val="single" w:sz="5" w:space="0" w:color="000000"/>
              <w:bottom w:val="single" w:sz="5" w:space="0" w:color="000000"/>
              <w:right w:val="single" w:sz="5" w:space="0" w:color="000000"/>
            </w:tcBorders>
            <w:vAlign w:val="center"/>
          </w:tcPr>
          <w:p w14:paraId="6872CBC2" w14:textId="77777777" w:rsidR="00047E69" w:rsidRPr="00607FAB" w:rsidRDefault="00047E69" w:rsidP="002E1DD8">
            <w:pPr>
              <w:pStyle w:val="a5"/>
              <w:widowControl/>
              <w:jc w:val="center"/>
              <w:rPr>
                <w:rFonts w:cs="Times New Roman"/>
              </w:rPr>
            </w:pPr>
          </w:p>
        </w:tc>
      </w:tr>
      <w:tr w:rsidR="00A46B65" w:rsidRPr="00607FAB" w14:paraId="55431A30"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6CC8CCA7" w14:textId="77777777" w:rsidR="00047E69" w:rsidRPr="00607FAB" w:rsidRDefault="00C210A5" w:rsidP="002E1DD8">
            <w:pPr>
              <w:pStyle w:val="a5"/>
              <w:widowControl/>
              <w:rPr>
                <w:rFonts w:cs="Times New Roman"/>
                <w:b/>
              </w:rPr>
            </w:pPr>
            <w:r w:rsidRPr="00607FAB">
              <w:rPr>
                <w:rFonts w:cs="Times New Roman"/>
                <w:b/>
              </w:rPr>
              <w:t>Median</w:t>
            </w:r>
          </w:p>
        </w:tc>
        <w:tc>
          <w:tcPr>
            <w:tcW w:w="3096" w:type="dxa"/>
            <w:tcBorders>
              <w:top w:val="single" w:sz="5" w:space="0" w:color="000000"/>
              <w:left w:val="single" w:sz="5" w:space="0" w:color="000000"/>
              <w:bottom w:val="single" w:sz="5" w:space="0" w:color="000000"/>
              <w:right w:val="single" w:sz="5" w:space="0" w:color="000000"/>
            </w:tcBorders>
            <w:vAlign w:val="center"/>
          </w:tcPr>
          <w:p w14:paraId="6E60051F" w14:textId="77777777" w:rsidR="00047E69" w:rsidRPr="00607FAB" w:rsidRDefault="00C210A5" w:rsidP="002E1DD8">
            <w:pPr>
              <w:pStyle w:val="a5"/>
              <w:widowControl/>
              <w:jc w:val="center"/>
              <w:rPr>
                <w:rFonts w:cs="Times New Roman"/>
              </w:rPr>
            </w:pPr>
            <w:r w:rsidRPr="00607FAB">
              <w:rPr>
                <w:rFonts w:cs="Times New Roman"/>
              </w:rPr>
              <w:t>9.7</w:t>
            </w:r>
          </w:p>
        </w:tc>
        <w:tc>
          <w:tcPr>
            <w:tcW w:w="3096" w:type="dxa"/>
            <w:tcBorders>
              <w:top w:val="single" w:sz="5" w:space="0" w:color="000000"/>
              <w:left w:val="single" w:sz="5" w:space="0" w:color="000000"/>
              <w:bottom w:val="single" w:sz="5" w:space="0" w:color="000000"/>
              <w:right w:val="single" w:sz="5" w:space="0" w:color="000000"/>
            </w:tcBorders>
            <w:vAlign w:val="center"/>
          </w:tcPr>
          <w:p w14:paraId="74B16A2C" w14:textId="77777777" w:rsidR="00047E69" w:rsidRPr="00607FAB" w:rsidRDefault="00C210A5" w:rsidP="002E1DD8">
            <w:pPr>
              <w:pStyle w:val="a5"/>
              <w:widowControl/>
              <w:jc w:val="center"/>
              <w:rPr>
                <w:rFonts w:cs="Times New Roman"/>
              </w:rPr>
            </w:pPr>
            <w:r w:rsidRPr="00607FAB">
              <w:rPr>
                <w:rFonts w:cs="Times New Roman"/>
              </w:rPr>
              <w:t>12.4</w:t>
            </w:r>
          </w:p>
        </w:tc>
      </w:tr>
      <w:tr w:rsidR="00A46B65" w:rsidRPr="00607FAB" w14:paraId="30C8A86E" w14:textId="77777777" w:rsidTr="004228B0">
        <w:trPr>
          <w:trHeight w:val="20"/>
        </w:trPr>
        <w:tc>
          <w:tcPr>
            <w:tcW w:w="3096" w:type="dxa"/>
            <w:tcBorders>
              <w:top w:val="single" w:sz="5" w:space="0" w:color="000000"/>
              <w:left w:val="single" w:sz="5" w:space="0" w:color="000000"/>
              <w:bottom w:val="single" w:sz="5" w:space="0" w:color="000000"/>
              <w:right w:val="single" w:sz="5" w:space="0" w:color="000000"/>
            </w:tcBorders>
          </w:tcPr>
          <w:p w14:paraId="0A507530" w14:textId="77777777" w:rsidR="00047E69" w:rsidRPr="00607FAB" w:rsidRDefault="00C210A5" w:rsidP="002E1DD8">
            <w:pPr>
              <w:pStyle w:val="a5"/>
              <w:widowControl/>
              <w:rPr>
                <w:rFonts w:cs="Times New Roman"/>
              </w:rPr>
            </w:pPr>
            <w:r w:rsidRPr="00607FAB">
              <w:rPr>
                <w:rFonts w:cs="Times New Roman"/>
              </w:rPr>
              <w:t>Hazard ratio (95% CI)</w:t>
            </w:r>
          </w:p>
        </w:tc>
        <w:tc>
          <w:tcPr>
            <w:tcW w:w="6192" w:type="dxa"/>
            <w:gridSpan w:val="2"/>
            <w:tcBorders>
              <w:top w:val="single" w:sz="5" w:space="0" w:color="000000"/>
              <w:left w:val="single" w:sz="5" w:space="0" w:color="000000"/>
              <w:bottom w:val="single" w:sz="5" w:space="0" w:color="000000"/>
              <w:right w:val="single" w:sz="5" w:space="0" w:color="000000"/>
            </w:tcBorders>
            <w:vAlign w:val="center"/>
          </w:tcPr>
          <w:p w14:paraId="4BAC6C6E" w14:textId="77777777" w:rsidR="00047E69" w:rsidRPr="00607FAB" w:rsidRDefault="00C210A5" w:rsidP="002E1DD8">
            <w:pPr>
              <w:pStyle w:val="a5"/>
              <w:widowControl/>
              <w:jc w:val="center"/>
              <w:rPr>
                <w:rFonts w:cs="Times New Roman"/>
              </w:rPr>
            </w:pPr>
            <w:r w:rsidRPr="00607FAB">
              <w:rPr>
                <w:rFonts w:cs="Times New Roman"/>
              </w:rPr>
              <w:t>0.55 (0.41 - 0.73)</w:t>
            </w:r>
          </w:p>
        </w:tc>
      </w:tr>
    </w:tbl>
    <w:p w14:paraId="16F74AD0" w14:textId="31530B51" w:rsidR="00047E69" w:rsidRPr="00607FAB" w:rsidRDefault="00C210A5" w:rsidP="002E1DD8">
      <w:pPr>
        <w:widowControl/>
        <w:adjustRightInd w:val="0"/>
        <w:snapToGrid w:val="0"/>
        <w:rPr>
          <w:rFonts w:ascii="Times New Roman" w:eastAsia="Times New Roman" w:hAnsi="Times New Roman" w:cs="Times New Roman"/>
        </w:rPr>
      </w:pPr>
      <w:r w:rsidRPr="00607FAB">
        <w:rPr>
          <w:rFonts w:ascii="Times New Roman"/>
          <w:i/>
        </w:rPr>
        <w:lastRenderedPageBreak/>
        <w:t>GOG</w:t>
      </w:r>
      <w:r w:rsidR="00FD0731" w:rsidRPr="00607FAB">
        <w:rPr>
          <w:rFonts w:ascii="Times New Roman"/>
          <w:i/>
        </w:rPr>
        <w:noBreakHyphen/>
      </w:r>
      <w:r w:rsidRPr="00607FAB">
        <w:rPr>
          <w:rFonts w:ascii="Times New Roman"/>
          <w:i/>
        </w:rPr>
        <w:t>0213</w:t>
      </w:r>
    </w:p>
    <w:p w14:paraId="27FDD9D7" w14:textId="3F3CB3FD" w:rsidR="00047E69" w:rsidRPr="00607FAB" w:rsidRDefault="00C210A5" w:rsidP="002E1DD8">
      <w:pPr>
        <w:pStyle w:val="a5"/>
        <w:widowControl/>
        <w:adjustRightInd w:val="0"/>
        <w:snapToGrid w:val="0"/>
      </w:pPr>
      <w:r w:rsidRPr="00607FAB">
        <w:t>GOG</w:t>
      </w:r>
      <w:r w:rsidR="00FD0731" w:rsidRPr="00607FAB">
        <w:noBreakHyphen/>
      </w:r>
      <w:r w:rsidRPr="00607FAB">
        <w:t>0213, a phase III randomized controlled open label trial, studied the safety and efficacy of bevacizumab in the treatment of patients with platinum</w:t>
      </w:r>
      <w:r w:rsidR="00FD0731" w:rsidRPr="00607FAB">
        <w:noBreakHyphen/>
      </w:r>
      <w:r w:rsidRPr="00607FAB">
        <w:t>sensitive, recurrent epithelial ovarian, fallopian tube or primary peritoneal cancer, who have not received prior chemotherapy in the recurrent setting. There was no exclusion criterion for prior anti</w:t>
      </w:r>
      <w:r w:rsidR="00FD0731" w:rsidRPr="00607FAB">
        <w:noBreakHyphen/>
      </w:r>
      <w:r w:rsidRPr="00607FAB">
        <w:t>angiogenic therapy. The study evaluated the effect of adding bevacizumab to carboplatin+paclitaxel and continuing bevacizumab as a single agent until disease progression or unacceptable toxicity compared to carboplatin+paclitaxel alone.</w:t>
      </w:r>
    </w:p>
    <w:p w14:paraId="509AE37F" w14:textId="77777777" w:rsidR="00047E69" w:rsidRPr="00607FAB" w:rsidRDefault="00047E69" w:rsidP="002E1DD8">
      <w:pPr>
        <w:widowControl/>
        <w:adjustRightInd w:val="0"/>
        <w:snapToGrid w:val="0"/>
        <w:rPr>
          <w:rFonts w:ascii="Times New Roman" w:eastAsia="Times New Roman" w:hAnsi="Times New Roman" w:cs="Times New Roman"/>
          <w:sz w:val="21"/>
          <w:szCs w:val="21"/>
        </w:rPr>
      </w:pPr>
    </w:p>
    <w:p w14:paraId="61166988" w14:textId="77777777" w:rsidR="00047E69" w:rsidRPr="00607FAB" w:rsidRDefault="00C210A5" w:rsidP="002E1DD8">
      <w:pPr>
        <w:pStyle w:val="a5"/>
        <w:widowControl/>
        <w:adjustRightInd w:val="0"/>
        <w:snapToGrid w:val="0"/>
      </w:pPr>
      <w:r w:rsidRPr="00607FAB">
        <w:t>A total of 673 patients were randomized in equal proportions to the following two treatment arms:</w:t>
      </w:r>
    </w:p>
    <w:p w14:paraId="33DB83EA" w14:textId="16D1BBFE" w:rsidR="00047E69" w:rsidRPr="00607FAB" w:rsidRDefault="00C210A5" w:rsidP="002E1DD8">
      <w:pPr>
        <w:pStyle w:val="a5"/>
        <w:widowControl/>
        <w:numPr>
          <w:ilvl w:val="1"/>
          <w:numId w:val="11"/>
        </w:numPr>
        <w:tabs>
          <w:tab w:val="left" w:pos="837"/>
        </w:tabs>
        <w:adjustRightInd w:val="0"/>
        <w:snapToGrid w:val="0"/>
        <w:ind w:left="567" w:hanging="567"/>
      </w:pPr>
      <w:r w:rsidRPr="00607FAB">
        <w:t xml:space="preserve">CP arm: Carboplatin (AUC5) and paclitaxel (175 mg/m2 </w:t>
      </w:r>
      <w:r w:rsidR="005603A9" w:rsidRPr="00607FAB">
        <w:t>intravenous</w:t>
      </w:r>
      <w:r w:rsidRPr="00607FAB">
        <w:t>) every 3 weeks for 6 and up to 8 cycles.</w:t>
      </w:r>
    </w:p>
    <w:p w14:paraId="07606501" w14:textId="0725B2E7" w:rsidR="00047E69" w:rsidRPr="00607FAB" w:rsidRDefault="00C210A5" w:rsidP="002E1DD8">
      <w:pPr>
        <w:pStyle w:val="a5"/>
        <w:widowControl/>
        <w:numPr>
          <w:ilvl w:val="1"/>
          <w:numId w:val="11"/>
        </w:numPr>
        <w:tabs>
          <w:tab w:val="left" w:pos="837"/>
        </w:tabs>
        <w:adjustRightInd w:val="0"/>
        <w:snapToGrid w:val="0"/>
        <w:ind w:left="567" w:hanging="567"/>
      </w:pPr>
      <w:r w:rsidRPr="00607FAB">
        <w:t xml:space="preserve">CPB arm: Carboplatin (AUC5) and paclitaxel (175 mg/m2 </w:t>
      </w:r>
      <w:r w:rsidR="005603A9" w:rsidRPr="00607FAB">
        <w:t>intravenous</w:t>
      </w:r>
      <w:r w:rsidRPr="00607FAB">
        <w:t>) and concurrent bevacizumab (15 mg/kg) every 3 weeks for 6 and up to 8 cycles, followed by bevacizumab (15 mg/kg every 3 weeks) alone until disease progression or unacceptable toxicity.</w:t>
      </w:r>
    </w:p>
    <w:p w14:paraId="180F854C" w14:textId="77777777" w:rsidR="00047E69" w:rsidRPr="00607FAB" w:rsidRDefault="00047E69" w:rsidP="002E1DD8">
      <w:pPr>
        <w:widowControl/>
        <w:adjustRightInd w:val="0"/>
        <w:snapToGrid w:val="0"/>
        <w:rPr>
          <w:rFonts w:ascii="Times New Roman" w:eastAsia="Times New Roman" w:hAnsi="Times New Roman" w:cs="Times New Roman"/>
          <w:sz w:val="21"/>
          <w:szCs w:val="21"/>
        </w:rPr>
      </w:pPr>
    </w:p>
    <w:p w14:paraId="26797559" w14:textId="77777777" w:rsidR="00047E69" w:rsidRPr="00607FAB" w:rsidRDefault="00C210A5" w:rsidP="002E1DD8">
      <w:pPr>
        <w:pStyle w:val="a5"/>
        <w:widowControl/>
        <w:adjustRightInd w:val="0"/>
        <w:snapToGrid w:val="0"/>
      </w:pPr>
      <w:r w:rsidRPr="00607FAB">
        <w:t>Most patients in both the CP arm (80.4%) and the CPB arm (78.9%) were White. The median age was</w:t>
      </w:r>
    </w:p>
    <w:p w14:paraId="1C97AEC7" w14:textId="77777777" w:rsidR="00047E69" w:rsidRPr="00607FAB" w:rsidRDefault="00C210A5" w:rsidP="002E1DD8">
      <w:pPr>
        <w:pStyle w:val="a5"/>
        <w:widowControl/>
        <w:adjustRightInd w:val="0"/>
        <w:snapToGrid w:val="0"/>
      </w:pPr>
      <w:r w:rsidRPr="00607FAB">
        <w:t>60.0 years in the CP arm and 59.0 years in the CPB arm. The majority of patients (CP: 64.6%; CPB: 68.8%) were in the age category &lt; 65 years. At baseline, most patients in both treatment arms had a GOG PS of 0 (CP: 82.4%: CPB; 80.7%) or 1 (CP: 16.7%: CPB; 18.1%). A GOG PS of 2 at baseline was reported in 0.9% of patients in the CP arm and in 1.2% of patients in the CPB arm.</w:t>
      </w:r>
    </w:p>
    <w:p w14:paraId="0218BACC" w14:textId="77777777" w:rsidR="00047E69" w:rsidRPr="00607FAB" w:rsidRDefault="00047E69" w:rsidP="002E1DD8">
      <w:pPr>
        <w:widowControl/>
        <w:adjustRightInd w:val="0"/>
        <w:snapToGrid w:val="0"/>
        <w:rPr>
          <w:rFonts w:ascii="Times New Roman" w:eastAsia="Times New Roman" w:hAnsi="Times New Roman" w:cs="Times New Roman"/>
        </w:rPr>
      </w:pPr>
    </w:p>
    <w:p w14:paraId="09C2E7EC" w14:textId="31DDB041" w:rsidR="00047E69" w:rsidRPr="00607FAB" w:rsidRDefault="00C210A5" w:rsidP="002E1DD8">
      <w:pPr>
        <w:pStyle w:val="a5"/>
        <w:widowControl/>
        <w:adjustRightInd w:val="0"/>
        <w:snapToGrid w:val="0"/>
      </w:pPr>
      <w:r w:rsidRPr="00607FAB">
        <w:t>The primary efficacy endpoint was OS. The main secondary efficacy endpoint was PFS. Results are presented in Table 22.</w:t>
      </w:r>
    </w:p>
    <w:p w14:paraId="47D12C95" w14:textId="77777777" w:rsidR="00A135EE" w:rsidRPr="00607FAB" w:rsidRDefault="00A135EE" w:rsidP="00C32D39"/>
    <w:p w14:paraId="07D9D2CF" w14:textId="1B94B160" w:rsidR="00047E69" w:rsidRPr="007B2005" w:rsidRDefault="00C210A5" w:rsidP="007B2005">
      <w:pPr>
        <w:ind w:left="1134" w:hanging="1134"/>
        <w:rPr>
          <w:rFonts w:ascii="Times New Roman" w:hAnsi="Times New Roman" w:cs="Times New Roman"/>
          <w:b/>
          <w:bCs/>
        </w:rPr>
      </w:pPr>
      <w:r w:rsidRPr="007B2005">
        <w:rPr>
          <w:rFonts w:ascii="Times New Roman" w:hAnsi="Times New Roman" w:cs="Times New Roman"/>
          <w:b/>
          <w:bCs/>
        </w:rPr>
        <w:t>Table 22</w:t>
      </w:r>
      <w:r w:rsidRPr="007B2005">
        <w:rPr>
          <w:rFonts w:ascii="Times New Roman" w:hAnsi="Times New Roman" w:cs="Times New Roman"/>
          <w:b/>
          <w:bCs/>
        </w:rPr>
        <w:tab/>
        <w:t>Efficacy results</w:t>
      </w:r>
      <w:r w:rsidRPr="007B2005">
        <w:rPr>
          <w:rFonts w:ascii="Times New Roman" w:hAnsi="Times New Roman" w:cs="Times New Roman"/>
          <w:b/>
          <w:bCs/>
          <w:vertAlign w:val="superscript"/>
        </w:rPr>
        <w:t>1,2</w:t>
      </w:r>
      <w:r w:rsidRPr="007B2005">
        <w:rPr>
          <w:rFonts w:ascii="Times New Roman" w:hAnsi="Times New Roman" w:cs="Times New Roman"/>
          <w:b/>
          <w:bCs/>
        </w:rPr>
        <w:t xml:space="preserve"> from study GOG</w:t>
      </w:r>
      <w:r w:rsidR="00FD0731" w:rsidRPr="007B2005">
        <w:rPr>
          <w:rFonts w:ascii="Times New Roman" w:hAnsi="Times New Roman" w:cs="Times New Roman"/>
          <w:b/>
          <w:bCs/>
        </w:rPr>
        <w:noBreakHyphen/>
      </w:r>
      <w:r w:rsidRPr="007B2005">
        <w:rPr>
          <w:rFonts w:ascii="Times New Roman" w:hAnsi="Times New Roman" w:cs="Times New Roman"/>
          <w:b/>
          <w:bCs/>
        </w:rPr>
        <w:t>0213</w:t>
      </w:r>
    </w:p>
    <w:p w14:paraId="2BCFFE97" w14:textId="77777777" w:rsidR="00AF607F" w:rsidRPr="00607FAB" w:rsidRDefault="00AF607F" w:rsidP="00C32D39">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4166"/>
        <w:gridCol w:w="2287"/>
        <w:gridCol w:w="2609"/>
      </w:tblGrid>
      <w:tr w:rsidR="00A46B65" w:rsidRPr="00607FAB" w14:paraId="73FC1DF9" w14:textId="77777777" w:rsidTr="004228B0">
        <w:tc>
          <w:tcPr>
            <w:tcW w:w="8918" w:type="dxa"/>
            <w:gridSpan w:val="3"/>
            <w:tcBorders>
              <w:top w:val="single" w:sz="5" w:space="0" w:color="000000"/>
              <w:left w:val="single" w:sz="5" w:space="0" w:color="000000"/>
              <w:bottom w:val="single" w:sz="5" w:space="0" w:color="000000"/>
              <w:right w:val="single" w:sz="5" w:space="0" w:color="000000"/>
            </w:tcBorders>
          </w:tcPr>
          <w:p w14:paraId="20839BC8" w14:textId="143B6B9A"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b/>
              </w:rPr>
              <w:t xml:space="preserve">Primary </w:t>
            </w:r>
            <w:r w:rsidR="006A1EA8" w:rsidRPr="00607FAB">
              <w:rPr>
                <w:rFonts w:ascii="Times New Roman"/>
                <w:b/>
              </w:rPr>
              <w:t>e</w:t>
            </w:r>
            <w:r w:rsidRPr="00607FAB">
              <w:rPr>
                <w:rFonts w:ascii="Times New Roman"/>
                <w:b/>
              </w:rPr>
              <w:t>ndpoint</w:t>
            </w:r>
          </w:p>
        </w:tc>
      </w:tr>
      <w:tr w:rsidR="00A27683" w:rsidRPr="00607FAB" w14:paraId="50C49FEE"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2A16BCE3" w14:textId="5EBEF2B6" w:rsidR="00047E69" w:rsidRPr="00607FAB" w:rsidRDefault="00C210A5" w:rsidP="002E1DD8">
            <w:pPr>
              <w:pStyle w:val="TableParagraph"/>
              <w:widowControl/>
              <w:rPr>
                <w:rFonts w:ascii="Times New Roman" w:eastAsia="Times New Roman" w:hAnsi="Times New Roman" w:cs="Times New Roman"/>
                <w:b/>
                <w:u w:val="single"/>
              </w:rPr>
            </w:pPr>
            <w:r w:rsidRPr="00607FAB">
              <w:rPr>
                <w:rFonts w:ascii="Times New Roman"/>
                <w:b/>
                <w:u w:val="single"/>
              </w:rPr>
              <w:t xml:space="preserve">Overall </w:t>
            </w:r>
            <w:r w:rsidR="006A1EA8" w:rsidRPr="00607FAB">
              <w:rPr>
                <w:rFonts w:ascii="Times New Roman"/>
                <w:b/>
                <w:u w:val="single"/>
              </w:rPr>
              <w:t>s</w:t>
            </w:r>
            <w:r w:rsidRPr="00607FAB">
              <w:rPr>
                <w:rFonts w:ascii="Times New Roman"/>
                <w:b/>
                <w:u w:val="single"/>
              </w:rPr>
              <w:t xml:space="preserve">urvival </w:t>
            </w:r>
          </w:p>
        </w:tc>
        <w:tc>
          <w:tcPr>
            <w:tcW w:w="2251" w:type="dxa"/>
            <w:tcBorders>
              <w:top w:val="single" w:sz="5" w:space="0" w:color="000000"/>
              <w:left w:val="single" w:sz="5" w:space="0" w:color="000000"/>
              <w:bottom w:val="single" w:sz="5" w:space="0" w:color="000000"/>
              <w:right w:val="single" w:sz="5" w:space="0" w:color="000000"/>
            </w:tcBorders>
          </w:tcPr>
          <w:p w14:paraId="45592BCD"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CP (n=336)</w:t>
            </w:r>
          </w:p>
        </w:tc>
        <w:tc>
          <w:tcPr>
            <w:tcW w:w="2568" w:type="dxa"/>
            <w:tcBorders>
              <w:top w:val="single" w:sz="5" w:space="0" w:color="000000"/>
              <w:left w:val="single" w:sz="5" w:space="0" w:color="000000"/>
              <w:bottom w:val="single" w:sz="5" w:space="0" w:color="000000"/>
              <w:right w:val="single" w:sz="5" w:space="0" w:color="000000"/>
            </w:tcBorders>
          </w:tcPr>
          <w:p w14:paraId="08F2416D"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CPB (n=337)</w:t>
            </w:r>
          </w:p>
        </w:tc>
      </w:tr>
      <w:tr w:rsidR="00A27683" w:rsidRPr="00607FAB" w14:paraId="240C8CF4"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2238432E" w14:textId="77777777"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Median OS (months)</w:t>
            </w:r>
          </w:p>
        </w:tc>
        <w:tc>
          <w:tcPr>
            <w:tcW w:w="2251" w:type="dxa"/>
            <w:tcBorders>
              <w:top w:val="single" w:sz="5" w:space="0" w:color="000000"/>
              <w:left w:val="single" w:sz="5" w:space="0" w:color="000000"/>
              <w:bottom w:val="single" w:sz="5" w:space="0" w:color="000000"/>
              <w:right w:val="single" w:sz="5" w:space="0" w:color="000000"/>
            </w:tcBorders>
          </w:tcPr>
          <w:p w14:paraId="63760DC1"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37.3</w:t>
            </w:r>
          </w:p>
        </w:tc>
        <w:tc>
          <w:tcPr>
            <w:tcW w:w="2568" w:type="dxa"/>
            <w:tcBorders>
              <w:top w:val="single" w:sz="5" w:space="0" w:color="000000"/>
              <w:left w:val="single" w:sz="5" w:space="0" w:color="000000"/>
              <w:bottom w:val="single" w:sz="5" w:space="0" w:color="000000"/>
              <w:right w:val="single" w:sz="5" w:space="0" w:color="000000"/>
            </w:tcBorders>
          </w:tcPr>
          <w:p w14:paraId="42FAA158"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42.6</w:t>
            </w:r>
          </w:p>
        </w:tc>
      </w:tr>
      <w:tr w:rsidR="00A46B65" w:rsidRPr="00607FAB" w14:paraId="32CC4645"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10883A45" w14:textId="77777777"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Hazard ratio (95% CI) (eCRF)</w:t>
            </w:r>
            <w:r w:rsidRPr="00607FAB">
              <w:rPr>
                <w:rFonts w:ascii="Times New Roman"/>
                <w:position w:val="9"/>
                <w:sz w:val="18"/>
                <w:szCs w:val="18"/>
              </w:rPr>
              <w:t>a</w:t>
            </w:r>
          </w:p>
        </w:tc>
        <w:tc>
          <w:tcPr>
            <w:tcW w:w="4819" w:type="dxa"/>
            <w:gridSpan w:val="2"/>
            <w:tcBorders>
              <w:top w:val="single" w:sz="5" w:space="0" w:color="000000"/>
              <w:left w:val="single" w:sz="5" w:space="0" w:color="000000"/>
              <w:bottom w:val="single" w:sz="5" w:space="0" w:color="000000"/>
              <w:right w:val="single" w:sz="5" w:space="0" w:color="000000"/>
            </w:tcBorders>
          </w:tcPr>
          <w:p w14:paraId="5530236F"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0.823 [CI: 0.680, 0.996]</w:t>
            </w:r>
          </w:p>
        </w:tc>
      </w:tr>
      <w:tr w:rsidR="00A46B65" w:rsidRPr="00607FAB" w14:paraId="48C4EF20"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61B0A2F3" w14:textId="5B3C27E9"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p</w:t>
            </w:r>
            <w:r w:rsidR="00FD0731" w:rsidRPr="00607FAB">
              <w:rPr>
                <w:rFonts w:ascii="Times New Roman"/>
              </w:rPr>
              <w:noBreakHyphen/>
            </w:r>
            <w:r w:rsidR="006A1EA8" w:rsidRPr="00607FAB">
              <w:rPr>
                <w:rFonts w:ascii="Times New Roman"/>
              </w:rPr>
              <w:t>v</w:t>
            </w:r>
            <w:r w:rsidRPr="00607FAB">
              <w:rPr>
                <w:rFonts w:ascii="Times New Roman"/>
              </w:rPr>
              <w:t>alue</w:t>
            </w:r>
          </w:p>
        </w:tc>
        <w:tc>
          <w:tcPr>
            <w:tcW w:w="4819" w:type="dxa"/>
            <w:gridSpan w:val="2"/>
            <w:tcBorders>
              <w:top w:val="single" w:sz="5" w:space="0" w:color="000000"/>
              <w:left w:val="single" w:sz="5" w:space="0" w:color="000000"/>
              <w:bottom w:val="single" w:sz="5" w:space="0" w:color="000000"/>
              <w:right w:val="single" w:sz="5" w:space="0" w:color="000000"/>
            </w:tcBorders>
          </w:tcPr>
          <w:p w14:paraId="506834F8"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0.0447</w:t>
            </w:r>
          </w:p>
        </w:tc>
      </w:tr>
      <w:tr w:rsidR="00A46B65" w:rsidRPr="00607FAB" w14:paraId="31D38EBC"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6A109130" w14:textId="77777777" w:rsidR="00DB446A" w:rsidRPr="00607FAB" w:rsidRDefault="00C210A5" w:rsidP="002E1DD8">
            <w:pPr>
              <w:pStyle w:val="TableParagraph"/>
              <w:widowControl/>
              <w:ind w:leftChars="50" w:left="110"/>
              <w:rPr>
                <w:rFonts w:ascii="Times New Roman"/>
              </w:rPr>
            </w:pPr>
            <w:r w:rsidRPr="00607FAB">
              <w:rPr>
                <w:rFonts w:ascii="Times New Roman"/>
              </w:rPr>
              <w:t xml:space="preserve">Hazard ratio (95% CI) </w:t>
            </w:r>
          </w:p>
          <w:p w14:paraId="46168115" w14:textId="189EC697"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(registration form)</w:t>
            </w:r>
            <w:r w:rsidRPr="00607FAB">
              <w:rPr>
                <w:rFonts w:ascii="Times New Roman"/>
                <w:position w:val="9"/>
                <w:sz w:val="18"/>
                <w:szCs w:val="18"/>
              </w:rPr>
              <w:t>b</w:t>
            </w:r>
          </w:p>
        </w:tc>
        <w:tc>
          <w:tcPr>
            <w:tcW w:w="4819" w:type="dxa"/>
            <w:gridSpan w:val="2"/>
            <w:tcBorders>
              <w:top w:val="single" w:sz="5" w:space="0" w:color="000000"/>
              <w:left w:val="single" w:sz="5" w:space="0" w:color="000000"/>
              <w:bottom w:val="single" w:sz="5" w:space="0" w:color="000000"/>
              <w:right w:val="single" w:sz="5" w:space="0" w:color="000000"/>
            </w:tcBorders>
          </w:tcPr>
          <w:p w14:paraId="6862D007"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0.838 [CI: 0.693, 1.014]</w:t>
            </w:r>
          </w:p>
        </w:tc>
      </w:tr>
      <w:tr w:rsidR="00A46B65" w:rsidRPr="00607FAB" w14:paraId="5E72ED69"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1C17953F" w14:textId="3A295098"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p</w:t>
            </w:r>
            <w:r w:rsidR="00FD0731" w:rsidRPr="00607FAB">
              <w:rPr>
                <w:rFonts w:ascii="Times New Roman"/>
              </w:rPr>
              <w:noBreakHyphen/>
            </w:r>
            <w:r w:rsidR="006A1EA8" w:rsidRPr="00607FAB">
              <w:rPr>
                <w:rFonts w:ascii="Times New Roman"/>
              </w:rPr>
              <w:t>v</w:t>
            </w:r>
            <w:r w:rsidRPr="00607FAB">
              <w:rPr>
                <w:rFonts w:ascii="Times New Roman"/>
              </w:rPr>
              <w:t>alue</w:t>
            </w:r>
          </w:p>
        </w:tc>
        <w:tc>
          <w:tcPr>
            <w:tcW w:w="4819" w:type="dxa"/>
            <w:gridSpan w:val="2"/>
            <w:tcBorders>
              <w:top w:val="single" w:sz="5" w:space="0" w:color="000000"/>
              <w:left w:val="single" w:sz="5" w:space="0" w:color="000000"/>
              <w:bottom w:val="single" w:sz="5" w:space="0" w:color="000000"/>
              <w:right w:val="single" w:sz="5" w:space="0" w:color="000000"/>
            </w:tcBorders>
          </w:tcPr>
          <w:p w14:paraId="4FC54849"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0.0683</w:t>
            </w:r>
          </w:p>
        </w:tc>
      </w:tr>
      <w:tr w:rsidR="00A46B65" w:rsidRPr="00607FAB" w14:paraId="0B7F7654" w14:textId="77777777" w:rsidTr="004228B0">
        <w:tc>
          <w:tcPr>
            <w:tcW w:w="8918" w:type="dxa"/>
            <w:gridSpan w:val="3"/>
            <w:tcBorders>
              <w:top w:val="single" w:sz="5" w:space="0" w:color="000000"/>
              <w:left w:val="single" w:sz="5" w:space="0" w:color="000000"/>
              <w:bottom w:val="single" w:sz="5" w:space="0" w:color="000000"/>
              <w:right w:val="single" w:sz="5" w:space="0" w:color="000000"/>
            </w:tcBorders>
          </w:tcPr>
          <w:p w14:paraId="7A0ACDA0" w14:textId="5E05AA76"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b/>
              </w:rPr>
              <w:t xml:space="preserve">Secondary </w:t>
            </w:r>
            <w:r w:rsidR="006A1EA8" w:rsidRPr="00607FAB">
              <w:rPr>
                <w:rFonts w:ascii="Times New Roman"/>
                <w:b/>
              </w:rPr>
              <w:t>e</w:t>
            </w:r>
            <w:r w:rsidRPr="00607FAB">
              <w:rPr>
                <w:rFonts w:ascii="Times New Roman"/>
                <w:b/>
              </w:rPr>
              <w:t>ndpoint</w:t>
            </w:r>
          </w:p>
        </w:tc>
      </w:tr>
      <w:tr w:rsidR="00A27683" w:rsidRPr="00607FAB" w14:paraId="4BB6393D"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33EB2A17" w14:textId="1FBED70D" w:rsidR="00047E69" w:rsidRPr="00607FAB" w:rsidRDefault="00C210A5" w:rsidP="002E1DD8">
            <w:pPr>
              <w:pStyle w:val="TableParagraph"/>
              <w:widowControl/>
              <w:rPr>
                <w:rFonts w:ascii="Times New Roman" w:eastAsia="Times New Roman" w:hAnsi="Times New Roman" w:cs="Times New Roman"/>
              </w:rPr>
            </w:pPr>
            <w:r w:rsidRPr="00607FAB">
              <w:rPr>
                <w:rFonts w:ascii="Times New Roman"/>
                <w:b/>
              </w:rPr>
              <w:t>Progression</w:t>
            </w:r>
            <w:r w:rsidR="00FD0731" w:rsidRPr="00607FAB">
              <w:rPr>
                <w:rFonts w:ascii="Times New Roman"/>
                <w:b/>
              </w:rPr>
              <w:noBreakHyphen/>
            </w:r>
            <w:r w:rsidRPr="00607FAB">
              <w:rPr>
                <w:rFonts w:ascii="Times New Roman"/>
                <w:b/>
              </w:rPr>
              <w:t>free survival</w:t>
            </w:r>
          </w:p>
        </w:tc>
        <w:tc>
          <w:tcPr>
            <w:tcW w:w="2251" w:type="dxa"/>
            <w:tcBorders>
              <w:top w:val="single" w:sz="5" w:space="0" w:color="000000"/>
              <w:left w:val="single" w:sz="5" w:space="0" w:color="000000"/>
              <w:bottom w:val="single" w:sz="5" w:space="0" w:color="000000"/>
              <w:right w:val="single" w:sz="5" w:space="0" w:color="000000"/>
            </w:tcBorders>
          </w:tcPr>
          <w:p w14:paraId="5FBA8953"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CP (n=336)</w:t>
            </w:r>
          </w:p>
        </w:tc>
        <w:tc>
          <w:tcPr>
            <w:tcW w:w="2568" w:type="dxa"/>
            <w:tcBorders>
              <w:top w:val="single" w:sz="5" w:space="0" w:color="000000"/>
              <w:left w:val="single" w:sz="5" w:space="0" w:color="000000"/>
              <w:bottom w:val="single" w:sz="5" w:space="0" w:color="000000"/>
              <w:right w:val="single" w:sz="5" w:space="0" w:color="000000"/>
            </w:tcBorders>
          </w:tcPr>
          <w:p w14:paraId="12330E3F"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CPB (n=337)</w:t>
            </w:r>
          </w:p>
        </w:tc>
      </w:tr>
      <w:tr w:rsidR="00A27683" w:rsidRPr="00607FAB" w14:paraId="1048C118"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28BEB566" w14:textId="77777777"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Median PFS (months)</w:t>
            </w:r>
          </w:p>
        </w:tc>
        <w:tc>
          <w:tcPr>
            <w:tcW w:w="2251" w:type="dxa"/>
            <w:tcBorders>
              <w:top w:val="single" w:sz="5" w:space="0" w:color="000000"/>
              <w:left w:val="single" w:sz="5" w:space="0" w:color="000000"/>
              <w:bottom w:val="single" w:sz="5" w:space="0" w:color="000000"/>
              <w:right w:val="single" w:sz="5" w:space="0" w:color="000000"/>
            </w:tcBorders>
          </w:tcPr>
          <w:p w14:paraId="3741D489"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10.2</w:t>
            </w:r>
          </w:p>
        </w:tc>
        <w:tc>
          <w:tcPr>
            <w:tcW w:w="2568" w:type="dxa"/>
            <w:tcBorders>
              <w:top w:val="single" w:sz="5" w:space="0" w:color="000000"/>
              <w:left w:val="single" w:sz="5" w:space="0" w:color="000000"/>
              <w:bottom w:val="single" w:sz="5" w:space="0" w:color="000000"/>
              <w:right w:val="single" w:sz="5" w:space="0" w:color="000000"/>
            </w:tcBorders>
          </w:tcPr>
          <w:p w14:paraId="7383545F"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13.8</w:t>
            </w:r>
          </w:p>
        </w:tc>
      </w:tr>
      <w:tr w:rsidR="00A46B65" w:rsidRPr="00607FAB" w14:paraId="797A882F"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52245D81" w14:textId="77777777"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Hazard ratio (95% CI)</w:t>
            </w:r>
          </w:p>
        </w:tc>
        <w:tc>
          <w:tcPr>
            <w:tcW w:w="4819" w:type="dxa"/>
            <w:gridSpan w:val="2"/>
            <w:tcBorders>
              <w:top w:val="single" w:sz="5" w:space="0" w:color="000000"/>
              <w:left w:val="single" w:sz="5" w:space="0" w:color="000000"/>
              <w:bottom w:val="single" w:sz="5" w:space="0" w:color="000000"/>
              <w:right w:val="single" w:sz="5" w:space="0" w:color="000000"/>
            </w:tcBorders>
          </w:tcPr>
          <w:p w14:paraId="58240902"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0.613 [CI: 0.521, 0.721]</w:t>
            </w:r>
          </w:p>
        </w:tc>
      </w:tr>
      <w:tr w:rsidR="00A46B65" w:rsidRPr="00607FAB" w14:paraId="39FD4AF7" w14:textId="77777777" w:rsidTr="004228B0">
        <w:tc>
          <w:tcPr>
            <w:tcW w:w="4099" w:type="dxa"/>
            <w:tcBorders>
              <w:top w:val="single" w:sz="5" w:space="0" w:color="000000"/>
              <w:left w:val="single" w:sz="5" w:space="0" w:color="000000"/>
              <w:bottom w:val="single" w:sz="5" w:space="0" w:color="000000"/>
              <w:right w:val="single" w:sz="5" w:space="0" w:color="000000"/>
            </w:tcBorders>
          </w:tcPr>
          <w:p w14:paraId="6CC779F1" w14:textId="774CDC78" w:rsidR="00047E69" w:rsidRPr="00607FAB" w:rsidRDefault="00C210A5" w:rsidP="002E1DD8">
            <w:pPr>
              <w:pStyle w:val="TableParagraph"/>
              <w:widowControl/>
              <w:ind w:leftChars="50" w:left="110"/>
              <w:rPr>
                <w:rFonts w:ascii="Times New Roman" w:eastAsia="Times New Roman" w:hAnsi="Times New Roman" w:cs="Times New Roman"/>
              </w:rPr>
            </w:pPr>
            <w:r w:rsidRPr="00607FAB">
              <w:rPr>
                <w:rFonts w:ascii="Times New Roman"/>
              </w:rPr>
              <w:t>p</w:t>
            </w:r>
            <w:r w:rsidR="00FD0731" w:rsidRPr="00607FAB">
              <w:rPr>
                <w:rFonts w:ascii="Times New Roman"/>
              </w:rPr>
              <w:noBreakHyphen/>
            </w:r>
            <w:r w:rsidRPr="00607FAB">
              <w:rPr>
                <w:rFonts w:ascii="Times New Roman"/>
              </w:rPr>
              <w:t>value</w:t>
            </w:r>
          </w:p>
        </w:tc>
        <w:tc>
          <w:tcPr>
            <w:tcW w:w="4819" w:type="dxa"/>
            <w:gridSpan w:val="2"/>
            <w:tcBorders>
              <w:top w:val="single" w:sz="5" w:space="0" w:color="000000"/>
              <w:left w:val="single" w:sz="5" w:space="0" w:color="000000"/>
              <w:bottom w:val="single" w:sz="5" w:space="0" w:color="000000"/>
              <w:right w:val="single" w:sz="5" w:space="0" w:color="000000"/>
            </w:tcBorders>
          </w:tcPr>
          <w:p w14:paraId="3B9E10F5" w14:textId="77777777" w:rsidR="00047E69" w:rsidRPr="00607FAB" w:rsidRDefault="00C210A5" w:rsidP="002E1DD8">
            <w:pPr>
              <w:pStyle w:val="TableParagraph"/>
              <w:widowControl/>
              <w:jc w:val="center"/>
              <w:rPr>
                <w:rFonts w:ascii="Times New Roman" w:eastAsia="Times New Roman" w:hAnsi="Times New Roman" w:cs="Times New Roman"/>
              </w:rPr>
            </w:pPr>
            <w:r w:rsidRPr="00607FAB">
              <w:rPr>
                <w:rFonts w:ascii="Times New Roman"/>
              </w:rPr>
              <w:t>&lt;0.0001</w:t>
            </w:r>
          </w:p>
        </w:tc>
      </w:tr>
    </w:tbl>
    <w:p w14:paraId="4531B5E7" w14:textId="2EA5F73B" w:rsidR="00047E69" w:rsidRPr="00002E28" w:rsidRDefault="00683467" w:rsidP="002E1DD8">
      <w:pPr>
        <w:widowControl/>
        <w:adjustRightInd w:val="0"/>
        <w:snapToGrid w:val="0"/>
        <w:rPr>
          <w:rFonts w:ascii="Times New Roman"/>
          <w:sz w:val="20"/>
          <w:szCs w:val="20"/>
        </w:rPr>
      </w:pPr>
      <w:r w:rsidRPr="00683467">
        <w:rPr>
          <w:rFonts w:ascii="Times New Roman" w:hint="eastAsia"/>
          <w:sz w:val="20"/>
          <w:szCs w:val="20"/>
          <w:vertAlign w:val="superscript"/>
          <w:lang w:eastAsia="ko-KR"/>
        </w:rPr>
        <w:t>1</w:t>
      </w:r>
      <w:r>
        <w:rPr>
          <w:rFonts w:ascii="Times New Roman" w:hint="eastAsia"/>
          <w:sz w:val="20"/>
          <w:szCs w:val="20"/>
          <w:lang w:eastAsia="ko-KR"/>
        </w:rPr>
        <w:t xml:space="preserve"> F</w:t>
      </w:r>
      <w:r w:rsidR="00C210A5" w:rsidRPr="00002E28">
        <w:rPr>
          <w:rFonts w:ascii="Times New Roman"/>
          <w:sz w:val="20"/>
          <w:szCs w:val="20"/>
        </w:rPr>
        <w:t>inal Analysis</w:t>
      </w:r>
    </w:p>
    <w:p w14:paraId="1F1C4665" w14:textId="0E37D124" w:rsidR="00047E69" w:rsidRPr="00002E28" w:rsidRDefault="00683467" w:rsidP="002E1DD8">
      <w:pPr>
        <w:widowControl/>
        <w:adjustRightInd w:val="0"/>
        <w:snapToGrid w:val="0"/>
        <w:rPr>
          <w:rFonts w:ascii="Times New Roman" w:eastAsia="Times New Roman" w:hAnsi="Times New Roman" w:cs="Times New Roman"/>
          <w:sz w:val="20"/>
          <w:szCs w:val="20"/>
        </w:rPr>
      </w:pPr>
      <w:r w:rsidRPr="00683467">
        <w:rPr>
          <w:rFonts w:ascii="Times New Roman" w:hint="eastAsia"/>
          <w:sz w:val="20"/>
          <w:szCs w:val="20"/>
          <w:vertAlign w:val="superscript"/>
          <w:lang w:eastAsia="ko-KR"/>
        </w:rPr>
        <w:t>2</w:t>
      </w:r>
      <w:r>
        <w:rPr>
          <w:rFonts w:ascii="Times New Roman" w:hint="eastAsia"/>
          <w:sz w:val="20"/>
          <w:szCs w:val="20"/>
          <w:lang w:eastAsia="ko-KR"/>
        </w:rPr>
        <w:t xml:space="preserve"> </w:t>
      </w:r>
      <w:r w:rsidR="00C210A5" w:rsidRPr="00002E28">
        <w:rPr>
          <w:rFonts w:ascii="Times New Roman"/>
          <w:sz w:val="20"/>
          <w:szCs w:val="20"/>
        </w:rPr>
        <w:t>Tumour assessments and response evaluations were determined by the investigators using the GOG RECIST criteria (Revised RECIST guideline (version 1.1). Eur J Cancer. 2009;45:228Y247).</w:t>
      </w:r>
    </w:p>
    <w:p w14:paraId="1AC5649D" w14:textId="77777777" w:rsidR="00047E69" w:rsidRPr="00002E28" w:rsidRDefault="00047E69" w:rsidP="002E1DD8">
      <w:pPr>
        <w:widowControl/>
        <w:adjustRightInd w:val="0"/>
        <w:snapToGrid w:val="0"/>
        <w:rPr>
          <w:rFonts w:ascii="Times New Roman" w:eastAsia="Times New Roman" w:hAnsi="Times New Roman" w:cs="Times New Roman"/>
          <w:sz w:val="20"/>
          <w:szCs w:val="20"/>
        </w:rPr>
      </w:pPr>
    </w:p>
    <w:p w14:paraId="4EE53363" w14:textId="53A0DAA1" w:rsidR="004E3ED3" w:rsidRPr="00002E28" w:rsidRDefault="00002E28" w:rsidP="002E1DD8">
      <w:pPr>
        <w:widowControl/>
        <w:adjustRightInd w:val="0"/>
        <w:snapToGrid w:val="0"/>
        <w:rPr>
          <w:rFonts w:ascii="Times New Roman"/>
          <w:sz w:val="20"/>
          <w:szCs w:val="20"/>
        </w:rPr>
      </w:pPr>
      <w:r w:rsidRPr="00002E28">
        <w:rPr>
          <w:rFonts w:ascii="Times New Roman" w:hint="eastAsia"/>
          <w:sz w:val="20"/>
          <w:szCs w:val="20"/>
          <w:vertAlign w:val="superscript"/>
          <w:lang w:eastAsia="ko-KR"/>
        </w:rPr>
        <w:t>a</w:t>
      </w:r>
      <w:r>
        <w:rPr>
          <w:rFonts w:ascii="Times New Roman" w:hint="eastAsia"/>
          <w:sz w:val="20"/>
          <w:szCs w:val="20"/>
          <w:lang w:eastAsia="ko-KR"/>
        </w:rPr>
        <w:t xml:space="preserve"> H</w:t>
      </w:r>
      <w:r w:rsidR="00C210A5" w:rsidRPr="00002E28">
        <w:rPr>
          <w:rFonts w:ascii="Times New Roman"/>
          <w:sz w:val="20"/>
          <w:szCs w:val="20"/>
        </w:rPr>
        <w:t>azard ratio was estimated from Cox proportional hazards models stratified by the duration of platinum free</w:t>
      </w:r>
      <w:r w:rsidR="00FD0731" w:rsidRPr="00002E28">
        <w:rPr>
          <w:rFonts w:ascii="Times New Roman"/>
          <w:sz w:val="20"/>
          <w:szCs w:val="20"/>
        </w:rPr>
        <w:noBreakHyphen/>
      </w:r>
      <w:r w:rsidR="00C210A5" w:rsidRPr="00002E28">
        <w:rPr>
          <w:rFonts w:ascii="Times New Roman"/>
          <w:sz w:val="20"/>
          <w:szCs w:val="20"/>
        </w:rPr>
        <w:t>interval prior to enrolling onto this study per eCRF (electronic case report form) and secondary surgical debulking status Yes/No (Yes=randomized to undergo cytoreduction or randomized to not undergo cytoreduction; No= not a candidate or did not consent to cytoreduction).</w:t>
      </w:r>
    </w:p>
    <w:p w14:paraId="21B19F4C" w14:textId="383F2165" w:rsidR="00047E69" w:rsidRPr="00002E28" w:rsidRDefault="00002E28" w:rsidP="002E1DD8">
      <w:pPr>
        <w:widowControl/>
        <w:adjustRightInd w:val="0"/>
        <w:snapToGrid w:val="0"/>
        <w:rPr>
          <w:rFonts w:ascii="Times New Roman" w:eastAsia="Times New Roman" w:hAnsi="Times New Roman" w:cs="Times New Roman"/>
          <w:sz w:val="20"/>
          <w:szCs w:val="20"/>
        </w:rPr>
      </w:pPr>
      <w:r w:rsidRPr="00002E28">
        <w:rPr>
          <w:rFonts w:ascii="Times New Roman" w:hint="eastAsia"/>
          <w:sz w:val="20"/>
          <w:szCs w:val="20"/>
          <w:vertAlign w:val="superscript"/>
          <w:lang w:eastAsia="ko-KR"/>
        </w:rPr>
        <w:t>b</w:t>
      </w:r>
      <w:r>
        <w:rPr>
          <w:rFonts w:ascii="Times New Roman" w:hint="eastAsia"/>
          <w:sz w:val="20"/>
          <w:szCs w:val="20"/>
          <w:lang w:eastAsia="ko-KR"/>
        </w:rPr>
        <w:t xml:space="preserve"> </w:t>
      </w:r>
      <w:r w:rsidR="00C210A5" w:rsidRPr="00002E28">
        <w:rPr>
          <w:rFonts w:ascii="Times New Roman"/>
          <w:sz w:val="20"/>
          <w:szCs w:val="20"/>
        </w:rPr>
        <w:t>stratified by the duration of treatment free</w:t>
      </w:r>
      <w:r w:rsidR="00FD0731" w:rsidRPr="00002E28">
        <w:rPr>
          <w:rFonts w:ascii="Times New Roman"/>
          <w:sz w:val="20"/>
          <w:szCs w:val="20"/>
        </w:rPr>
        <w:noBreakHyphen/>
      </w:r>
      <w:r w:rsidR="00C210A5" w:rsidRPr="00002E28">
        <w:rPr>
          <w:rFonts w:ascii="Times New Roman"/>
          <w:sz w:val="20"/>
          <w:szCs w:val="20"/>
        </w:rPr>
        <w:t>interval prior to enrolling onto this study per the registration form, and secondary surgical debulking status Yes/No.</w:t>
      </w:r>
    </w:p>
    <w:p w14:paraId="3638EC4B" w14:textId="77777777" w:rsidR="00047E69" w:rsidRPr="00A71065" w:rsidRDefault="00047E69" w:rsidP="002E1DD8">
      <w:pPr>
        <w:widowControl/>
        <w:adjustRightInd w:val="0"/>
        <w:snapToGrid w:val="0"/>
        <w:rPr>
          <w:rFonts w:ascii="Times New Roman" w:eastAsia="Times New Roman" w:hAnsi="Times New Roman" w:cs="Times New Roman"/>
          <w:sz w:val="21"/>
          <w:szCs w:val="21"/>
        </w:rPr>
      </w:pPr>
    </w:p>
    <w:p w14:paraId="40CDD03D" w14:textId="77777777" w:rsidR="00047E69" w:rsidRPr="00A71065" w:rsidRDefault="00C210A5" w:rsidP="002E1DD8">
      <w:pPr>
        <w:pStyle w:val="a5"/>
        <w:widowControl/>
        <w:autoSpaceDE w:val="0"/>
        <w:autoSpaceDN w:val="0"/>
        <w:adjustRightInd w:val="0"/>
        <w:snapToGrid w:val="0"/>
      </w:pPr>
      <w:r w:rsidRPr="00A71065">
        <w:t xml:space="preserve">The trial met its primary objective of OS improvement. Treatment with bevacizumab at 15 mg/kg every 3 weeks in combination with chemotherapy (carboplatin and paclitaxel) for 6 and up to </w:t>
      </w:r>
    </w:p>
    <w:p w14:paraId="32BA8994" w14:textId="77777777" w:rsidR="00047E69" w:rsidRPr="00A71065" w:rsidRDefault="00C210A5" w:rsidP="002E1DD8">
      <w:pPr>
        <w:pStyle w:val="a5"/>
        <w:widowControl/>
        <w:autoSpaceDE w:val="0"/>
        <w:autoSpaceDN w:val="0"/>
        <w:adjustRightInd w:val="0"/>
        <w:snapToGrid w:val="0"/>
      </w:pPr>
      <w:r w:rsidRPr="00A71065">
        <w:t>8 cycles, followed by bevacizumab until disease progression or unacceptable toxicity resulted, when data were derived from eCRF, in a clinically meaningful and statistically significant improvement in OS compared to treatment with carboplatin and paclitaxel alone.</w:t>
      </w:r>
    </w:p>
    <w:p w14:paraId="393CCF4E" w14:textId="77777777" w:rsidR="00047E69" w:rsidRPr="00A71065" w:rsidRDefault="00047E69" w:rsidP="002E1DD8">
      <w:pPr>
        <w:widowControl/>
        <w:adjustRightInd w:val="0"/>
        <w:snapToGrid w:val="0"/>
        <w:rPr>
          <w:rFonts w:ascii="Times New Roman" w:eastAsia="Times New Roman" w:hAnsi="Times New Roman" w:cs="Times New Roman"/>
        </w:rPr>
      </w:pPr>
    </w:p>
    <w:p w14:paraId="6CE9A353" w14:textId="77777777" w:rsidR="00047E69" w:rsidRPr="00A71065" w:rsidRDefault="00C210A5" w:rsidP="005A52E0">
      <w:pPr>
        <w:keepNext/>
        <w:widowControl/>
        <w:adjustRightInd w:val="0"/>
        <w:snapToGrid w:val="0"/>
        <w:rPr>
          <w:rFonts w:ascii="Times New Roman" w:eastAsia="Times New Roman" w:hAnsi="Times New Roman" w:cs="Times New Roman"/>
        </w:rPr>
      </w:pPr>
      <w:r w:rsidRPr="00A71065">
        <w:rPr>
          <w:rFonts w:ascii="Times New Roman"/>
          <w:i/>
        </w:rPr>
        <w:lastRenderedPageBreak/>
        <w:t>MO22224</w:t>
      </w:r>
    </w:p>
    <w:p w14:paraId="5A2B85A3" w14:textId="68F607A4" w:rsidR="00047E69" w:rsidRPr="00A71065" w:rsidRDefault="00C210A5" w:rsidP="005A52E0">
      <w:pPr>
        <w:pStyle w:val="a5"/>
        <w:keepNext/>
        <w:widowControl/>
        <w:adjustRightInd w:val="0"/>
        <w:snapToGrid w:val="0"/>
      </w:pPr>
      <w:r w:rsidRPr="00A71065">
        <w:t>Study MO22224 evaluated the efficacy and safety of bevacizumab in combination with chemotherapy for platinum</w:t>
      </w:r>
      <w:r w:rsidR="00FD0731" w:rsidRPr="00A71065">
        <w:noBreakHyphen/>
      </w:r>
      <w:r w:rsidRPr="00A71065">
        <w:t>resistant recurrent epithelial ovarian, fallopian tube or primary peritoneal cancer. This study was designed as an open</w:t>
      </w:r>
      <w:r w:rsidR="00FD0731" w:rsidRPr="00A71065">
        <w:noBreakHyphen/>
      </w:r>
      <w:r w:rsidRPr="00A71065">
        <w:t>label, randomized, two</w:t>
      </w:r>
      <w:r w:rsidR="00FD0731" w:rsidRPr="00A71065">
        <w:noBreakHyphen/>
      </w:r>
      <w:r w:rsidRPr="00A71065">
        <w:t>arm Phase III evaluation of bevacizumab plus chemotherapy (CT+BV) versus chemotherapy alone (CT).</w:t>
      </w:r>
    </w:p>
    <w:p w14:paraId="52B29A00" w14:textId="77777777" w:rsidR="00047E69" w:rsidRPr="00A71065" w:rsidRDefault="00C210A5" w:rsidP="005A52E0">
      <w:pPr>
        <w:pStyle w:val="a5"/>
        <w:widowControl/>
        <w:adjustRightInd w:val="0"/>
        <w:snapToGrid w:val="0"/>
      </w:pPr>
      <w:r w:rsidRPr="00A71065">
        <w:t>A total of 361 patients were enrolled into this study and administered either chemotherapy (paclitaxel, topotecan, or pegylated liposomal doxorubicin (PLD) alone or in combination with bevacizumab:</w:t>
      </w:r>
    </w:p>
    <w:p w14:paraId="28CADF66" w14:textId="77777777" w:rsidR="00047E69" w:rsidRPr="00A71065" w:rsidRDefault="00047E69" w:rsidP="005A52E0">
      <w:pPr>
        <w:widowControl/>
        <w:adjustRightInd w:val="0"/>
        <w:snapToGrid w:val="0"/>
        <w:rPr>
          <w:rFonts w:ascii="Times New Roman" w:eastAsia="Times New Roman" w:hAnsi="Times New Roman" w:cs="Times New Roman"/>
          <w:sz w:val="21"/>
          <w:szCs w:val="21"/>
        </w:rPr>
      </w:pPr>
    </w:p>
    <w:p w14:paraId="09E90707" w14:textId="41901D0F" w:rsidR="00047E69" w:rsidRPr="00A71065" w:rsidRDefault="00C210A5" w:rsidP="005A52E0">
      <w:pPr>
        <w:pStyle w:val="a5"/>
        <w:widowControl/>
        <w:numPr>
          <w:ilvl w:val="0"/>
          <w:numId w:val="1"/>
        </w:numPr>
        <w:tabs>
          <w:tab w:val="left" w:pos="831"/>
        </w:tabs>
        <w:adjustRightInd w:val="0"/>
        <w:snapToGrid w:val="0"/>
        <w:ind w:left="567" w:hanging="567"/>
      </w:pPr>
      <w:r w:rsidRPr="00A71065">
        <w:t xml:space="preserve">CT </w:t>
      </w:r>
      <w:r w:rsidR="006A1EA8" w:rsidRPr="00A71065">
        <w:t>a</w:t>
      </w:r>
      <w:r w:rsidRPr="00A71065">
        <w:t>rm (chemotherapy alone):</w:t>
      </w:r>
    </w:p>
    <w:p w14:paraId="4BBF4925" w14:textId="2D9ADC6C" w:rsidR="00047E69" w:rsidRPr="00A71065" w:rsidRDefault="00C210A5" w:rsidP="005A52E0">
      <w:pPr>
        <w:pStyle w:val="a5"/>
        <w:widowControl/>
        <w:numPr>
          <w:ilvl w:val="1"/>
          <w:numId w:val="1"/>
        </w:numPr>
        <w:tabs>
          <w:tab w:val="left" w:pos="1551"/>
        </w:tabs>
        <w:adjustRightInd w:val="0"/>
        <w:snapToGrid w:val="0"/>
        <w:ind w:left="1134" w:hanging="567"/>
      </w:pPr>
      <w:r w:rsidRPr="00A71065">
        <w:t>Paclitaxel 80 mg/m</w:t>
      </w:r>
      <w:r w:rsidRPr="00A71065">
        <w:rPr>
          <w:position w:val="9"/>
          <w:sz w:val="14"/>
        </w:rPr>
        <w:t xml:space="preserve">2 </w:t>
      </w:r>
      <w:r w:rsidRPr="00A71065">
        <w:t>as a 1</w:t>
      </w:r>
      <w:r w:rsidR="00FD0731" w:rsidRPr="00A71065">
        <w:noBreakHyphen/>
      </w:r>
      <w:r w:rsidRPr="00A71065">
        <w:t xml:space="preserve">hour </w:t>
      </w:r>
      <w:r w:rsidR="005603A9" w:rsidRPr="00A71065">
        <w:t>intravenous</w:t>
      </w:r>
      <w:r w:rsidRPr="00A71065">
        <w:t xml:space="preserve"> infusion on Days 1, 8, 15, and 22 every 4 weeks.</w:t>
      </w:r>
    </w:p>
    <w:p w14:paraId="0465F3BA" w14:textId="07EC8E7F" w:rsidR="00047E69" w:rsidRPr="00A71065" w:rsidRDefault="00C210A5" w:rsidP="005A52E0">
      <w:pPr>
        <w:pStyle w:val="a5"/>
        <w:widowControl/>
        <w:numPr>
          <w:ilvl w:val="1"/>
          <w:numId w:val="1"/>
        </w:numPr>
        <w:tabs>
          <w:tab w:val="left" w:pos="1552"/>
        </w:tabs>
        <w:adjustRightInd w:val="0"/>
        <w:snapToGrid w:val="0"/>
        <w:ind w:left="1134" w:hanging="567"/>
      </w:pPr>
      <w:r w:rsidRPr="00A71065">
        <w:t>Topotecan 4 mg/m2 as a 30</w:t>
      </w:r>
      <w:r w:rsidR="00FD0731" w:rsidRPr="00A71065">
        <w:noBreakHyphen/>
      </w:r>
      <w:r w:rsidRPr="00A71065">
        <w:t xml:space="preserve">minute </w:t>
      </w:r>
      <w:r w:rsidR="005603A9" w:rsidRPr="00A71065">
        <w:t>intravenous</w:t>
      </w:r>
      <w:r w:rsidRPr="00A71065">
        <w:t xml:space="preserve"> infusion on Days 1, 8, and 15 every 4 weeks. Alternatively, a 1.25 mg/m2 dose could be administered over 30 minutes on Days 1–5 every 3 weeks.</w:t>
      </w:r>
    </w:p>
    <w:p w14:paraId="5643CD88" w14:textId="7B9F9D44" w:rsidR="00047E69" w:rsidRPr="00A71065" w:rsidRDefault="00C210A5" w:rsidP="005A52E0">
      <w:pPr>
        <w:pStyle w:val="a5"/>
        <w:widowControl/>
        <w:numPr>
          <w:ilvl w:val="1"/>
          <w:numId w:val="1"/>
        </w:numPr>
        <w:tabs>
          <w:tab w:val="left" w:pos="1552"/>
        </w:tabs>
        <w:adjustRightInd w:val="0"/>
        <w:snapToGrid w:val="0"/>
        <w:ind w:left="1134" w:hanging="567"/>
      </w:pPr>
      <w:r w:rsidRPr="00A71065">
        <w:t>PLD 40 mg/m</w:t>
      </w:r>
      <w:r w:rsidRPr="00A71065">
        <w:rPr>
          <w:position w:val="9"/>
          <w:sz w:val="14"/>
        </w:rPr>
        <w:t xml:space="preserve">2 </w:t>
      </w:r>
      <w:r w:rsidRPr="00A71065">
        <w:t xml:space="preserve">as a 1 mg/min </w:t>
      </w:r>
      <w:r w:rsidR="005603A9" w:rsidRPr="00A71065">
        <w:t>intravenous</w:t>
      </w:r>
      <w:r w:rsidRPr="00A71065">
        <w:t xml:space="preserve"> infusion on Day 1 only every 4 weeks. After Cycle 1, the </w:t>
      </w:r>
      <w:r w:rsidR="006A1EA8" w:rsidRPr="00A71065">
        <w:t xml:space="preserve">medicinal product </w:t>
      </w:r>
      <w:r w:rsidRPr="00A71065">
        <w:t>could be delivered as a 1</w:t>
      </w:r>
      <w:r w:rsidR="00FD0731" w:rsidRPr="00A71065">
        <w:noBreakHyphen/>
      </w:r>
      <w:r w:rsidRPr="00A71065">
        <w:t>hour infusion.</w:t>
      </w:r>
    </w:p>
    <w:p w14:paraId="0230C5A2" w14:textId="35612D9E" w:rsidR="00047E69" w:rsidRPr="00A71065" w:rsidRDefault="00C210A5" w:rsidP="005A52E0">
      <w:pPr>
        <w:pStyle w:val="a5"/>
        <w:widowControl/>
        <w:numPr>
          <w:ilvl w:val="0"/>
          <w:numId w:val="1"/>
        </w:numPr>
        <w:tabs>
          <w:tab w:val="left" w:pos="832"/>
        </w:tabs>
        <w:adjustRightInd w:val="0"/>
        <w:snapToGrid w:val="0"/>
        <w:ind w:left="567" w:hanging="567"/>
      </w:pPr>
      <w:r w:rsidRPr="00A71065">
        <w:t xml:space="preserve">CT+BV </w:t>
      </w:r>
      <w:r w:rsidR="006A1EA8" w:rsidRPr="00A71065">
        <w:t>a</w:t>
      </w:r>
      <w:r w:rsidRPr="00A71065">
        <w:t>rm (chemotherapy plus bevacizumab):</w:t>
      </w:r>
    </w:p>
    <w:p w14:paraId="241A888F" w14:textId="6C1FE03C" w:rsidR="00047E69" w:rsidRPr="00A71065" w:rsidRDefault="00C210A5" w:rsidP="005A52E0">
      <w:pPr>
        <w:pStyle w:val="a5"/>
        <w:widowControl/>
        <w:numPr>
          <w:ilvl w:val="1"/>
          <w:numId w:val="1"/>
        </w:numPr>
        <w:tabs>
          <w:tab w:val="left" w:pos="1552"/>
        </w:tabs>
        <w:adjustRightInd w:val="0"/>
        <w:snapToGrid w:val="0"/>
        <w:ind w:left="1134" w:hanging="567"/>
      </w:pPr>
      <w:r w:rsidRPr="00A71065">
        <w:t xml:space="preserve">The chosen chemotherapy was combined with bevacizumab 10 mg/kg </w:t>
      </w:r>
      <w:r w:rsidR="005603A9" w:rsidRPr="00A71065">
        <w:t>intravenous</w:t>
      </w:r>
      <w:r w:rsidRPr="00A71065">
        <w:t xml:space="preserve"> every 2 weeks (or bevacizumab 15 mg/kg every 3 weeks if used in combination with topotecan 1.25 mg/m2 on Days 1–5 every 3 weeks).</w:t>
      </w:r>
    </w:p>
    <w:p w14:paraId="28F58BFA" w14:textId="77777777" w:rsidR="00047E69" w:rsidRPr="00A71065" w:rsidRDefault="00047E69" w:rsidP="005A52E0">
      <w:pPr>
        <w:widowControl/>
        <w:adjustRightInd w:val="0"/>
        <w:snapToGrid w:val="0"/>
        <w:rPr>
          <w:rFonts w:ascii="Times New Roman" w:eastAsia="Times New Roman" w:hAnsi="Times New Roman" w:cs="Times New Roman"/>
          <w:sz w:val="21"/>
          <w:szCs w:val="21"/>
        </w:rPr>
      </w:pPr>
    </w:p>
    <w:p w14:paraId="1BB237CD" w14:textId="6FF53836" w:rsidR="00047E69" w:rsidRPr="00A71065" w:rsidRDefault="00C210A5" w:rsidP="005A52E0">
      <w:pPr>
        <w:pStyle w:val="a5"/>
        <w:widowControl/>
        <w:adjustRightInd w:val="0"/>
        <w:snapToGrid w:val="0"/>
      </w:pPr>
      <w:r w:rsidRPr="00A71065">
        <w:t xml:space="preserve">Eligible patients had epithelial ovarian, fallopian tube or primary peritoneal cancer that progressed within &lt;6 months of previous platinum therapy consisting of a minimum of 4 platinum therapy cycles. Patients should have had a life expectancy of </w:t>
      </w:r>
      <w:r w:rsidRPr="00A71065">
        <w:rPr>
          <w:rFonts w:ascii="Symbol" w:eastAsia="Symbol" w:hAnsi="Symbol" w:cs="Symbol"/>
        </w:rPr>
        <w:sym w:font="Symbol" w:char="F0B3"/>
      </w:r>
      <w:r w:rsidRPr="00A71065">
        <w:rPr>
          <w:rFonts w:ascii="Symbol" w:eastAsia="Symbol" w:hAnsi="Symbol" w:cs="Symbol"/>
        </w:rPr>
        <w:sym w:font="Symbol" w:char="F020"/>
      </w:r>
      <w:r w:rsidRPr="00A71065">
        <w:t xml:space="preserve">12 weeks and no prior radiotherapy to the pelvis or abdomen. Most patients were FIGO Stage IIIC or Stage IV. The majority of patients in both arms had an ECOG Performance Status (PS) of 0 (CT: 56.4% vs. CT </w:t>
      </w:r>
      <w:r w:rsidRPr="00A71065">
        <w:sym w:font="Symbol" w:char="F02B"/>
      </w:r>
      <w:r w:rsidRPr="00A71065">
        <w:sym w:font="Symbol" w:char="F020"/>
      </w:r>
      <w:r w:rsidRPr="00A71065">
        <w:t>BV: 61.2%). The percentage of patients</w:t>
      </w:r>
      <w:r w:rsidR="00A135EE" w:rsidRPr="00A71065">
        <w:t xml:space="preserve"> </w:t>
      </w:r>
      <w:r w:rsidRPr="00A71065">
        <w:t xml:space="preserve">with an ECOG PS of 1 or </w:t>
      </w:r>
      <w:r w:rsidRPr="00A71065">
        <w:rPr>
          <w:rFonts w:ascii="Symbol" w:eastAsia="Symbol" w:hAnsi="Symbol" w:cs="Symbol"/>
        </w:rPr>
        <w:sym w:font="Symbol" w:char="F0B3"/>
      </w:r>
      <w:r w:rsidRPr="00A71065">
        <w:rPr>
          <w:rFonts w:ascii="Symbol" w:eastAsia="Symbol" w:hAnsi="Symbol" w:cs="Symbol"/>
        </w:rPr>
        <w:sym w:font="Symbol" w:char="F020"/>
      </w:r>
      <w:r w:rsidRPr="00A71065">
        <w:t>2 was 38.7% and 5.0% in the CT arm, and 29.8% and 9.0% in the</w:t>
      </w:r>
      <w:r w:rsidR="00A135EE" w:rsidRPr="00A71065">
        <w:t xml:space="preserve"> </w:t>
      </w:r>
      <w:r w:rsidRPr="00A71065">
        <w:t xml:space="preserve">CT </w:t>
      </w:r>
      <w:r w:rsidRPr="00A71065">
        <w:rPr>
          <w:rFonts w:ascii="Symbol" w:eastAsia="Symbol" w:hAnsi="Symbol" w:cs="Symbol"/>
        </w:rPr>
        <w:sym w:font="Symbol" w:char="F02B"/>
      </w:r>
      <w:r w:rsidRPr="00A71065">
        <w:rPr>
          <w:rFonts w:ascii="Symbol" w:eastAsia="Symbol" w:hAnsi="Symbol" w:cs="Symbol"/>
        </w:rPr>
        <w:sym w:font="Symbol" w:char="F020"/>
      </w:r>
      <w:r w:rsidRPr="00A71065">
        <w:t>BV arm. Information on race exists for 29.3% of patients and nearly all patients were white. The median age of patients was 61.0 (range: 25</w:t>
      </w:r>
      <w:r w:rsidRPr="00A71065">
        <w:rPr>
          <w:rFonts w:ascii="Symbol" w:eastAsia="Symbol" w:hAnsi="Symbol" w:cs="Symbol"/>
        </w:rPr>
        <w:sym w:font="Symbol" w:char="F02D"/>
      </w:r>
      <w:r w:rsidRPr="00A71065">
        <w:t xml:space="preserve">84) years. A total of 16 patients (4.4%) were </w:t>
      </w:r>
      <w:r w:rsidRPr="00A71065">
        <w:rPr>
          <w:rFonts w:ascii="Symbol" w:eastAsia="Symbol" w:hAnsi="Symbol" w:cs="Symbol"/>
        </w:rPr>
        <w:sym w:font="Symbol" w:char="F03E"/>
      </w:r>
      <w:r w:rsidRPr="00A71065">
        <w:rPr>
          <w:rFonts w:ascii="Symbol" w:eastAsia="Symbol" w:hAnsi="Symbol" w:cs="Symbol"/>
        </w:rPr>
        <w:sym w:font="Symbol" w:char="F020"/>
      </w:r>
      <w:r w:rsidRPr="00A71065">
        <w:t>75 years old. The overall rates of discontinuation due to adverse events were 8.8% in the CT arm and 43.6% in the CT + BV arm (mostly due to Grade 2-3 adverse events) and the median time to discontinuation in the CT + BV arm was 5.2 months compared with 2.4 months in the CT arm. The rates of discontinuation due to adverse events in the subgroup of patients &gt; 65 years old were 8.8% in the CT arm and 50.0% in the CT + BV arm. The HR for PFS was 0.47 (95% CI: 0.35, 0.62) and 0.45 (95%</w:t>
      </w:r>
      <w:r w:rsidR="00A135EE" w:rsidRPr="00A71065">
        <w:t xml:space="preserve"> </w:t>
      </w:r>
      <w:r w:rsidRPr="00A71065">
        <w:t xml:space="preserve">CI: 0.31, 0.67) for the </w:t>
      </w:r>
      <w:r w:rsidRPr="00A71065">
        <w:rPr>
          <w:rFonts w:ascii="Symbol" w:eastAsia="Symbol" w:hAnsi="Symbol" w:cs="Symbol"/>
        </w:rPr>
        <w:sym w:font="Symbol" w:char="F03C"/>
      </w:r>
      <w:r w:rsidRPr="00A71065">
        <w:rPr>
          <w:rFonts w:ascii="Symbol" w:eastAsia="Symbol" w:hAnsi="Symbol" w:cs="Symbol"/>
        </w:rPr>
        <w:sym w:font="Symbol" w:char="F020"/>
      </w:r>
      <w:r w:rsidRPr="00A71065">
        <w:t xml:space="preserve">65 and </w:t>
      </w:r>
      <w:r w:rsidRPr="00A71065">
        <w:rPr>
          <w:rFonts w:ascii="Symbol" w:eastAsia="Symbol" w:hAnsi="Symbol" w:cs="Symbol"/>
        </w:rPr>
        <w:sym w:font="Symbol" w:char="F0B3"/>
      </w:r>
      <w:r w:rsidRPr="00A71065">
        <w:rPr>
          <w:rFonts w:ascii="Symbol" w:eastAsia="Symbol" w:hAnsi="Symbol" w:cs="Symbol"/>
        </w:rPr>
        <w:sym w:font="Symbol" w:char="F020"/>
      </w:r>
      <w:r w:rsidRPr="00A71065">
        <w:t>65 subgroups, respectively.</w:t>
      </w:r>
    </w:p>
    <w:p w14:paraId="6E838F9D" w14:textId="77777777" w:rsidR="00A135EE" w:rsidRPr="00A71065" w:rsidRDefault="00A135EE" w:rsidP="005A52E0">
      <w:pPr>
        <w:pStyle w:val="a5"/>
        <w:widowControl/>
        <w:adjustRightInd w:val="0"/>
        <w:snapToGrid w:val="0"/>
        <w:ind w:firstLineChars="150" w:firstLine="330"/>
      </w:pPr>
    </w:p>
    <w:p w14:paraId="1F1365D4" w14:textId="2ECEB2E7" w:rsidR="00047E69" w:rsidRPr="00A71065" w:rsidRDefault="00C210A5" w:rsidP="005A52E0">
      <w:pPr>
        <w:pStyle w:val="a5"/>
        <w:widowControl/>
        <w:adjustRightInd w:val="0"/>
        <w:snapToGrid w:val="0"/>
      </w:pPr>
      <w:r w:rsidRPr="00A71065">
        <w:t>The primary endpoint was progression</w:t>
      </w:r>
      <w:r w:rsidR="00FD0731" w:rsidRPr="00A71065">
        <w:noBreakHyphen/>
      </w:r>
      <w:r w:rsidRPr="00A71065">
        <w:t>free</w:t>
      </w:r>
      <w:r w:rsidR="00FD0731" w:rsidRPr="00A71065">
        <w:t xml:space="preserve"> </w:t>
      </w:r>
      <w:r w:rsidRPr="00A71065">
        <w:t xml:space="preserve">survival, with secondary endpoints including objective response rate and </w:t>
      </w:r>
      <w:r w:rsidR="00410031" w:rsidRPr="00A71065">
        <w:t>OS</w:t>
      </w:r>
      <w:r w:rsidRPr="00A71065">
        <w:t>. Results are presented in Table 23.</w:t>
      </w:r>
    </w:p>
    <w:p w14:paraId="46362BE4" w14:textId="77777777" w:rsidR="00047E69" w:rsidRPr="00A71065" w:rsidRDefault="00047E69" w:rsidP="009C6389">
      <w:pPr>
        <w:widowControl/>
        <w:adjustRightInd w:val="0"/>
        <w:snapToGrid w:val="0"/>
        <w:rPr>
          <w:rFonts w:ascii="Times New Roman" w:eastAsia="Times New Roman" w:hAnsi="Times New Roman" w:cs="Times New Roman"/>
        </w:rPr>
      </w:pPr>
    </w:p>
    <w:p w14:paraId="273E944F" w14:textId="2ACF2ECD" w:rsidR="00047E69" w:rsidRPr="007B2005" w:rsidRDefault="00C210A5" w:rsidP="007B2005">
      <w:pPr>
        <w:ind w:left="1134" w:hanging="1134"/>
        <w:rPr>
          <w:rFonts w:ascii="Times New Roman" w:hAnsi="Times New Roman" w:cs="Times New Roman"/>
          <w:b/>
          <w:bCs/>
        </w:rPr>
      </w:pPr>
      <w:r w:rsidRPr="007B2005">
        <w:rPr>
          <w:rFonts w:ascii="Times New Roman" w:hAnsi="Times New Roman" w:cs="Times New Roman"/>
          <w:b/>
          <w:bCs/>
        </w:rPr>
        <w:t>Table 23</w:t>
      </w:r>
      <w:r w:rsidRPr="007B2005">
        <w:rPr>
          <w:rFonts w:ascii="Times New Roman" w:hAnsi="Times New Roman" w:cs="Times New Roman"/>
          <w:b/>
          <w:bCs/>
        </w:rPr>
        <w:tab/>
        <w:t xml:space="preserve">Efficacy </w:t>
      </w:r>
      <w:r w:rsidR="006A1EA8" w:rsidRPr="007B2005">
        <w:rPr>
          <w:rFonts w:ascii="Times New Roman" w:hAnsi="Times New Roman" w:cs="Times New Roman"/>
          <w:b/>
          <w:bCs/>
        </w:rPr>
        <w:t>r</w:t>
      </w:r>
      <w:r w:rsidRPr="007B2005">
        <w:rPr>
          <w:rFonts w:ascii="Times New Roman" w:hAnsi="Times New Roman" w:cs="Times New Roman"/>
          <w:b/>
          <w:bCs/>
        </w:rPr>
        <w:t xml:space="preserve">esults from </w:t>
      </w:r>
      <w:r w:rsidR="008D2FE2" w:rsidRPr="007B2005">
        <w:rPr>
          <w:rFonts w:ascii="Times New Roman" w:hAnsi="Times New Roman" w:cs="Times New Roman"/>
          <w:b/>
          <w:bCs/>
        </w:rPr>
        <w:t>s</w:t>
      </w:r>
      <w:r w:rsidRPr="007B2005">
        <w:rPr>
          <w:rFonts w:ascii="Times New Roman" w:hAnsi="Times New Roman" w:cs="Times New Roman"/>
          <w:b/>
          <w:bCs/>
        </w:rPr>
        <w:t>tudy MO22224</w:t>
      </w:r>
    </w:p>
    <w:p w14:paraId="5B4B2AE2" w14:textId="77777777" w:rsidR="008D2FE2" w:rsidRPr="00A71065" w:rsidRDefault="008D2FE2" w:rsidP="00C32D39">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4456"/>
        <w:gridCol w:w="2081"/>
        <w:gridCol w:w="2525"/>
      </w:tblGrid>
      <w:tr w:rsidR="00A46B65" w:rsidRPr="00A71065" w14:paraId="5018CC5F" w14:textId="77777777" w:rsidTr="004228B0">
        <w:tc>
          <w:tcPr>
            <w:tcW w:w="5000" w:type="pct"/>
            <w:gridSpan w:val="3"/>
            <w:tcBorders>
              <w:top w:val="single" w:sz="5" w:space="0" w:color="000000"/>
              <w:left w:val="single" w:sz="5" w:space="0" w:color="000000"/>
              <w:bottom w:val="single" w:sz="5" w:space="0" w:color="000000"/>
              <w:right w:val="single" w:sz="5" w:space="0" w:color="000000"/>
            </w:tcBorders>
          </w:tcPr>
          <w:p w14:paraId="0A0A818E" w14:textId="6CCDF2D3"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u w:val="single" w:color="000000"/>
              </w:rPr>
              <w:t xml:space="preserve">Primary </w:t>
            </w:r>
            <w:r w:rsidR="006A1EA8" w:rsidRPr="00A71065">
              <w:rPr>
                <w:rFonts w:ascii="Times New Roman"/>
                <w:u w:val="single" w:color="000000"/>
              </w:rPr>
              <w:t>endpoint</w:t>
            </w:r>
          </w:p>
        </w:tc>
      </w:tr>
      <w:tr w:rsidR="00A46B65" w:rsidRPr="00A71065" w14:paraId="61E17A7E" w14:textId="77777777" w:rsidTr="004228B0">
        <w:tc>
          <w:tcPr>
            <w:tcW w:w="5000" w:type="pct"/>
            <w:gridSpan w:val="3"/>
            <w:tcBorders>
              <w:top w:val="single" w:sz="5" w:space="0" w:color="000000"/>
              <w:left w:val="single" w:sz="5" w:space="0" w:color="000000"/>
              <w:bottom w:val="single" w:sz="5" w:space="0" w:color="000000"/>
              <w:right w:val="single" w:sz="5" w:space="0" w:color="000000"/>
            </w:tcBorders>
          </w:tcPr>
          <w:p w14:paraId="626543A8" w14:textId="655D3E55" w:rsidR="00047E69" w:rsidRPr="00A71065" w:rsidRDefault="00C210A5" w:rsidP="009C6389">
            <w:pPr>
              <w:pStyle w:val="TableParagraph"/>
              <w:widowControl/>
              <w:ind w:left="104"/>
              <w:contextualSpacing/>
              <w:rPr>
                <w:rFonts w:ascii="Times New Roman" w:eastAsia="Times New Roman" w:hAnsi="Times New Roman" w:cs="Times New Roman"/>
                <w:b/>
                <w:bCs/>
              </w:rPr>
            </w:pPr>
            <w:r w:rsidRPr="00A71065">
              <w:rPr>
                <w:rFonts w:ascii="Times New Roman"/>
                <w:b/>
                <w:bCs/>
              </w:rPr>
              <w:t>Progression</w:t>
            </w:r>
            <w:r w:rsidR="00FD0731" w:rsidRPr="00A71065">
              <w:rPr>
                <w:rFonts w:ascii="Times New Roman"/>
                <w:b/>
                <w:bCs/>
              </w:rPr>
              <w:noBreakHyphen/>
            </w:r>
            <w:r w:rsidR="006A1EA8" w:rsidRPr="00A71065">
              <w:rPr>
                <w:rFonts w:ascii="Times New Roman"/>
                <w:b/>
                <w:bCs/>
              </w:rPr>
              <w:t>f</w:t>
            </w:r>
            <w:r w:rsidRPr="00A71065">
              <w:rPr>
                <w:rFonts w:ascii="Times New Roman"/>
                <w:b/>
                <w:bCs/>
              </w:rPr>
              <w:t xml:space="preserve">ree </w:t>
            </w:r>
            <w:r w:rsidR="006A1EA8" w:rsidRPr="00A71065">
              <w:rPr>
                <w:rFonts w:ascii="Times New Roman"/>
                <w:b/>
                <w:bCs/>
              </w:rPr>
              <w:t>s</w:t>
            </w:r>
            <w:r w:rsidRPr="00A71065">
              <w:rPr>
                <w:rFonts w:ascii="Times New Roman"/>
                <w:b/>
                <w:bCs/>
              </w:rPr>
              <w:t>urvival*</w:t>
            </w:r>
          </w:p>
        </w:tc>
      </w:tr>
      <w:tr w:rsidR="00A27683" w:rsidRPr="00A71065" w14:paraId="2D7809B7"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22251449" w14:textId="77777777" w:rsidR="00047E69" w:rsidRPr="00A71065" w:rsidRDefault="00047E69" w:rsidP="009C6389">
            <w:pPr>
              <w:widowControl/>
              <w:contextualSpacing/>
            </w:pPr>
          </w:p>
        </w:tc>
        <w:tc>
          <w:tcPr>
            <w:tcW w:w="1148" w:type="pct"/>
            <w:tcBorders>
              <w:top w:val="single" w:sz="5" w:space="0" w:color="000000"/>
              <w:left w:val="single" w:sz="5" w:space="0" w:color="000000"/>
              <w:bottom w:val="single" w:sz="5" w:space="0" w:color="000000"/>
              <w:right w:val="single" w:sz="5" w:space="0" w:color="000000"/>
            </w:tcBorders>
          </w:tcPr>
          <w:p w14:paraId="0387E633"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CT (n=182)</w:t>
            </w:r>
          </w:p>
        </w:tc>
        <w:tc>
          <w:tcPr>
            <w:tcW w:w="1394" w:type="pct"/>
            <w:tcBorders>
              <w:top w:val="single" w:sz="5" w:space="0" w:color="000000"/>
              <w:left w:val="single" w:sz="5" w:space="0" w:color="000000"/>
              <w:bottom w:val="single" w:sz="5" w:space="0" w:color="000000"/>
              <w:right w:val="single" w:sz="5" w:space="0" w:color="000000"/>
            </w:tcBorders>
          </w:tcPr>
          <w:p w14:paraId="0F96F66A"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CT+BV (n=179)</w:t>
            </w:r>
          </w:p>
        </w:tc>
      </w:tr>
      <w:tr w:rsidR="00A27683" w:rsidRPr="00A71065" w14:paraId="2223BC64"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711976B6" w14:textId="77777777" w:rsidR="00047E69" w:rsidRPr="00A71065" w:rsidRDefault="00C210A5" w:rsidP="009C6389">
            <w:pPr>
              <w:pStyle w:val="TableParagraph"/>
              <w:widowControl/>
              <w:ind w:left="567"/>
              <w:contextualSpacing/>
              <w:rPr>
                <w:rFonts w:ascii="Times New Roman" w:eastAsia="Times New Roman" w:hAnsi="Times New Roman" w:cs="Times New Roman"/>
              </w:rPr>
            </w:pPr>
            <w:r w:rsidRPr="00A71065">
              <w:rPr>
                <w:rFonts w:ascii="Times New Roman"/>
              </w:rPr>
              <w:t>Median (months)</w:t>
            </w:r>
          </w:p>
        </w:tc>
        <w:tc>
          <w:tcPr>
            <w:tcW w:w="1148" w:type="pct"/>
            <w:tcBorders>
              <w:top w:val="single" w:sz="5" w:space="0" w:color="000000"/>
              <w:left w:val="single" w:sz="5" w:space="0" w:color="000000"/>
              <w:bottom w:val="single" w:sz="5" w:space="0" w:color="000000"/>
              <w:right w:val="single" w:sz="5" w:space="0" w:color="000000"/>
            </w:tcBorders>
          </w:tcPr>
          <w:p w14:paraId="78EC1E06"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3.4</w:t>
            </w:r>
          </w:p>
        </w:tc>
        <w:tc>
          <w:tcPr>
            <w:tcW w:w="1394" w:type="pct"/>
            <w:tcBorders>
              <w:top w:val="single" w:sz="5" w:space="0" w:color="000000"/>
              <w:left w:val="single" w:sz="5" w:space="0" w:color="000000"/>
              <w:bottom w:val="single" w:sz="5" w:space="0" w:color="000000"/>
              <w:right w:val="single" w:sz="5" w:space="0" w:color="000000"/>
            </w:tcBorders>
          </w:tcPr>
          <w:p w14:paraId="1548BA67"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6.7</w:t>
            </w:r>
          </w:p>
        </w:tc>
      </w:tr>
      <w:tr w:rsidR="00A46B65" w:rsidRPr="00A71065" w14:paraId="04C1005A"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4FFEF9EE" w14:textId="77777777" w:rsidR="00047E69" w:rsidRPr="00A71065" w:rsidRDefault="00C210A5" w:rsidP="009C6389">
            <w:pPr>
              <w:pStyle w:val="TableParagraph"/>
              <w:widowControl/>
              <w:ind w:left="567"/>
              <w:contextualSpacing/>
              <w:rPr>
                <w:rFonts w:ascii="Times New Roman" w:eastAsia="Times New Roman" w:hAnsi="Times New Roman" w:cs="Times New Roman"/>
              </w:rPr>
            </w:pPr>
            <w:r w:rsidRPr="00A71065">
              <w:rPr>
                <w:rFonts w:ascii="Times New Roman"/>
              </w:rPr>
              <w:t>Hazard ratio (95% CI)</w:t>
            </w:r>
          </w:p>
        </w:tc>
        <w:tc>
          <w:tcPr>
            <w:tcW w:w="2541" w:type="pct"/>
            <w:gridSpan w:val="2"/>
            <w:tcBorders>
              <w:top w:val="single" w:sz="5" w:space="0" w:color="000000"/>
              <w:left w:val="single" w:sz="5" w:space="0" w:color="000000"/>
              <w:bottom w:val="single" w:sz="5" w:space="0" w:color="000000"/>
              <w:right w:val="single" w:sz="5" w:space="0" w:color="000000"/>
            </w:tcBorders>
          </w:tcPr>
          <w:p w14:paraId="03C702BF" w14:textId="77777777"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0.379 [0.296, 0.485]</w:t>
            </w:r>
          </w:p>
        </w:tc>
      </w:tr>
      <w:tr w:rsidR="00A46B65" w:rsidRPr="00A71065" w14:paraId="0F5DD235"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7B37418D" w14:textId="452D3AB0" w:rsidR="00047E69" w:rsidRPr="00A71065" w:rsidRDefault="00C210A5" w:rsidP="009C6389">
            <w:pPr>
              <w:pStyle w:val="TableParagraph"/>
              <w:widowControl/>
              <w:ind w:left="567"/>
              <w:contextualSpacing/>
              <w:rPr>
                <w:rFonts w:ascii="Times New Roman" w:eastAsia="Times New Roman" w:hAnsi="Times New Roman" w:cs="Times New Roman"/>
              </w:rPr>
            </w:pPr>
            <w:r w:rsidRPr="00A71065">
              <w:rPr>
                <w:rFonts w:ascii="Times New Roman"/>
              </w:rPr>
              <w:t>p</w:t>
            </w:r>
            <w:r w:rsidR="00FD0731" w:rsidRPr="00A71065">
              <w:rPr>
                <w:rFonts w:ascii="Times New Roman"/>
              </w:rPr>
              <w:noBreakHyphen/>
            </w:r>
            <w:r w:rsidRPr="00A71065">
              <w:rPr>
                <w:rFonts w:ascii="Times New Roman"/>
              </w:rPr>
              <w:t>value</w:t>
            </w:r>
          </w:p>
        </w:tc>
        <w:tc>
          <w:tcPr>
            <w:tcW w:w="2541" w:type="pct"/>
            <w:gridSpan w:val="2"/>
            <w:tcBorders>
              <w:top w:val="single" w:sz="5" w:space="0" w:color="000000"/>
              <w:left w:val="single" w:sz="5" w:space="0" w:color="000000"/>
              <w:bottom w:val="single" w:sz="5" w:space="0" w:color="000000"/>
              <w:right w:val="single" w:sz="5" w:space="0" w:color="000000"/>
            </w:tcBorders>
          </w:tcPr>
          <w:p w14:paraId="11DABBA8" w14:textId="4CA17619"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&lt;</w:t>
            </w:r>
            <w:r w:rsidR="00033651" w:rsidRPr="00A71065">
              <w:rPr>
                <w:rFonts w:ascii="Times New Roman"/>
              </w:rPr>
              <w:t xml:space="preserve"> </w:t>
            </w:r>
            <w:r w:rsidRPr="00A71065">
              <w:rPr>
                <w:rFonts w:ascii="Times New Roman"/>
              </w:rPr>
              <w:t>0.0001</w:t>
            </w:r>
          </w:p>
        </w:tc>
      </w:tr>
      <w:tr w:rsidR="00A46B65" w:rsidRPr="00A71065" w14:paraId="06945803" w14:textId="77777777" w:rsidTr="004228B0">
        <w:tc>
          <w:tcPr>
            <w:tcW w:w="5000" w:type="pct"/>
            <w:gridSpan w:val="3"/>
            <w:tcBorders>
              <w:top w:val="single" w:sz="5" w:space="0" w:color="000000"/>
              <w:left w:val="single" w:sz="5" w:space="0" w:color="000000"/>
              <w:bottom w:val="single" w:sz="5" w:space="0" w:color="000000"/>
              <w:right w:val="single" w:sz="5" w:space="0" w:color="000000"/>
            </w:tcBorders>
          </w:tcPr>
          <w:p w14:paraId="1D55FB3F" w14:textId="73315CC8"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u w:val="single" w:color="000000"/>
              </w:rPr>
              <w:t xml:space="preserve">Secondary </w:t>
            </w:r>
            <w:r w:rsidR="006A1EA8" w:rsidRPr="00A71065">
              <w:rPr>
                <w:rFonts w:ascii="Times New Roman"/>
                <w:u w:val="single" w:color="000000"/>
              </w:rPr>
              <w:t>endpoints</w:t>
            </w:r>
          </w:p>
        </w:tc>
      </w:tr>
      <w:tr w:rsidR="00A46B65" w:rsidRPr="00A71065" w14:paraId="3A464F1D" w14:textId="77777777" w:rsidTr="004228B0">
        <w:tc>
          <w:tcPr>
            <w:tcW w:w="5000" w:type="pct"/>
            <w:gridSpan w:val="3"/>
            <w:tcBorders>
              <w:top w:val="single" w:sz="5" w:space="0" w:color="000000"/>
              <w:left w:val="single" w:sz="5" w:space="0" w:color="000000"/>
              <w:bottom w:val="single" w:sz="5" w:space="0" w:color="000000"/>
              <w:right w:val="single" w:sz="5" w:space="0" w:color="000000"/>
            </w:tcBorders>
          </w:tcPr>
          <w:p w14:paraId="04012071" w14:textId="6163DC60" w:rsidR="00047E69" w:rsidRPr="00A71065" w:rsidRDefault="00C210A5" w:rsidP="009C6389">
            <w:pPr>
              <w:pStyle w:val="TableParagraph"/>
              <w:widowControl/>
              <w:ind w:left="104"/>
              <w:contextualSpacing/>
              <w:rPr>
                <w:rFonts w:ascii="Times New Roman" w:eastAsia="Times New Roman" w:hAnsi="Times New Roman" w:cs="Times New Roman"/>
                <w:b/>
                <w:bCs/>
              </w:rPr>
            </w:pPr>
            <w:r w:rsidRPr="00A71065">
              <w:rPr>
                <w:rFonts w:ascii="Times New Roman"/>
                <w:b/>
                <w:bCs/>
              </w:rPr>
              <w:t xml:space="preserve">Objective </w:t>
            </w:r>
            <w:r w:rsidR="006A1EA8" w:rsidRPr="00A71065">
              <w:rPr>
                <w:rFonts w:ascii="Times New Roman"/>
                <w:b/>
                <w:bCs/>
              </w:rPr>
              <w:t>r</w:t>
            </w:r>
            <w:r w:rsidRPr="00A71065">
              <w:rPr>
                <w:rFonts w:ascii="Times New Roman"/>
                <w:b/>
                <w:bCs/>
              </w:rPr>
              <w:t xml:space="preserve">esponse </w:t>
            </w:r>
            <w:r w:rsidR="006A1EA8" w:rsidRPr="00A71065">
              <w:rPr>
                <w:rFonts w:ascii="Times New Roman"/>
                <w:b/>
                <w:bCs/>
              </w:rPr>
              <w:t>r</w:t>
            </w:r>
            <w:r w:rsidRPr="00A71065">
              <w:rPr>
                <w:rFonts w:ascii="Times New Roman"/>
                <w:b/>
                <w:bCs/>
              </w:rPr>
              <w:t>ate**</w:t>
            </w:r>
          </w:p>
        </w:tc>
      </w:tr>
      <w:tr w:rsidR="00A27683" w:rsidRPr="00A71065" w14:paraId="0E6245E8"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3655F0FD" w14:textId="77777777" w:rsidR="00047E69" w:rsidRPr="00A71065" w:rsidRDefault="00047E69" w:rsidP="009C6389">
            <w:pPr>
              <w:widowControl/>
              <w:contextualSpacing/>
            </w:pPr>
          </w:p>
        </w:tc>
        <w:tc>
          <w:tcPr>
            <w:tcW w:w="1148" w:type="pct"/>
            <w:tcBorders>
              <w:top w:val="single" w:sz="5" w:space="0" w:color="000000"/>
              <w:left w:val="single" w:sz="5" w:space="0" w:color="000000"/>
              <w:bottom w:val="single" w:sz="5" w:space="0" w:color="000000"/>
              <w:right w:val="single" w:sz="5" w:space="0" w:color="000000"/>
            </w:tcBorders>
          </w:tcPr>
          <w:p w14:paraId="1A0AF181" w14:textId="77777777"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CT (n=144)</w:t>
            </w:r>
          </w:p>
        </w:tc>
        <w:tc>
          <w:tcPr>
            <w:tcW w:w="1394" w:type="pct"/>
            <w:tcBorders>
              <w:top w:val="single" w:sz="5" w:space="0" w:color="000000"/>
              <w:left w:val="single" w:sz="5" w:space="0" w:color="000000"/>
              <w:bottom w:val="single" w:sz="5" w:space="0" w:color="000000"/>
              <w:right w:val="single" w:sz="5" w:space="0" w:color="000000"/>
            </w:tcBorders>
          </w:tcPr>
          <w:p w14:paraId="30DFA24E" w14:textId="77777777"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CT+BV (n=142)</w:t>
            </w:r>
          </w:p>
        </w:tc>
      </w:tr>
      <w:tr w:rsidR="00A27683" w:rsidRPr="00A71065" w14:paraId="5345313B"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6B209844" w14:textId="77777777" w:rsidR="00047E69" w:rsidRPr="00A71065" w:rsidRDefault="00C210A5" w:rsidP="009C6389">
            <w:pPr>
              <w:pStyle w:val="TableParagraph"/>
              <w:widowControl/>
              <w:ind w:left="567"/>
              <w:rPr>
                <w:rFonts w:ascii="Times New Roman" w:eastAsia="Times New Roman" w:hAnsi="Times New Roman" w:cs="Times New Roman"/>
              </w:rPr>
            </w:pPr>
            <w:r w:rsidRPr="00A71065">
              <w:rPr>
                <w:rFonts w:ascii="Times New Roman"/>
              </w:rPr>
              <w:t>% patients with objective response</w:t>
            </w:r>
          </w:p>
        </w:tc>
        <w:tc>
          <w:tcPr>
            <w:tcW w:w="1148" w:type="pct"/>
            <w:tcBorders>
              <w:top w:val="single" w:sz="5" w:space="0" w:color="000000"/>
              <w:left w:val="single" w:sz="5" w:space="0" w:color="000000"/>
              <w:bottom w:val="single" w:sz="5" w:space="0" w:color="000000"/>
              <w:right w:val="single" w:sz="5" w:space="0" w:color="000000"/>
            </w:tcBorders>
          </w:tcPr>
          <w:p w14:paraId="5C7E5160" w14:textId="77777777"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18 (12.5%)</w:t>
            </w:r>
          </w:p>
        </w:tc>
        <w:tc>
          <w:tcPr>
            <w:tcW w:w="1394" w:type="pct"/>
            <w:tcBorders>
              <w:top w:val="single" w:sz="5" w:space="0" w:color="000000"/>
              <w:left w:val="single" w:sz="5" w:space="0" w:color="000000"/>
              <w:bottom w:val="single" w:sz="5" w:space="0" w:color="000000"/>
              <w:right w:val="single" w:sz="5" w:space="0" w:color="000000"/>
            </w:tcBorders>
          </w:tcPr>
          <w:p w14:paraId="7504C6A2" w14:textId="77777777"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40 (28.2%)</w:t>
            </w:r>
          </w:p>
        </w:tc>
      </w:tr>
      <w:tr w:rsidR="00A46B65" w:rsidRPr="00A71065" w14:paraId="42503A88"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207E925B" w14:textId="77777777" w:rsidR="00047E69" w:rsidRPr="00A71065" w:rsidRDefault="00C210A5" w:rsidP="009C6389">
            <w:pPr>
              <w:pStyle w:val="TableParagraph"/>
              <w:widowControl/>
              <w:ind w:left="567"/>
              <w:rPr>
                <w:rFonts w:ascii="Times New Roman" w:eastAsia="Times New Roman" w:hAnsi="Times New Roman" w:cs="Times New Roman"/>
              </w:rPr>
            </w:pPr>
            <w:r w:rsidRPr="00A71065">
              <w:rPr>
                <w:rFonts w:ascii="Times New Roman" w:eastAsia="Times New Roman" w:hAnsi="Times New Roman" w:cs="Times New Roman"/>
              </w:rPr>
              <w:t>p –value</w:t>
            </w:r>
          </w:p>
        </w:tc>
        <w:tc>
          <w:tcPr>
            <w:tcW w:w="2541" w:type="pct"/>
            <w:gridSpan w:val="2"/>
            <w:tcBorders>
              <w:top w:val="single" w:sz="5" w:space="0" w:color="000000"/>
              <w:left w:val="single" w:sz="5" w:space="0" w:color="000000"/>
              <w:bottom w:val="single" w:sz="5" w:space="0" w:color="000000"/>
              <w:right w:val="single" w:sz="5" w:space="0" w:color="000000"/>
            </w:tcBorders>
          </w:tcPr>
          <w:p w14:paraId="32C17271" w14:textId="77777777" w:rsidR="00047E69" w:rsidRPr="00A71065" w:rsidRDefault="00C210A5" w:rsidP="009C6389">
            <w:pPr>
              <w:pStyle w:val="TableParagraph"/>
              <w:widowControl/>
              <w:contextualSpacing/>
              <w:jc w:val="center"/>
              <w:rPr>
                <w:rFonts w:ascii="Times New Roman" w:eastAsia="Times New Roman" w:hAnsi="Times New Roman" w:cs="Times New Roman"/>
              </w:rPr>
            </w:pPr>
            <w:r w:rsidRPr="00A71065">
              <w:rPr>
                <w:rFonts w:ascii="Times New Roman"/>
              </w:rPr>
              <w:t>0.0007</w:t>
            </w:r>
          </w:p>
        </w:tc>
      </w:tr>
      <w:tr w:rsidR="00A46B65" w:rsidRPr="00A71065" w14:paraId="3BD44EBC" w14:textId="77777777" w:rsidTr="004228B0">
        <w:tc>
          <w:tcPr>
            <w:tcW w:w="5000" w:type="pct"/>
            <w:gridSpan w:val="3"/>
            <w:tcBorders>
              <w:top w:val="single" w:sz="5" w:space="0" w:color="000000"/>
              <w:left w:val="single" w:sz="5" w:space="0" w:color="000000"/>
              <w:bottom w:val="single" w:sz="5" w:space="0" w:color="000000"/>
              <w:right w:val="single" w:sz="5" w:space="0" w:color="000000"/>
            </w:tcBorders>
          </w:tcPr>
          <w:p w14:paraId="788906BC" w14:textId="4F0A2C63" w:rsidR="006A1EA8" w:rsidRPr="00A71065" w:rsidRDefault="00C210A5" w:rsidP="009C6389">
            <w:pPr>
              <w:widowControl/>
              <w:contextualSpacing/>
            </w:pPr>
            <w:r w:rsidRPr="00A71065">
              <w:rPr>
                <w:rFonts w:ascii="Times New Roman"/>
                <w:b/>
                <w:bCs/>
              </w:rPr>
              <w:t>Overall survival (final analysis)***</w:t>
            </w:r>
          </w:p>
        </w:tc>
      </w:tr>
      <w:tr w:rsidR="00A27683" w:rsidRPr="00A71065" w14:paraId="6F103CBE"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5ADD66A0" w14:textId="77777777" w:rsidR="00047E69" w:rsidRPr="00A71065" w:rsidRDefault="00047E69" w:rsidP="009C6389">
            <w:pPr>
              <w:widowControl/>
              <w:contextualSpacing/>
            </w:pPr>
          </w:p>
        </w:tc>
        <w:tc>
          <w:tcPr>
            <w:tcW w:w="1148" w:type="pct"/>
            <w:tcBorders>
              <w:top w:val="single" w:sz="5" w:space="0" w:color="000000"/>
              <w:left w:val="single" w:sz="5" w:space="0" w:color="000000"/>
              <w:bottom w:val="single" w:sz="5" w:space="0" w:color="000000"/>
              <w:right w:val="single" w:sz="5" w:space="0" w:color="000000"/>
            </w:tcBorders>
          </w:tcPr>
          <w:p w14:paraId="7AB6EA47"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CT (n=182)</w:t>
            </w:r>
          </w:p>
        </w:tc>
        <w:tc>
          <w:tcPr>
            <w:tcW w:w="1394" w:type="pct"/>
            <w:tcBorders>
              <w:top w:val="single" w:sz="5" w:space="0" w:color="000000"/>
              <w:left w:val="single" w:sz="5" w:space="0" w:color="000000"/>
              <w:bottom w:val="single" w:sz="5" w:space="0" w:color="000000"/>
              <w:right w:val="single" w:sz="5" w:space="0" w:color="000000"/>
            </w:tcBorders>
          </w:tcPr>
          <w:p w14:paraId="5646A40C"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CT+BV (n=179)</w:t>
            </w:r>
          </w:p>
        </w:tc>
      </w:tr>
      <w:tr w:rsidR="00A27683" w:rsidRPr="00A71065" w14:paraId="5D3AF1E1"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5CF743CD" w14:textId="77777777" w:rsidR="00047E69" w:rsidRPr="00A71065" w:rsidRDefault="00C210A5" w:rsidP="009C6389">
            <w:pPr>
              <w:pStyle w:val="TableParagraph"/>
              <w:widowControl/>
              <w:ind w:left="567"/>
              <w:rPr>
                <w:rFonts w:ascii="Times New Roman" w:eastAsia="Times New Roman" w:hAnsi="Times New Roman" w:cs="Times New Roman"/>
              </w:rPr>
            </w:pPr>
            <w:r w:rsidRPr="00A71065">
              <w:rPr>
                <w:rFonts w:ascii="Times New Roman"/>
              </w:rPr>
              <w:t>Median OS (months)</w:t>
            </w:r>
          </w:p>
        </w:tc>
        <w:tc>
          <w:tcPr>
            <w:tcW w:w="1148" w:type="pct"/>
            <w:tcBorders>
              <w:top w:val="single" w:sz="5" w:space="0" w:color="000000"/>
              <w:left w:val="single" w:sz="5" w:space="0" w:color="000000"/>
              <w:bottom w:val="single" w:sz="5" w:space="0" w:color="000000"/>
              <w:right w:val="single" w:sz="5" w:space="0" w:color="000000"/>
            </w:tcBorders>
          </w:tcPr>
          <w:p w14:paraId="14F0F634"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13.3</w:t>
            </w:r>
          </w:p>
        </w:tc>
        <w:tc>
          <w:tcPr>
            <w:tcW w:w="1394" w:type="pct"/>
            <w:tcBorders>
              <w:top w:val="single" w:sz="5" w:space="0" w:color="000000"/>
              <w:left w:val="single" w:sz="5" w:space="0" w:color="000000"/>
              <w:bottom w:val="single" w:sz="5" w:space="0" w:color="000000"/>
              <w:right w:val="single" w:sz="5" w:space="0" w:color="000000"/>
            </w:tcBorders>
          </w:tcPr>
          <w:p w14:paraId="7B21DD7D"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16.6</w:t>
            </w:r>
          </w:p>
        </w:tc>
      </w:tr>
      <w:tr w:rsidR="00A46B65" w:rsidRPr="00A71065" w14:paraId="231611DE"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395E2D1D" w14:textId="54559FD0" w:rsidR="00047E69" w:rsidRPr="00A71065" w:rsidRDefault="00C210A5" w:rsidP="009C6389">
            <w:pPr>
              <w:pStyle w:val="TableParagraph"/>
              <w:widowControl/>
              <w:ind w:left="567"/>
              <w:rPr>
                <w:rFonts w:ascii="Times New Roman" w:eastAsia="Times New Roman" w:hAnsi="Times New Roman" w:cs="Times New Roman"/>
              </w:rPr>
            </w:pPr>
            <w:r w:rsidRPr="00A71065">
              <w:rPr>
                <w:rFonts w:ascii="Times New Roman"/>
              </w:rPr>
              <w:lastRenderedPageBreak/>
              <w:t xml:space="preserve">Hazard </w:t>
            </w:r>
            <w:r w:rsidR="006A1EA8" w:rsidRPr="00A71065">
              <w:rPr>
                <w:rFonts w:ascii="Times New Roman"/>
              </w:rPr>
              <w:t>r</w:t>
            </w:r>
            <w:r w:rsidRPr="00A71065">
              <w:rPr>
                <w:rFonts w:ascii="Times New Roman"/>
              </w:rPr>
              <w:t>atio (95% CI)</w:t>
            </w:r>
          </w:p>
        </w:tc>
        <w:tc>
          <w:tcPr>
            <w:tcW w:w="2541" w:type="pct"/>
            <w:gridSpan w:val="2"/>
            <w:tcBorders>
              <w:top w:val="single" w:sz="5" w:space="0" w:color="000000"/>
              <w:left w:val="single" w:sz="5" w:space="0" w:color="000000"/>
              <w:bottom w:val="single" w:sz="5" w:space="0" w:color="000000"/>
              <w:right w:val="single" w:sz="5" w:space="0" w:color="000000"/>
            </w:tcBorders>
          </w:tcPr>
          <w:p w14:paraId="6CF58C59"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0.870 [0.678, 1.116]</w:t>
            </w:r>
          </w:p>
        </w:tc>
      </w:tr>
      <w:tr w:rsidR="00A46B65" w:rsidRPr="00A71065" w14:paraId="405011C3" w14:textId="77777777" w:rsidTr="004228B0">
        <w:tc>
          <w:tcPr>
            <w:tcW w:w="2459" w:type="pct"/>
            <w:tcBorders>
              <w:top w:val="single" w:sz="5" w:space="0" w:color="000000"/>
              <w:left w:val="single" w:sz="5" w:space="0" w:color="000000"/>
              <w:bottom w:val="single" w:sz="5" w:space="0" w:color="000000"/>
              <w:right w:val="single" w:sz="5" w:space="0" w:color="000000"/>
            </w:tcBorders>
          </w:tcPr>
          <w:p w14:paraId="20B83BE8" w14:textId="73E0E432" w:rsidR="00047E69" w:rsidRPr="00A71065" w:rsidRDefault="00C210A5" w:rsidP="009C6389">
            <w:pPr>
              <w:pStyle w:val="TableParagraph"/>
              <w:widowControl/>
              <w:ind w:left="567"/>
              <w:rPr>
                <w:rFonts w:ascii="Times New Roman" w:eastAsia="Times New Roman" w:hAnsi="Times New Roman" w:cs="Times New Roman"/>
              </w:rPr>
            </w:pPr>
            <w:r w:rsidRPr="00A71065">
              <w:rPr>
                <w:rFonts w:ascii="Times New Roman"/>
              </w:rPr>
              <w:t>p</w:t>
            </w:r>
            <w:r w:rsidR="00FD0731" w:rsidRPr="00A71065">
              <w:rPr>
                <w:rFonts w:ascii="Times New Roman"/>
              </w:rPr>
              <w:noBreakHyphen/>
            </w:r>
            <w:r w:rsidRPr="00A71065">
              <w:rPr>
                <w:rFonts w:ascii="Times New Roman"/>
              </w:rPr>
              <w:t>value</w:t>
            </w:r>
          </w:p>
        </w:tc>
        <w:tc>
          <w:tcPr>
            <w:tcW w:w="2541" w:type="pct"/>
            <w:gridSpan w:val="2"/>
            <w:tcBorders>
              <w:top w:val="single" w:sz="5" w:space="0" w:color="000000"/>
              <w:left w:val="single" w:sz="5" w:space="0" w:color="000000"/>
              <w:bottom w:val="single" w:sz="5" w:space="0" w:color="000000"/>
              <w:right w:val="single" w:sz="5" w:space="0" w:color="000000"/>
            </w:tcBorders>
          </w:tcPr>
          <w:p w14:paraId="56DEE6FB"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0.2711</w:t>
            </w:r>
          </w:p>
        </w:tc>
      </w:tr>
    </w:tbl>
    <w:p w14:paraId="5AC632DD" w14:textId="77777777" w:rsidR="00047E69" w:rsidRPr="00A71065" w:rsidRDefault="00C210A5" w:rsidP="009C6389">
      <w:pPr>
        <w:widowControl/>
        <w:adjustRightInd w:val="0"/>
        <w:snapToGrid w:val="0"/>
        <w:rPr>
          <w:rFonts w:ascii="Times New Roman"/>
          <w:sz w:val="20"/>
        </w:rPr>
      </w:pPr>
      <w:r w:rsidRPr="00A71065">
        <w:rPr>
          <w:rFonts w:ascii="Times New Roman"/>
          <w:sz w:val="20"/>
        </w:rPr>
        <w:t>All analyses presented in this table are stratified analyses.</w:t>
      </w:r>
    </w:p>
    <w:p w14:paraId="009A3E00" w14:textId="159F591D" w:rsidR="00047E69" w:rsidRPr="00A71065" w:rsidRDefault="00C210A5" w:rsidP="009C6389">
      <w:pPr>
        <w:widowControl/>
        <w:adjustRightInd w:val="0"/>
        <w:snapToGrid w:val="0"/>
        <w:rPr>
          <w:rFonts w:ascii="Times New Roman"/>
          <w:sz w:val="20"/>
        </w:rPr>
      </w:pPr>
      <w:r w:rsidRPr="00A71065">
        <w:rPr>
          <w:rFonts w:ascii="Times New Roman"/>
          <w:sz w:val="20"/>
        </w:rPr>
        <w:t>*Primary analysis was performed with a data cut</w:t>
      </w:r>
      <w:r w:rsidR="00FD0731" w:rsidRPr="00A71065">
        <w:rPr>
          <w:rFonts w:ascii="Times New Roman"/>
          <w:sz w:val="20"/>
        </w:rPr>
        <w:noBreakHyphen/>
      </w:r>
      <w:r w:rsidRPr="00A71065">
        <w:rPr>
          <w:rFonts w:ascii="Times New Roman"/>
          <w:sz w:val="20"/>
        </w:rPr>
        <w:t>off date of 14 November 2011.</w:t>
      </w:r>
    </w:p>
    <w:p w14:paraId="38494730" w14:textId="77777777" w:rsidR="00047E69" w:rsidRPr="00A71065" w:rsidRDefault="00C210A5" w:rsidP="009C6389">
      <w:pPr>
        <w:widowControl/>
        <w:adjustRightInd w:val="0"/>
        <w:snapToGrid w:val="0"/>
        <w:rPr>
          <w:rFonts w:ascii="Times New Roman"/>
          <w:sz w:val="20"/>
        </w:rPr>
      </w:pPr>
      <w:r w:rsidRPr="00A71065">
        <w:rPr>
          <w:rFonts w:ascii="Times New Roman"/>
          <w:sz w:val="20"/>
        </w:rPr>
        <w:t>**Randomized Patients with Measurable Disease at Baseline.</w:t>
      </w:r>
    </w:p>
    <w:p w14:paraId="6E3CD753" w14:textId="7EA1B8B5" w:rsidR="00047E69" w:rsidRPr="00A71065" w:rsidRDefault="00C210A5" w:rsidP="009C6389">
      <w:pPr>
        <w:widowControl/>
        <w:adjustRightInd w:val="0"/>
        <w:snapToGrid w:val="0"/>
        <w:rPr>
          <w:rFonts w:ascii="Times New Roman" w:eastAsia="Times New Roman" w:hAnsi="Times New Roman" w:cs="Times New Roman"/>
          <w:sz w:val="20"/>
          <w:szCs w:val="20"/>
        </w:rPr>
      </w:pPr>
      <w:r w:rsidRPr="00A71065">
        <w:rPr>
          <w:rFonts w:ascii="Times New Roman"/>
          <w:sz w:val="20"/>
        </w:rPr>
        <w:t xml:space="preserve">***The final analysis of </w:t>
      </w:r>
      <w:r w:rsidR="00410031" w:rsidRPr="00A71065">
        <w:rPr>
          <w:rFonts w:ascii="Times New Roman"/>
          <w:sz w:val="20"/>
        </w:rPr>
        <w:t>OS</w:t>
      </w:r>
      <w:r w:rsidRPr="00A71065">
        <w:rPr>
          <w:rFonts w:ascii="Times New Roman"/>
          <w:sz w:val="20"/>
        </w:rPr>
        <w:t xml:space="preserve"> was performed when 266 deaths, which account for 73.7 % of enrolled patients, were observed.</w:t>
      </w:r>
    </w:p>
    <w:p w14:paraId="2F1D7D1F" w14:textId="77777777" w:rsidR="00047E69" w:rsidRPr="00A71065" w:rsidRDefault="00047E69" w:rsidP="009C6389">
      <w:pPr>
        <w:widowControl/>
        <w:adjustRightInd w:val="0"/>
        <w:snapToGrid w:val="0"/>
        <w:rPr>
          <w:rFonts w:ascii="Times New Roman" w:eastAsia="Times New Roman" w:hAnsi="Times New Roman" w:cs="Times New Roman"/>
          <w:sz w:val="21"/>
          <w:szCs w:val="21"/>
        </w:rPr>
      </w:pPr>
    </w:p>
    <w:p w14:paraId="1955CC61" w14:textId="1D37E394" w:rsidR="00047E69" w:rsidRPr="00A71065" w:rsidRDefault="00C210A5" w:rsidP="009C6389">
      <w:pPr>
        <w:pStyle w:val="a5"/>
        <w:widowControl/>
        <w:adjustRightInd w:val="0"/>
        <w:snapToGrid w:val="0"/>
      </w:pPr>
      <w:r w:rsidRPr="00A71065">
        <w:t>The trial met its primary objective of PFS improvement. Compared to patients treated with chemotherapy (paclitaxel, topotecan or PLD) alone in the recurrent platinum</w:t>
      </w:r>
      <w:r w:rsidR="00FD0731" w:rsidRPr="00A71065">
        <w:noBreakHyphen/>
      </w:r>
      <w:r w:rsidRPr="00A71065">
        <w:t>resistant setting, patients who received bevacizumab at a dose of 10 mg/kg every 2 weeks (or 15 mg/kg every 3 weeks if used in combination with 1.25 mg/m</w:t>
      </w:r>
      <w:r w:rsidRPr="00A71065">
        <w:rPr>
          <w:position w:val="9"/>
          <w:sz w:val="14"/>
          <w:szCs w:val="14"/>
        </w:rPr>
        <w:t xml:space="preserve">2 </w:t>
      </w:r>
      <w:r w:rsidRPr="00A71065">
        <w:t>topotecan on Days 1–5 every 3 weeks) in combination with chemotherapy and continued to receive bevacizumab until disease progression or unacceptable toxicity, had a statistically significant improvement in PFS. The exploratory PFS and OS analyses by chemotherapy cohort (paclitaxel, topotecan and PLD) are summarized in Table 24.</w:t>
      </w:r>
    </w:p>
    <w:p w14:paraId="53690511" w14:textId="77777777" w:rsidR="00A135EE" w:rsidRPr="00A71065" w:rsidRDefault="00A135EE" w:rsidP="00C32D39"/>
    <w:p w14:paraId="7243EFBD" w14:textId="6B8772BD" w:rsidR="00047E69" w:rsidRPr="007B2005" w:rsidRDefault="00DB7BA6" w:rsidP="007B2005">
      <w:pPr>
        <w:ind w:left="1134" w:hanging="1134"/>
        <w:rPr>
          <w:rFonts w:ascii="Times New Roman" w:hAnsi="Times New Roman" w:cs="Times New Roman"/>
          <w:b/>
          <w:bCs/>
        </w:rPr>
      </w:pPr>
      <w:r w:rsidRPr="007B2005">
        <w:rPr>
          <w:rFonts w:ascii="Times New Roman" w:hAnsi="Times New Roman" w:cs="Times New Roman"/>
          <w:b/>
          <w:bCs/>
        </w:rPr>
        <w:t>Table 24</w:t>
      </w:r>
      <w:r w:rsidRPr="007B2005">
        <w:rPr>
          <w:rFonts w:ascii="Times New Roman" w:hAnsi="Times New Roman" w:cs="Times New Roman"/>
          <w:b/>
          <w:bCs/>
        </w:rPr>
        <w:tab/>
      </w:r>
      <w:r w:rsidR="00C210A5" w:rsidRPr="007B2005">
        <w:rPr>
          <w:rFonts w:ascii="Times New Roman" w:hAnsi="Times New Roman" w:cs="Times New Roman"/>
          <w:b/>
          <w:bCs/>
        </w:rPr>
        <w:t>Exploratory PFS and OS analyses by chemotherapy cohort</w:t>
      </w:r>
    </w:p>
    <w:p w14:paraId="70DD1232" w14:textId="77777777" w:rsidR="008D2FE2" w:rsidRPr="00A71065" w:rsidRDefault="008D2FE2" w:rsidP="00C32D39">
      <w:pPr>
        <w:rPr>
          <w:b/>
          <w:bCs/>
        </w:rPr>
      </w:pPr>
    </w:p>
    <w:tbl>
      <w:tblPr>
        <w:tblStyle w:val="TableNormal0"/>
        <w:tblW w:w="5000" w:type="pct"/>
        <w:tblLayout w:type="fixed"/>
        <w:tblCellMar>
          <w:left w:w="108" w:type="dxa"/>
          <w:right w:w="108" w:type="dxa"/>
        </w:tblCellMar>
        <w:tblLook w:val="01E0" w:firstRow="1" w:lastRow="1" w:firstColumn="1" w:lastColumn="1" w:noHBand="0" w:noVBand="0"/>
      </w:tblPr>
      <w:tblGrid>
        <w:gridCol w:w="3167"/>
        <w:gridCol w:w="2947"/>
        <w:gridCol w:w="77"/>
        <w:gridCol w:w="2871"/>
      </w:tblGrid>
      <w:tr w:rsidR="00A46B65" w:rsidRPr="00A71065" w14:paraId="318CF066"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4BA1FB8C" w14:textId="77777777" w:rsidR="00047E69" w:rsidRPr="00A71065" w:rsidRDefault="00047E69" w:rsidP="009C6389">
            <w:pPr>
              <w:widowControl/>
              <w:rPr>
                <w:lang w:eastAsia="ko-KR"/>
              </w:rPr>
            </w:pPr>
          </w:p>
        </w:tc>
        <w:tc>
          <w:tcPr>
            <w:tcW w:w="2837" w:type="dxa"/>
            <w:gridSpan w:val="2"/>
            <w:tcBorders>
              <w:top w:val="single" w:sz="5" w:space="0" w:color="000000"/>
              <w:left w:val="single" w:sz="5" w:space="0" w:color="000000"/>
              <w:bottom w:val="single" w:sz="5" w:space="0" w:color="000000"/>
              <w:right w:val="single" w:sz="5" w:space="0" w:color="000000"/>
            </w:tcBorders>
          </w:tcPr>
          <w:p w14:paraId="203BF96F" w14:textId="77777777" w:rsidR="00047E69" w:rsidRPr="00A71065" w:rsidRDefault="00C210A5" w:rsidP="009C6389">
            <w:pPr>
              <w:pStyle w:val="TableParagraph"/>
              <w:widowControl/>
              <w:jc w:val="center"/>
              <w:rPr>
                <w:rFonts w:ascii="Times New Roman" w:eastAsia="Times New Roman" w:hAnsi="Times New Roman" w:cs="Times New Roman"/>
                <w:b/>
                <w:bCs/>
              </w:rPr>
            </w:pPr>
            <w:r w:rsidRPr="00A71065">
              <w:rPr>
                <w:rFonts w:ascii="Times New Roman"/>
                <w:b/>
                <w:bCs/>
              </w:rPr>
              <w:t>CT</w:t>
            </w:r>
          </w:p>
        </w:tc>
        <w:tc>
          <w:tcPr>
            <w:tcW w:w="2693" w:type="dxa"/>
            <w:tcBorders>
              <w:top w:val="single" w:sz="5" w:space="0" w:color="000000"/>
              <w:left w:val="single" w:sz="5" w:space="0" w:color="000000"/>
              <w:bottom w:val="single" w:sz="5" w:space="0" w:color="000000"/>
              <w:right w:val="single" w:sz="5" w:space="0" w:color="000000"/>
            </w:tcBorders>
          </w:tcPr>
          <w:p w14:paraId="37DCED6B" w14:textId="77777777" w:rsidR="00047E69" w:rsidRPr="00A71065" w:rsidRDefault="00C210A5" w:rsidP="009C6389">
            <w:pPr>
              <w:pStyle w:val="TableParagraph"/>
              <w:widowControl/>
              <w:jc w:val="center"/>
              <w:rPr>
                <w:rFonts w:ascii="Times New Roman" w:eastAsia="Times New Roman" w:hAnsi="Times New Roman" w:cs="Times New Roman"/>
                <w:b/>
                <w:bCs/>
              </w:rPr>
            </w:pPr>
            <w:r w:rsidRPr="00A71065">
              <w:rPr>
                <w:rFonts w:ascii="Times New Roman"/>
                <w:b/>
                <w:bCs/>
              </w:rPr>
              <w:t>CT+BV</w:t>
            </w:r>
          </w:p>
        </w:tc>
      </w:tr>
      <w:tr w:rsidR="00A46B65" w:rsidRPr="00A71065" w14:paraId="7F930789"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06EF3A52"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b/>
              </w:rPr>
              <w:t>Paclitaxel</w:t>
            </w:r>
          </w:p>
        </w:tc>
        <w:tc>
          <w:tcPr>
            <w:tcW w:w="5530" w:type="dxa"/>
            <w:gridSpan w:val="3"/>
            <w:tcBorders>
              <w:top w:val="single" w:sz="5" w:space="0" w:color="000000"/>
              <w:left w:val="single" w:sz="5" w:space="0" w:color="000000"/>
              <w:bottom w:val="single" w:sz="5" w:space="0" w:color="000000"/>
              <w:right w:val="single" w:sz="5" w:space="0" w:color="000000"/>
            </w:tcBorders>
          </w:tcPr>
          <w:p w14:paraId="229D1749"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n=115</w:t>
            </w:r>
          </w:p>
        </w:tc>
      </w:tr>
      <w:tr w:rsidR="00A46B65" w:rsidRPr="00A71065" w14:paraId="26EEFDF3"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4694FF91"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Median PFS (months)</w:t>
            </w:r>
          </w:p>
        </w:tc>
        <w:tc>
          <w:tcPr>
            <w:tcW w:w="2837" w:type="dxa"/>
            <w:gridSpan w:val="2"/>
            <w:tcBorders>
              <w:top w:val="single" w:sz="5" w:space="0" w:color="000000"/>
              <w:left w:val="single" w:sz="5" w:space="0" w:color="000000"/>
              <w:bottom w:val="single" w:sz="5" w:space="0" w:color="000000"/>
              <w:right w:val="single" w:sz="5" w:space="0" w:color="000000"/>
            </w:tcBorders>
          </w:tcPr>
          <w:p w14:paraId="5D1D2D9F"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3.9</w:t>
            </w:r>
          </w:p>
        </w:tc>
        <w:tc>
          <w:tcPr>
            <w:tcW w:w="2693" w:type="dxa"/>
            <w:tcBorders>
              <w:top w:val="single" w:sz="5" w:space="0" w:color="000000"/>
              <w:left w:val="single" w:sz="5" w:space="0" w:color="000000"/>
              <w:bottom w:val="single" w:sz="5" w:space="0" w:color="000000"/>
              <w:right w:val="single" w:sz="5" w:space="0" w:color="000000"/>
            </w:tcBorders>
          </w:tcPr>
          <w:p w14:paraId="436C25B2"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9.2</w:t>
            </w:r>
          </w:p>
        </w:tc>
      </w:tr>
      <w:tr w:rsidR="00A46B65" w:rsidRPr="00A71065" w14:paraId="712ACA8E"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3991166A"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Hazard ratio (95% CI)</w:t>
            </w:r>
          </w:p>
        </w:tc>
        <w:tc>
          <w:tcPr>
            <w:tcW w:w="5530" w:type="dxa"/>
            <w:gridSpan w:val="3"/>
            <w:tcBorders>
              <w:top w:val="single" w:sz="5" w:space="0" w:color="000000"/>
              <w:left w:val="single" w:sz="5" w:space="0" w:color="000000"/>
              <w:bottom w:val="single" w:sz="5" w:space="0" w:color="000000"/>
              <w:right w:val="single" w:sz="5" w:space="0" w:color="000000"/>
            </w:tcBorders>
          </w:tcPr>
          <w:p w14:paraId="0E15B0C2"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0.47 [0.31, 0.72]</w:t>
            </w:r>
          </w:p>
        </w:tc>
      </w:tr>
      <w:tr w:rsidR="00A27683" w:rsidRPr="00A71065" w14:paraId="58F5CB44" w14:textId="77777777" w:rsidTr="004228B0">
        <w:tc>
          <w:tcPr>
            <w:tcW w:w="2971" w:type="dxa"/>
            <w:tcBorders>
              <w:top w:val="single" w:sz="5" w:space="0" w:color="000000"/>
              <w:left w:val="single" w:sz="5" w:space="0" w:color="000000"/>
              <w:bottom w:val="single" w:sz="4" w:space="0" w:color="auto"/>
              <w:right w:val="single" w:sz="5" w:space="0" w:color="000000"/>
            </w:tcBorders>
          </w:tcPr>
          <w:p w14:paraId="11A99FC0"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Median OS (months)</w:t>
            </w:r>
          </w:p>
        </w:tc>
        <w:tc>
          <w:tcPr>
            <w:tcW w:w="2837" w:type="dxa"/>
            <w:gridSpan w:val="2"/>
            <w:tcBorders>
              <w:top w:val="single" w:sz="5" w:space="0" w:color="000000"/>
              <w:left w:val="single" w:sz="5" w:space="0" w:color="000000"/>
              <w:bottom w:val="single" w:sz="4" w:space="0" w:color="auto"/>
              <w:right w:val="single" w:sz="5" w:space="0" w:color="000000"/>
            </w:tcBorders>
          </w:tcPr>
          <w:p w14:paraId="33624D76"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13.2</w:t>
            </w:r>
          </w:p>
        </w:tc>
        <w:tc>
          <w:tcPr>
            <w:tcW w:w="2693" w:type="dxa"/>
            <w:tcBorders>
              <w:top w:val="single" w:sz="5" w:space="0" w:color="000000"/>
              <w:left w:val="single" w:sz="5" w:space="0" w:color="000000"/>
              <w:bottom w:val="single" w:sz="4" w:space="0" w:color="auto"/>
              <w:right w:val="single" w:sz="5" w:space="0" w:color="000000"/>
            </w:tcBorders>
          </w:tcPr>
          <w:p w14:paraId="5D4270FF"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22.4</w:t>
            </w:r>
          </w:p>
        </w:tc>
      </w:tr>
      <w:tr w:rsidR="00A46B65" w:rsidRPr="00A71065" w14:paraId="48D46B2E" w14:textId="77777777" w:rsidTr="004228B0">
        <w:tc>
          <w:tcPr>
            <w:tcW w:w="2971" w:type="dxa"/>
            <w:tcBorders>
              <w:top w:val="single" w:sz="4" w:space="0" w:color="auto"/>
              <w:left w:val="single" w:sz="4" w:space="0" w:color="auto"/>
              <w:bottom w:val="single" w:sz="4" w:space="0" w:color="auto"/>
              <w:right w:val="single" w:sz="4" w:space="0" w:color="auto"/>
            </w:tcBorders>
          </w:tcPr>
          <w:p w14:paraId="6883C75E"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Hazard ratio (95% CI)</w:t>
            </w:r>
          </w:p>
        </w:tc>
        <w:tc>
          <w:tcPr>
            <w:tcW w:w="5530" w:type="dxa"/>
            <w:gridSpan w:val="3"/>
            <w:tcBorders>
              <w:top w:val="single" w:sz="4" w:space="0" w:color="auto"/>
              <w:left w:val="single" w:sz="4" w:space="0" w:color="auto"/>
              <w:bottom w:val="single" w:sz="4" w:space="0" w:color="auto"/>
              <w:right w:val="single" w:sz="4" w:space="0" w:color="auto"/>
            </w:tcBorders>
          </w:tcPr>
          <w:p w14:paraId="22844EEC"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0.64 [0.41, 0.99]</w:t>
            </w:r>
          </w:p>
        </w:tc>
      </w:tr>
      <w:tr w:rsidR="00A46B65" w:rsidRPr="00A71065" w14:paraId="7B440A66" w14:textId="77777777" w:rsidTr="004228B0">
        <w:tc>
          <w:tcPr>
            <w:tcW w:w="2971" w:type="dxa"/>
            <w:tcBorders>
              <w:top w:val="single" w:sz="4" w:space="0" w:color="auto"/>
              <w:left w:val="single" w:sz="4" w:space="0" w:color="auto"/>
              <w:bottom w:val="single" w:sz="4" w:space="0" w:color="auto"/>
              <w:right w:val="single" w:sz="4" w:space="0" w:color="auto"/>
            </w:tcBorders>
          </w:tcPr>
          <w:p w14:paraId="1820AD70"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b/>
              </w:rPr>
              <w:t>Topotecan</w:t>
            </w:r>
          </w:p>
        </w:tc>
        <w:tc>
          <w:tcPr>
            <w:tcW w:w="5530" w:type="dxa"/>
            <w:gridSpan w:val="3"/>
            <w:tcBorders>
              <w:top w:val="single" w:sz="4" w:space="0" w:color="auto"/>
              <w:left w:val="single" w:sz="4" w:space="0" w:color="auto"/>
              <w:bottom w:val="single" w:sz="4" w:space="0" w:color="auto"/>
              <w:right w:val="single" w:sz="4" w:space="0" w:color="auto"/>
            </w:tcBorders>
          </w:tcPr>
          <w:p w14:paraId="38AA607A"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n=120</w:t>
            </w:r>
          </w:p>
        </w:tc>
      </w:tr>
      <w:tr w:rsidR="00A46B65" w:rsidRPr="00A71065" w14:paraId="2A77FBA2" w14:textId="77777777" w:rsidTr="004228B0">
        <w:tc>
          <w:tcPr>
            <w:tcW w:w="2971" w:type="dxa"/>
            <w:tcBorders>
              <w:top w:val="single" w:sz="4" w:space="0" w:color="auto"/>
              <w:left w:val="single" w:sz="4" w:space="0" w:color="auto"/>
              <w:bottom w:val="single" w:sz="4" w:space="0" w:color="auto"/>
              <w:right w:val="single" w:sz="4" w:space="0" w:color="auto"/>
            </w:tcBorders>
          </w:tcPr>
          <w:p w14:paraId="7C4FE256"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Median PFS (months)</w:t>
            </w:r>
          </w:p>
        </w:tc>
        <w:tc>
          <w:tcPr>
            <w:tcW w:w="2837" w:type="dxa"/>
            <w:gridSpan w:val="2"/>
            <w:tcBorders>
              <w:top w:val="single" w:sz="4" w:space="0" w:color="auto"/>
              <w:left w:val="single" w:sz="4" w:space="0" w:color="auto"/>
              <w:bottom w:val="single" w:sz="4" w:space="0" w:color="auto"/>
              <w:right w:val="single" w:sz="4" w:space="0" w:color="auto"/>
            </w:tcBorders>
          </w:tcPr>
          <w:p w14:paraId="1FAB040A"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2.1</w:t>
            </w:r>
          </w:p>
        </w:tc>
        <w:tc>
          <w:tcPr>
            <w:tcW w:w="2693" w:type="dxa"/>
            <w:tcBorders>
              <w:top w:val="single" w:sz="4" w:space="0" w:color="auto"/>
              <w:left w:val="single" w:sz="4" w:space="0" w:color="auto"/>
              <w:bottom w:val="single" w:sz="4" w:space="0" w:color="auto"/>
              <w:right w:val="single" w:sz="4" w:space="0" w:color="auto"/>
            </w:tcBorders>
          </w:tcPr>
          <w:p w14:paraId="7EC6C4C7"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6.2</w:t>
            </w:r>
          </w:p>
        </w:tc>
      </w:tr>
      <w:tr w:rsidR="00A46B65" w:rsidRPr="00A71065" w14:paraId="3C98FA76" w14:textId="77777777" w:rsidTr="004228B0">
        <w:tc>
          <w:tcPr>
            <w:tcW w:w="2971" w:type="dxa"/>
            <w:tcBorders>
              <w:top w:val="single" w:sz="4" w:space="0" w:color="auto"/>
              <w:left w:val="single" w:sz="4" w:space="0" w:color="auto"/>
              <w:bottom w:val="single" w:sz="4" w:space="0" w:color="auto"/>
              <w:right w:val="single" w:sz="4" w:space="0" w:color="auto"/>
            </w:tcBorders>
          </w:tcPr>
          <w:p w14:paraId="57FD3AB6"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Hazard ratio (95% CI)</w:t>
            </w:r>
          </w:p>
        </w:tc>
        <w:tc>
          <w:tcPr>
            <w:tcW w:w="5530" w:type="dxa"/>
            <w:gridSpan w:val="3"/>
            <w:tcBorders>
              <w:top w:val="single" w:sz="4" w:space="0" w:color="auto"/>
              <w:left w:val="single" w:sz="4" w:space="0" w:color="auto"/>
              <w:bottom w:val="single" w:sz="4" w:space="0" w:color="auto"/>
              <w:right w:val="single" w:sz="4" w:space="0" w:color="auto"/>
            </w:tcBorders>
          </w:tcPr>
          <w:p w14:paraId="28C22F30"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0.28 [0.18, 0.44]</w:t>
            </w:r>
          </w:p>
        </w:tc>
      </w:tr>
      <w:tr w:rsidR="00A46B65" w:rsidRPr="00A71065" w14:paraId="68927548" w14:textId="77777777" w:rsidTr="004228B0">
        <w:tc>
          <w:tcPr>
            <w:tcW w:w="2971" w:type="dxa"/>
            <w:tcBorders>
              <w:top w:val="single" w:sz="4" w:space="0" w:color="auto"/>
              <w:left w:val="single" w:sz="4" w:space="0" w:color="auto"/>
              <w:bottom w:val="single" w:sz="4" w:space="0" w:color="auto"/>
              <w:right w:val="single" w:sz="4" w:space="0" w:color="auto"/>
            </w:tcBorders>
          </w:tcPr>
          <w:p w14:paraId="53CD5948"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Median OS (months)</w:t>
            </w:r>
          </w:p>
        </w:tc>
        <w:tc>
          <w:tcPr>
            <w:tcW w:w="2837" w:type="dxa"/>
            <w:gridSpan w:val="2"/>
            <w:tcBorders>
              <w:top w:val="single" w:sz="4" w:space="0" w:color="auto"/>
              <w:left w:val="single" w:sz="4" w:space="0" w:color="auto"/>
              <w:bottom w:val="single" w:sz="4" w:space="0" w:color="auto"/>
              <w:right w:val="single" w:sz="4" w:space="0" w:color="auto"/>
            </w:tcBorders>
          </w:tcPr>
          <w:p w14:paraId="07E705E3"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13.3</w:t>
            </w:r>
          </w:p>
        </w:tc>
        <w:tc>
          <w:tcPr>
            <w:tcW w:w="2693" w:type="dxa"/>
            <w:tcBorders>
              <w:top w:val="single" w:sz="4" w:space="0" w:color="auto"/>
              <w:left w:val="single" w:sz="4" w:space="0" w:color="auto"/>
              <w:bottom w:val="single" w:sz="4" w:space="0" w:color="auto"/>
              <w:right w:val="single" w:sz="4" w:space="0" w:color="auto"/>
            </w:tcBorders>
          </w:tcPr>
          <w:p w14:paraId="44D98A11"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13.8</w:t>
            </w:r>
          </w:p>
        </w:tc>
      </w:tr>
      <w:tr w:rsidR="00A46B65" w:rsidRPr="00A71065" w14:paraId="6E12B0FC" w14:textId="77777777" w:rsidTr="004228B0">
        <w:tc>
          <w:tcPr>
            <w:tcW w:w="2971" w:type="dxa"/>
            <w:tcBorders>
              <w:top w:val="single" w:sz="4" w:space="0" w:color="auto"/>
              <w:left w:val="single" w:sz="4" w:space="0" w:color="auto"/>
              <w:bottom w:val="single" w:sz="4" w:space="0" w:color="auto"/>
              <w:right w:val="single" w:sz="4" w:space="0" w:color="auto"/>
            </w:tcBorders>
          </w:tcPr>
          <w:p w14:paraId="55AA3375"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Hazard ratio (95% CI)</w:t>
            </w:r>
          </w:p>
        </w:tc>
        <w:tc>
          <w:tcPr>
            <w:tcW w:w="5530" w:type="dxa"/>
            <w:gridSpan w:val="3"/>
            <w:tcBorders>
              <w:top w:val="single" w:sz="4" w:space="0" w:color="auto"/>
              <w:left w:val="single" w:sz="4" w:space="0" w:color="auto"/>
              <w:bottom w:val="single" w:sz="4" w:space="0" w:color="auto"/>
              <w:right w:val="single" w:sz="4" w:space="0" w:color="auto"/>
            </w:tcBorders>
          </w:tcPr>
          <w:p w14:paraId="7D84E358"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1.07 [0.70, 1.63]</w:t>
            </w:r>
          </w:p>
        </w:tc>
      </w:tr>
      <w:tr w:rsidR="00A46B65" w:rsidRPr="00A71065" w14:paraId="75059DAC" w14:textId="77777777" w:rsidTr="004228B0">
        <w:tc>
          <w:tcPr>
            <w:tcW w:w="2971" w:type="dxa"/>
            <w:tcBorders>
              <w:top w:val="single" w:sz="4" w:space="0" w:color="auto"/>
              <w:left w:val="single" w:sz="4" w:space="0" w:color="auto"/>
              <w:bottom w:val="single" w:sz="4" w:space="0" w:color="auto"/>
              <w:right w:val="single" w:sz="4" w:space="0" w:color="auto"/>
            </w:tcBorders>
          </w:tcPr>
          <w:p w14:paraId="5E1CA3DD"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b/>
              </w:rPr>
              <w:t>PLD</w:t>
            </w:r>
          </w:p>
        </w:tc>
        <w:tc>
          <w:tcPr>
            <w:tcW w:w="5530" w:type="dxa"/>
            <w:gridSpan w:val="3"/>
            <w:tcBorders>
              <w:top w:val="single" w:sz="4" w:space="0" w:color="auto"/>
              <w:left w:val="single" w:sz="4" w:space="0" w:color="auto"/>
              <w:bottom w:val="single" w:sz="4" w:space="0" w:color="auto"/>
              <w:right w:val="single" w:sz="4" w:space="0" w:color="auto"/>
            </w:tcBorders>
          </w:tcPr>
          <w:p w14:paraId="0BC739EB"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n=126</w:t>
            </w:r>
          </w:p>
        </w:tc>
      </w:tr>
      <w:tr w:rsidR="00A27683" w:rsidRPr="00A71065" w14:paraId="5AED01EB" w14:textId="77777777" w:rsidTr="004228B0">
        <w:tc>
          <w:tcPr>
            <w:tcW w:w="2971" w:type="dxa"/>
            <w:tcBorders>
              <w:top w:val="single" w:sz="4" w:space="0" w:color="auto"/>
              <w:left w:val="single" w:sz="5" w:space="0" w:color="000000"/>
              <w:bottom w:val="single" w:sz="5" w:space="0" w:color="000000"/>
              <w:right w:val="single" w:sz="5" w:space="0" w:color="000000"/>
            </w:tcBorders>
          </w:tcPr>
          <w:p w14:paraId="737EBD40"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Median PFS (months)</w:t>
            </w:r>
          </w:p>
        </w:tc>
        <w:tc>
          <w:tcPr>
            <w:tcW w:w="2837" w:type="dxa"/>
            <w:gridSpan w:val="2"/>
            <w:tcBorders>
              <w:top w:val="single" w:sz="4" w:space="0" w:color="auto"/>
              <w:left w:val="single" w:sz="5" w:space="0" w:color="000000"/>
              <w:bottom w:val="single" w:sz="5" w:space="0" w:color="000000"/>
              <w:right w:val="single" w:sz="5" w:space="0" w:color="000000"/>
            </w:tcBorders>
          </w:tcPr>
          <w:p w14:paraId="602F447F"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3.5</w:t>
            </w:r>
          </w:p>
        </w:tc>
        <w:tc>
          <w:tcPr>
            <w:tcW w:w="2693" w:type="dxa"/>
            <w:tcBorders>
              <w:top w:val="single" w:sz="4" w:space="0" w:color="auto"/>
              <w:left w:val="single" w:sz="5" w:space="0" w:color="000000"/>
              <w:bottom w:val="single" w:sz="5" w:space="0" w:color="000000"/>
              <w:right w:val="single" w:sz="5" w:space="0" w:color="000000"/>
            </w:tcBorders>
          </w:tcPr>
          <w:p w14:paraId="1063ACE8"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5.1</w:t>
            </w:r>
          </w:p>
        </w:tc>
      </w:tr>
      <w:tr w:rsidR="00A46B65" w:rsidRPr="00A71065" w14:paraId="2B7AC4B7"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516F72B4"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Hazard ratio (95% CI)</w:t>
            </w:r>
          </w:p>
        </w:tc>
        <w:tc>
          <w:tcPr>
            <w:tcW w:w="5530" w:type="dxa"/>
            <w:gridSpan w:val="3"/>
            <w:tcBorders>
              <w:top w:val="single" w:sz="5" w:space="0" w:color="000000"/>
              <w:left w:val="single" w:sz="5" w:space="0" w:color="000000"/>
              <w:bottom w:val="single" w:sz="5" w:space="0" w:color="000000"/>
              <w:right w:val="single" w:sz="5" w:space="0" w:color="000000"/>
            </w:tcBorders>
          </w:tcPr>
          <w:p w14:paraId="3B905788"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0.53 [0.36, 0.77]</w:t>
            </w:r>
          </w:p>
        </w:tc>
      </w:tr>
      <w:tr w:rsidR="00A46B65" w:rsidRPr="00A71065" w14:paraId="4C2BB4F0"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1FD95ED3"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Median OS (months)</w:t>
            </w:r>
          </w:p>
        </w:tc>
        <w:tc>
          <w:tcPr>
            <w:tcW w:w="2765" w:type="dxa"/>
            <w:tcBorders>
              <w:top w:val="single" w:sz="5" w:space="0" w:color="000000"/>
              <w:left w:val="single" w:sz="5" w:space="0" w:color="000000"/>
              <w:bottom w:val="single" w:sz="5" w:space="0" w:color="000000"/>
              <w:right w:val="single" w:sz="5" w:space="0" w:color="000000"/>
            </w:tcBorders>
          </w:tcPr>
          <w:p w14:paraId="71177CEC"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14.1</w:t>
            </w:r>
          </w:p>
        </w:tc>
        <w:tc>
          <w:tcPr>
            <w:tcW w:w="2765" w:type="dxa"/>
            <w:gridSpan w:val="2"/>
            <w:tcBorders>
              <w:top w:val="single" w:sz="5" w:space="0" w:color="000000"/>
              <w:left w:val="single" w:sz="5" w:space="0" w:color="000000"/>
              <w:bottom w:val="single" w:sz="5" w:space="0" w:color="000000"/>
              <w:right w:val="single" w:sz="5" w:space="0" w:color="000000"/>
            </w:tcBorders>
          </w:tcPr>
          <w:p w14:paraId="2D205362"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13.7</w:t>
            </w:r>
          </w:p>
        </w:tc>
      </w:tr>
      <w:tr w:rsidR="00A46B65" w:rsidRPr="00A71065" w14:paraId="73E5C1F8" w14:textId="77777777" w:rsidTr="004228B0">
        <w:tc>
          <w:tcPr>
            <w:tcW w:w="2971" w:type="dxa"/>
            <w:tcBorders>
              <w:top w:val="single" w:sz="5" w:space="0" w:color="000000"/>
              <w:left w:val="single" w:sz="5" w:space="0" w:color="000000"/>
              <w:bottom w:val="single" w:sz="5" w:space="0" w:color="000000"/>
              <w:right w:val="single" w:sz="5" w:space="0" w:color="000000"/>
            </w:tcBorders>
          </w:tcPr>
          <w:p w14:paraId="43C928F7"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Hazard ratio (95% CI)</w:t>
            </w:r>
          </w:p>
        </w:tc>
        <w:tc>
          <w:tcPr>
            <w:tcW w:w="5530" w:type="dxa"/>
            <w:gridSpan w:val="3"/>
            <w:tcBorders>
              <w:top w:val="single" w:sz="5" w:space="0" w:color="000000"/>
              <w:left w:val="single" w:sz="5" w:space="0" w:color="000000"/>
              <w:bottom w:val="single" w:sz="5" w:space="0" w:color="000000"/>
              <w:right w:val="single" w:sz="5" w:space="0" w:color="000000"/>
            </w:tcBorders>
          </w:tcPr>
          <w:p w14:paraId="1735540A" w14:textId="77777777" w:rsidR="00047E69" w:rsidRPr="00A71065" w:rsidRDefault="00C210A5" w:rsidP="009C6389">
            <w:pPr>
              <w:pStyle w:val="TableParagraph"/>
              <w:widowControl/>
              <w:jc w:val="center"/>
              <w:rPr>
                <w:rFonts w:ascii="Times New Roman" w:eastAsia="Times New Roman" w:hAnsi="Times New Roman" w:cs="Times New Roman"/>
              </w:rPr>
            </w:pPr>
            <w:r w:rsidRPr="00A71065">
              <w:rPr>
                <w:rFonts w:ascii="Times New Roman"/>
              </w:rPr>
              <w:t>0.91 [0.61, 1.35]</w:t>
            </w:r>
          </w:p>
        </w:tc>
      </w:tr>
    </w:tbl>
    <w:p w14:paraId="504F4C17" w14:textId="77777777" w:rsidR="00047E69" w:rsidRPr="00A71065" w:rsidRDefault="00047E69" w:rsidP="007E67A5">
      <w:pPr>
        <w:widowControl/>
        <w:adjustRightInd w:val="0"/>
        <w:snapToGrid w:val="0"/>
        <w:rPr>
          <w:rFonts w:ascii="Times New Roman" w:eastAsia="Times New Roman" w:hAnsi="Times New Roman" w:cs="Times New Roman"/>
          <w:b/>
          <w:bCs/>
          <w:sz w:val="15"/>
          <w:szCs w:val="15"/>
        </w:rPr>
      </w:pPr>
    </w:p>
    <w:p w14:paraId="0D26F815" w14:textId="5BC42FA3" w:rsidR="00047E69" w:rsidRPr="00A71065" w:rsidRDefault="00C210A5" w:rsidP="007E67A5">
      <w:pPr>
        <w:widowControl/>
        <w:adjustRightInd w:val="0"/>
        <w:snapToGrid w:val="0"/>
        <w:rPr>
          <w:rFonts w:ascii="Times New Roman" w:eastAsia="Times New Roman" w:hAnsi="Times New Roman" w:cs="Times New Roman"/>
        </w:rPr>
      </w:pPr>
      <w:r w:rsidRPr="00A71065">
        <w:rPr>
          <w:rFonts w:ascii="Times New Roman"/>
          <w:i/>
          <w:u w:val="single" w:color="000000"/>
        </w:rPr>
        <w:t xml:space="preserve">Cervical </w:t>
      </w:r>
      <w:r w:rsidR="0093187A" w:rsidRPr="00A71065">
        <w:rPr>
          <w:rFonts w:ascii="Times New Roman"/>
          <w:i/>
          <w:u w:val="single" w:color="000000"/>
        </w:rPr>
        <w:t>cancer</w:t>
      </w:r>
    </w:p>
    <w:p w14:paraId="2B07FC6C" w14:textId="77777777" w:rsidR="00047E69" w:rsidRPr="00A71065" w:rsidRDefault="00047E69" w:rsidP="007E67A5">
      <w:pPr>
        <w:widowControl/>
        <w:adjustRightInd w:val="0"/>
        <w:snapToGrid w:val="0"/>
        <w:rPr>
          <w:rFonts w:ascii="Times New Roman" w:eastAsia="Times New Roman" w:hAnsi="Times New Roman" w:cs="Times New Roman"/>
          <w:i/>
          <w:sz w:val="15"/>
          <w:szCs w:val="15"/>
        </w:rPr>
      </w:pPr>
    </w:p>
    <w:p w14:paraId="6C6B76F3" w14:textId="10646812" w:rsidR="00047E69" w:rsidRPr="00A71065" w:rsidRDefault="00C210A5" w:rsidP="007E67A5">
      <w:pPr>
        <w:widowControl/>
        <w:adjustRightInd w:val="0"/>
        <w:snapToGrid w:val="0"/>
        <w:rPr>
          <w:rFonts w:ascii="Times New Roman" w:eastAsia="Times New Roman" w:hAnsi="Times New Roman" w:cs="Times New Roman"/>
        </w:rPr>
      </w:pPr>
      <w:r w:rsidRPr="00A71065">
        <w:rPr>
          <w:rFonts w:ascii="Times New Roman"/>
          <w:i/>
        </w:rPr>
        <w:t>GOG</w:t>
      </w:r>
      <w:r w:rsidR="00FD0731" w:rsidRPr="00A71065">
        <w:rPr>
          <w:rFonts w:ascii="Times New Roman"/>
          <w:i/>
        </w:rPr>
        <w:noBreakHyphen/>
      </w:r>
      <w:r w:rsidRPr="00A71065">
        <w:rPr>
          <w:rFonts w:ascii="Times New Roman"/>
          <w:i/>
        </w:rPr>
        <w:t>0240</w:t>
      </w:r>
    </w:p>
    <w:p w14:paraId="71BF3F8F" w14:textId="52BAC821" w:rsidR="00047E69" w:rsidRPr="00A71065" w:rsidRDefault="00C210A5" w:rsidP="007E67A5">
      <w:pPr>
        <w:pStyle w:val="a5"/>
        <w:widowControl/>
        <w:adjustRightInd w:val="0"/>
        <w:snapToGrid w:val="0"/>
      </w:pPr>
      <w:r w:rsidRPr="00A71065">
        <w:t>The efficacy and safety of bevacizumab in combination with chemotherapy (paclitaxel and cisplatin or paclitaxel and topotecan) in the treatment for patients with persistent, recurrent or metastatic carcinoma of the cervix was evaluated in study GOG</w:t>
      </w:r>
      <w:r w:rsidR="00FD0731" w:rsidRPr="00A71065">
        <w:noBreakHyphen/>
      </w:r>
      <w:r w:rsidRPr="00A71065">
        <w:t>0240, a randomised, four</w:t>
      </w:r>
      <w:r w:rsidR="00FD0731" w:rsidRPr="00A71065">
        <w:noBreakHyphen/>
      </w:r>
      <w:r w:rsidRPr="00A71065">
        <w:t>arm, open label, multi</w:t>
      </w:r>
      <w:r w:rsidR="00FD0731" w:rsidRPr="00A71065">
        <w:noBreakHyphen/>
      </w:r>
      <w:r w:rsidRPr="00A71065">
        <w:t>centre phase III trial.</w:t>
      </w:r>
    </w:p>
    <w:p w14:paraId="50F657BF" w14:textId="77777777" w:rsidR="00047E69" w:rsidRPr="00A71065" w:rsidRDefault="00047E69" w:rsidP="007E67A5">
      <w:pPr>
        <w:widowControl/>
        <w:adjustRightInd w:val="0"/>
        <w:snapToGrid w:val="0"/>
        <w:rPr>
          <w:rFonts w:ascii="Times New Roman" w:eastAsia="Times New Roman" w:hAnsi="Times New Roman" w:cs="Times New Roman"/>
        </w:rPr>
      </w:pPr>
    </w:p>
    <w:p w14:paraId="15910B89" w14:textId="77777777" w:rsidR="00047E69" w:rsidRPr="00A71065" w:rsidRDefault="00C210A5" w:rsidP="007E67A5">
      <w:pPr>
        <w:pStyle w:val="a5"/>
        <w:widowControl/>
        <w:adjustRightInd w:val="0"/>
        <w:snapToGrid w:val="0"/>
      </w:pPr>
      <w:r w:rsidRPr="00A71065">
        <w:t>A total of 452 patients were randomised to receive either:</w:t>
      </w:r>
    </w:p>
    <w:p w14:paraId="787455BE" w14:textId="77777777" w:rsidR="00047E69" w:rsidRPr="00A71065" w:rsidRDefault="00047E69" w:rsidP="007E67A5">
      <w:pPr>
        <w:widowControl/>
        <w:adjustRightInd w:val="0"/>
        <w:snapToGrid w:val="0"/>
        <w:rPr>
          <w:rFonts w:ascii="Times New Roman" w:eastAsia="Times New Roman" w:hAnsi="Times New Roman" w:cs="Times New Roman"/>
          <w:sz w:val="24"/>
          <w:szCs w:val="24"/>
        </w:rPr>
      </w:pPr>
    </w:p>
    <w:p w14:paraId="220A4519" w14:textId="2839907F" w:rsidR="00047E69" w:rsidRPr="00A71065" w:rsidRDefault="00C210A5" w:rsidP="007E67A5">
      <w:pPr>
        <w:pStyle w:val="a5"/>
        <w:widowControl/>
        <w:numPr>
          <w:ilvl w:val="1"/>
          <w:numId w:val="7"/>
        </w:numPr>
        <w:tabs>
          <w:tab w:val="left" w:pos="683"/>
        </w:tabs>
        <w:adjustRightInd w:val="0"/>
        <w:snapToGrid w:val="0"/>
        <w:ind w:left="567" w:hanging="567"/>
      </w:pPr>
      <w:r w:rsidRPr="00A71065">
        <w:t>Paclitaxel 135 mg/m</w:t>
      </w:r>
      <w:r w:rsidRPr="00A71065">
        <w:rPr>
          <w:position w:val="9"/>
          <w:sz w:val="14"/>
        </w:rPr>
        <w:t xml:space="preserve">2 </w:t>
      </w:r>
      <w:r w:rsidR="005603A9" w:rsidRPr="00A71065">
        <w:t>intravenous</w:t>
      </w:r>
      <w:r w:rsidRPr="00A71065">
        <w:t xml:space="preserve"> over 24 hours on Day 1 and cisplatin 50 mg/m</w:t>
      </w:r>
      <w:r w:rsidRPr="00A71065">
        <w:rPr>
          <w:position w:val="9"/>
          <w:sz w:val="14"/>
        </w:rPr>
        <w:t xml:space="preserve">2 </w:t>
      </w:r>
      <w:r w:rsidR="005603A9" w:rsidRPr="00A71065">
        <w:t>intravenous</w:t>
      </w:r>
      <w:r w:rsidRPr="00A71065">
        <w:t xml:space="preserve"> on Day 2, every 3 weeks (q3w); or</w:t>
      </w:r>
    </w:p>
    <w:p w14:paraId="7F099949" w14:textId="741988B9" w:rsidR="00047E69" w:rsidRPr="00A71065" w:rsidRDefault="00C210A5" w:rsidP="007E67A5">
      <w:pPr>
        <w:pStyle w:val="a5"/>
        <w:widowControl/>
        <w:adjustRightInd w:val="0"/>
        <w:snapToGrid w:val="0"/>
        <w:ind w:left="567"/>
      </w:pPr>
      <w:r w:rsidRPr="00A71065">
        <w:t>Paclitaxel 175 mg/m</w:t>
      </w:r>
      <w:r w:rsidRPr="00A71065">
        <w:rPr>
          <w:position w:val="9"/>
          <w:sz w:val="14"/>
        </w:rPr>
        <w:t xml:space="preserve">2 </w:t>
      </w:r>
      <w:r w:rsidR="005603A9" w:rsidRPr="00A71065">
        <w:t>intravenous</w:t>
      </w:r>
      <w:r w:rsidRPr="00A71065">
        <w:t xml:space="preserve"> over 3 hours on Day 1 and cisplatin 50 mg/m</w:t>
      </w:r>
      <w:r w:rsidRPr="00A71065">
        <w:rPr>
          <w:position w:val="9"/>
          <w:sz w:val="14"/>
        </w:rPr>
        <w:t xml:space="preserve">2 </w:t>
      </w:r>
      <w:r w:rsidR="005603A9" w:rsidRPr="00A71065">
        <w:t>intravenous</w:t>
      </w:r>
      <w:r w:rsidRPr="00A71065">
        <w:t xml:space="preserve"> on Day 2 (q3w); or Paclitaxel 175 mg/m</w:t>
      </w:r>
      <w:r w:rsidRPr="00A71065">
        <w:rPr>
          <w:position w:val="9"/>
          <w:sz w:val="14"/>
        </w:rPr>
        <w:t xml:space="preserve">2 </w:t>
      </w:r>
      <w:r w:rsidR="005603A9" w:rsidRPr="00A71065">
        <w:t>intravenous</w:t>
      </w:r>
      <w:r w:rsidRPr="00A71065">
        <w:t xml:space="preserve"> over 3 hours on Day 1 and cisplatin 50 mg/m</w:t>
      </w:r>
      <w:r w:rsidRPr="00A71065">
        <w:rPr>
          <w:position w:val="9"/>
          <w:sz w:val="14"/>
        </w:rPr>
        <w:t xml:space="preserve">2 </w:t>
      </w:r>
      <w:r w:rsidR="005603A9" w:rsidRPr="00A71065">
        <w:t>intravenous</w:t>
      </w:r>
      <w:r w:rsidRPr="00A71065">
        <w:t xml:space="preserve"> on Day 1 (q3w)</w:t>
      </w:r>
    </w:p>
    <w:p w14:paraId="2E4A711E" w14:textId="77777777" w:rsidR="00047E69" w:rsidRPr="00A71065" w:rsidRDefault="00047E69" w:rsidP="007E67A5">
      <w:pPr>
        <w:widowControl/>
        <w:adjustRightInd w:val="0"/>
        <w:snapToGrid w:val="0"/>
        <w:ind w:left="567" w:hanging="567"/>
        <w:rPr>
          <w:rFonts w:ascii="Times New Roman" w:eastAsia="Times New Roman" w:hAnsi="Times New Roman" w:cs="Times New Roman"/>
          <w:sz w:val="23"/>
          <w:szCs w:val="23"/>
        </w:rPr>
      </w:pPr>
    </w:p>
    <w:p w14:paraId="78E25F71" w14:textId="19E4EC01" w:rsidR="00047E69" w:rsidRPr="00A71065" w:rsidRDefault="00C210A5" w:rsidP="007E67A5">
      <w:pPr>
        <w:pStyle w:val="a5"/>
        <w:widowControl/>
        <w:numPr>
          <w:ilvl w:val="1"/>
          <w:numId w:val="7"/>
        </w:numPr>
        <w:tabs>
          <w:tab w:val="left" w:pos="683"/>
        </w:tabs>
        <w:adjustRightInd w:val="0"/>
        <w:snapToGrid w:val="0"/>
        <w:ind w:left="567" w:hanging="567"/>
      </w:pPr>
      <w:r w:rsidRPr="00A71065">
        <w:t>Paclitaxel 135 mg/m</w:t>
      </w:r>
      <w:r w:rsidRPr="00A71065">
        <w:rPr>
          <w:position w:val="9"/>
          <w:sz w:val="14"/>
        </w:rPr>
        <w:t xml:space="preserve">2 </w:t>
      </w:r>
      <w:r w:rsidR="005603A9" w:rsidRPr="00A71065">
        <w:t>intravenous</w:t>
      </w:r>
      <w:r w:rsidRPr="00A71065">
        <w:t xml:space="preserve"> over 24 hours on Day 1 and cisplatin 50 mg/m</w:t>
      </w:r>
      <w:r w:rsidRPr="00A71065">
        <w:rPr>
          <w:position w:val="9"/>
          <w:sz w:val="14"/>
        </w:rPr>
        <w:t xml:space="preserve">2 </w:t>
      </w:r>
      <w:r w:rsidR="005603A9" w:rsidRPr="00A71065">
        <w:t>intravenous</w:t>
      </w:r>
      <w:r w:rsidRPr="00A71065">
        <w:t xml:space="preserve"> on Day 2 plus bevacizumab 15 mg/kg </w:t>
      </w:r>
      <w:r w:rsidR="005603A9" w:rsidRPr="00A71065">
        <w:t>intravenous</w:t>
      </w:r>
      <w:r w:rsidRPr="00A71065">
        <w:t xml:space="preserve"> on Day 2 (q3w); or</w:t>
      </w:r>
    </w:p>
    <w:p w14:paraId="1F746033" w14:textId="7A509EA6" w:rsidR="00047E69" w:rsidRPr="00A71065" w:rsidRDefault="00C210A5" w:rsidP="007E67A5">
      <w:pPr>
        <w:pStyle w:val="a5"/>
        <w:widowControl/>
        <w:adjustRightInd w:val="0"/>
        <w:snapToGrid w:val="0"/>
        <w:ind w:left="567"/>
      </w:pPr>
      <w:r w:rsidRPr="00A71065">
        <w:t>Paclitaxel 175 mg/m</w:t>
      </w:r>
      <w:r w:rsidRPr="00A71065">
        <w:rPr>
          <w:position w:val="9"/>
          <w:sz w:val="14"/>
        </w:rPr>
        <w:t xml:space="preserve">2 </w:t>
      </w:r>
      <w:r w:rsidR="005603A9" w:rsidRPr="00A71065">
        <w:t>intravenous</w:t>
      </w:r>
      <w:r w:rsidRPr="00A71065">
        <w:t xml:space="preserve"> over 3 hours on Day 1 and cisplatin 50 mg/m</w:t>
      </w:r>
      <w:r w:rsidRPr="00A71065">
        <w:rPr>
          <w:position w:val="9"/>
          <w:sz w:val="14"/>
        </w:rPr>
        <w:t xml:space="preserve">2 </w:t>
      </w:r>
      <w:r w:rsidR="005603A9" w:rsidRPr="00A71065">
        <w:t>intravenous</w:t>
      </w:r>
      <w:r w:rsidRPr="00A71065">
        <w:t xml:space="preserve"> on Day 2 plus bevacizumab 15 mg/kg </w:t>
      </w:r>
      <w:r w:rsidR="005603A9" w:rsidRPr="00A71065">
        <w:t>intravenous</w:t>
      </w:r>
      <w:r w:rsidRPr="00A71065">
        <w:t xml:space="preserve"> on Day 2 (q3w); or</w:t>
      </w:r>
    </w:p>
    <w:p w14:paraId="4E9B389A" w14:textId="1DC6595D" w:rsidR="00047E69" w:rsidRPr="00A71065" w:rsidRDefault="00C210A5" w:rsidP="007E67A5">
      <w:pPr>
        <w:pStyle w:val="a5"/>
        <w:widowControl/>
        <w:adjustRightInd w:val="0"/>
        <w:snapToGrid w:val="0"/>
        <w:ind w:left="567"/>
      </w:pPr>
      <w:r w:rsidRPr="00A71065">
        <w:t>Paclitaxel 175 mg/m</w:t>
      </w:r>
      <w:r w:rsidRPr="00A71065">
        <w:rPr>
          <w:position w:val="9"/>
          <w:sz w:val="14"/>
        </w:rPr>
        <w:t xml:space="preserve">2 </w:t>
      </w:r>
      <w:r w:rsidR="005603A9" w:rsidRPr="00A71065">
        <w:t>intravenous</w:t>
      </w:r>
      <w:r w:rsidRPr="00A71065">
        <w:t xml:space="preserve"> over 3 hours on Day 1 and cisplatin 50 mg/m</w:t>
      </w:r>
      <w:r w:rsidRPr="00A71065">
        <w:rPr>
          <w:position w:val="9"/>
          <w:sz w:val="14"/>
        </w:rPr>
        <w:t xml:space="preserve">2 </w:t>
      </w:r>
      <w:r w:rsidR="005603A9" w:rsidRPr="00A71065">
        <w:t>intravenous</w:t>
      </w:r>
      <w:r w:rsidRPr="00A71065">
        <w:t xml:space="preserve"> on Day 1 plus bevacizumab 15 mg/kg </w:t>
      </w:r>
      <w:r w:rsidR="005603A9" w:rsidRPr="00A71065">
        <w:t>intravenous</w:t>
      </w:r>
      <w:r w:rsidRPr="00A71065">
        <w:t xml:space="preserve"> on Day 1 (q3w)</w:t>
      </w:r>
    </w:p>
    <w:p w14:paraId="65FE91C8" w14:textId="23A24749" w:rsidR="00047E69" w:rsidRPr="00A71065" w:rsidRDefault="00C210A5" w:rsidP="007E67A5">
      <w:pPr>
        <w:pStyle w:val="a5"/>
        <w:widowControl/>
        <w:numPr>
          <w:ilvl w:val="1"/>
          <w:numId w:val="7"/>
        </w:numPr>
        <w:tabs>
          <w:tab w:val="left" w:pos="683"/>
        </w:tabs>
        <w:adjustRightInd w:val="0"/>
        <w:snapToGrid w:val="0"/>
        <w:ind w:left="567" w:hanging="567"/>
      </w:pPr>
      <w:r w:rsidRPr="00A71065">
        <w:lastRenderedPageBreak/>
        <w:t>Paclitaxel 175 mg/m</w:t>
      </w:r>
      <w:r w:rsidRPr="00A71065">
        <w:rPr>
          <w:position w:val="9"/>
          <w:sz w:val="14"/>
        </w:rPr>
        <w:t xml:space="preserve">2 </w:t>
      </w:r>
      <w:r w:rsidR="005603A9" w:rsidRPr="00A71065">
        <w:t>intravenous</w:t>
      </w:r>
      <w:r w:rsidRPr="00A71065">
        <w:t xml:space="preserve"> over 3 hours on Day 1 and topotecan 0.75 mg/m</w:t>
      </w:r>
      <w:r w:rsidRPr="00A71065">
        <w:rPr>
          <w:position w:val="9"/>
          <w:sz w:val="14"/>
        </w:rPr>
        <w:t xml:space="preserve">2 </w:t>
      </w:r>
      <w:r w:rsidR="005603A9" w:rsidRPr="00A71065">
        <w:t>intravenous</w:t>
      </w:r>
      <w:r w:rsidRPr="00A71065">
        <w:t xml:space="preserve"> over 30 minutes on days 1-3 (q3w)</w:t>
      </w:r>
    </w:p>
    <w:p w14:paraId="722B9D3D" w14:textId="77777777" w:rsidR="00047E69" w:rsidRPr="00A71065" w:rsidRDefault="00047E69" w:rsidP="007E67A5">
      <w:pPr>
        <w:widowControl/>
        <w:adjustRightInd w:val="0"/>
        <w:snapToGrid w:val="0"/>
        <w:ind w:left="567" w:hanging="567"/>
        <w:rPr>
          <w:rFonts w:ascii="Times New Roman" w:eastAsia="Times New Roman" w:hAnsi="Times New Roman" w:cs="Times New Roman"/>
          <w:sz w:val="21"/>
          <w:szCs w:val="21"/>
        </w:rPr>
      </w:pPr>
    </w:p>
    <w:p w14:paraId="0E3C2978" w14:textId="7DEF56AA" w:rsidR="00047E69" w:rsidRPr="00A71065" w:rsidRDefault="00C210A5" w:rsidP="007E67A5">
      <w:pPr>
        <w:pStyle w:val="a5"/>
        <w:widowControl/>
        <w:numPr>
          <w:ilvl w:val="1"/>
          <w:numId w:val="7"/>
        </w:numPr>
        <w:tabs>
          <w:tab w:val="left" w:pos="683"/>
        </w:tabs>
        <w:adjustRightInd w:val="0"/>
        <w:snapToGrid w:val="0"/>
        <w:ind w:left="567" w:hanging="567"/>
      </w:pPr>
      <w:r w:rsidRPr="00A71065">
        <w:t>Paclitaxel 175 mg/m</w:t>
      </w:r>
      <w:r w:rsidRPr="00A71065">
        <w:rPr>
          <w:position w:val="9"/>
          <w:sz w:val="14"/>
        </w:rPr>
        <w:t xml:space="preserve">2 </w:t>
      </w:r>
      <w:r w:rsidR="005603A9" w:rsidRPr="00A71065">
        <w:t>intravenous</w:t>
      </w:r>
      <w:r w:rsidRPr="00A71065">
        <w:t xml:space="preserve"> over 3 hours on Day 1 and topotecan 0.75 mg/m</w:t>
      </w:r>
      <w:r w:rsidRPr="00A71065">
        <w:rPr>
          <w:position w:val="9"/>
          <w:sz w:val="14"/>
        </w:rPr>
        <w:t xml:space="preserve">2 </w:t>
      </w:r>
      <w:r w:rsidR="005603A9" w:rsidRPr="00A71065">
        <w:t>intravenous</w:t>
      </w:r>
      <w:r w:rsidRPr="00A71065">
        <w:t xml:space="preserve"> over 30 minutes on Days 1-3 plus bevacizumab 15 mg/kg </w:t>
      </w:r>
      <w:r w:rsidR="005603A9" w:rsidRPr="00A71065">
        <w:t>intravenous</w:t>
      </w:r>
      <w:r w:rsidRPr="00A71065">
        <w:t xml:space="preserve"> on Day 1 (q3w)</w:t>
      </w:r>
    </w:p>
    <w:p w14:paraId="350FA142" w14:textId="77777777" w:rsidR="00047E69" w:rsidRPr="00A71065" w:rsidRDefault="00047E69" w:rsidP="007E67A5">
      <w:pPr>
        <w:widowControl/>
        <w:adjustRightInd w:val="0"/>
        <w:snapToGrid w:val="0"/>
        <w:rPr>
          <w:rFonts w:ascii="Times New Roman" w:eastAsia="Times New Roman" w:hAnsi="Times New Roman" w:cs="Times New Roman"/>
        </w:rPr>
      </w:pPr>
    </w:p>
    <w:p w14:paraId="6A0F4133" w14:textId="7790A432" w:rsidR="00047E69" w:rsidRPr="00A71065" w:rsidRDefault="00C210A5" w:rsidP="007E67A5">
      <w:pPr>
        <w:pStyle w:val="a5"/>
        <w:widowControl/>
        <w:adjustRightInd w:val="0"/>
        <w:snapToGrid w:val="0"/>
      </w:pPr>
      <w:r w:rsidRPr="00A71065">
        <w:t>Eligible patients had persistent, recurrent or metastatic squamous cell carcinoma, adenosquamous carcinoma, or adenocarcinoma of the cervix which was not amenable to curative treatment with</w:t>
      </w:r>
      <w:r w:rsidR="00A135EE" w:rsidRPr="00A71065">
        <w:t xml:space="preserve"> </w:t>
      </w:r>
      <w:r w:rsidRPr="00A71065">
        <w:t>surgery and/or radiation therapy and who have not received prior therapy with bevacizumab or other VEGF inhibitors or VEGF receptor–targeted agents. The median age was 46.0 years (range: 20</w:t>
      </w:r>
      <w:r w:rsidRPr="00A71065">
        <w:rPr>
          <w:rFonts w:ascii="Symbol" w:eastAsia="Symbol" w:hAnsi="Symbol" w:cs="Symbol"/>
        </w:rPr>
        <w:sym w:font="Symbol" w:char="F02D"/>
      </w:r>
      <w:r w:rsidRPr="00A71065">
        <w:t>83) in the Chemo alone group and 48.0 years</w:t>
      </w:r>
      <w:r w:rsidR="00A135EE" w:rsidRPr="00A71065">
        <w:t xml:space="preserve"> </w:t>
      </w:r>
      <w:r w:rsidRPr="00A71065">
        <w:t>(range: 22</w:t>
      </w:r>
      <w:r w:rsidRPr="00A71065">
        <w:rPr>
          <w:rFonts w:ascii="Symbol" w:eastAsia="Symbol" w:hAnsi="Symbol" w:cs="Symbol"/>
        </w:rPr>
        <w:sym w:font="Symbol" w:char="F02D"/>
      </w:r>
      <w:r w:rsidRPr="00A71065">
        <w:t>85) in the Chemo+bevacizumab group; with 9.3% of patients in the Chemo alone group and 7.5% of patients in the Chemo+bevacizumab group over the age of 65 years.</w:t>
      </w:r>
    </w:p>
    <w:p w14:paraId="66453930"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08AFCED1" w14:textId="77777777" w:rsidR="00047E69" w:rsidRPr="00A71065" w:rsidRDefault="00C210A5" w:rsidP="007E67A5">
      <w:pPr>
        <w:pStyle w:val="a5"/>
        <w:widowControl/>
        <w:adjustRightInd w:val="0"/>
        <w:snapToGrid w:val="0"/>
      </w:pPr>
      <w:r w:rsidRPr="00A71065">
        <w:t xml:space="preserve">Of the 452 patients randomized at baseline, the majority of patients were white (80.0% in the Chemo alone group and 75.3% in the Chemo+bevacizumab group), had squamous cell carcinoma (67.1% in the Chemo alone group and 69.6% in the Chemo+bevacizumab group), had persistent/recurrent disease (83.6% in the Chemo alone group and 82.8% in the Chemo+bevacizumab group), had 1-2 metastatic sites (72.0% in the Chemo alone group and 76.2% in the Chemo+bevacizumab group), had lymph node involvement (50.2% in the Chemo alone group and 56.4% in the Chemo+bevacizumab group), and had a platinum free interval </w:t>
      </w:r>
      <w:r w:rsidRPr="00A71065">
        <w:sym w:font="Symbol" w:char="F0B3"/>
      </w:r>
      <w:r w:rsidRPr="00A71065">
        <w:sym w:font="Symbol" w:char="F020"/>
      </w:r>
      <w:r w:rsidRPr="00A71065">
        <w:t>6 months (72.5% in the Chemo alone group and 64.4% in the Chemo+bevacizumab group).</w:t>
      </w:r>
    </w:p>
    <w:p w14:paraId="5B9DDC60"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521C2E68" w14:textId="5B30AD31" w:rsidR="00047E69" w:rsidRPr="00A71065" w:rsidRDefault="00C210A5" w:rsidP="007E67A5">
      <w:pPr>
        <w:pStyle w:val="a5"/>
        <w:widowControl/>
        <w:adjustRightInd w:val="0"/>
        <w:snapToGrid w:val="0"/>
      </w:pPr>
      <w:r w:rsidRPr="00A71065">
        <w:t xml:space="preserve">The primary efficacy endpoint was </w:t>
      </w:r>
      <w:r w:rsidR="00410031" w:rsidRPr="00A71065">
        <w:t>OS</w:t>
      </w:r>
      <w:r w:rsidRPr="00A71065">
        <w:t xml:space="preserve">. Secondary efficacy endpoints included </w:t>
      </w:r>
      <w:r w:rsidR="00A135EE" w:rsidRPr="00A71065">
        <w:t xml:space="preserve">PFS </w:t>
      </w:r>
      <w:r w:rsidRPr="00A71065">
        <w:t>and objective response rate. Results from the primary analysis and the follow</w:t>
      </w:r>
      <w:r w:rsidR="00FD0731" w:rsidRPr="00A71065">
        <w:noBreakHyphen/>
      </w:r>
      <w:r w:rsidRPr="00A71065">
        <w:t xml:space="preserve">up analysis are presented by bevacizumab </w:t>
      </w:r>
      <w:r w:rsidR="00E67ADA" w:rsidRPr="00A71065">
        <w:t>t</w:t>
      </w:r>
      <w:r w:rsidRPr="00A71065">
        <w:t xml:space="preserve">reatment and by </w:t>
      </w:r>
      <w:r w:rsidR="00E67ADA" w:rsidRPr="00A71065">
        <w:t>t</w:t>
      </w:r>
      <w:r w:rsidRPr="00A71065">
        <w:t xml:space="preserve">rial </w:t>
      </w:r>
      <w:r w:rsidR="00E67ADA" w:rsidRPr="00A71065">
        <w:t>t</w:t>
      </w:r>
      <w:r w:rsidRPr="00A71065">
        <w:t>reatment in Table 25 and Table 26, respectively.</w:t>
      </w:r>
    </w:p>
    <w:p w14:paraId="39EC3FFF" w14:textId="7F5FF2C5" w:rsidR="00CC27BC" w:rsidRPr="00A71065" w:rsidRDefault="00CC27BC" w:rsidP="007E67A5">
      <w:pPr>
        <w:widowControl/>
        <w:rPr>
          <w:rFonts w:ascii="Times New Roman" w:eastAsia="Times New Roman" w:hAnsi="Times New Roman"/>
          <w:b/>
          <w:bCs/>
        </w:rPr>
      </w:pPr>
    </w:p>
    <w:p w14:paraId="48700F3F" w14:textId="487C7798" w:rsidR="00047E69" w:rsidRPr="007B2005" w:rsidRDefault="00C210A5" w:rsidP="007B2005">
      <w:pPr>
        <w:ind w:left="1134" w:hanging="1134"/>
        <w:rPr>
          <w:rFonts w:ascii="Times New Roman" w:hAnsi="Times New Roman" w:cs="Times New Roman"/>
          <w:b/>
          <w:bCs/>
        </w:rPr>
      </w:pPr>
      <w:r w:rsidRPr="007B2005">
        <w:rPr>
          <w:rFonts w:ascii="Times New Roman" w:hAnsi="Times New Roman" w:cs="Times New Roman"/>
          <w:b/>
          <w:bCs/>
        </w:rPr>
        <w:t>Table 25</w:t>
      </w:r>
      <w:r w:rsidRPr="007B2005">
        <w:rPr>
          <w:rFonts w:ascii="Times New Roman" w:hAnsi="Times New Roman" w:cs="Times New Roman"/>
          <w:b/>
          <w:bCs/>
        </w:rPr>
        <w:tab/>
        <w:t>Efficacy results from study GOG</w:t>
      </w:r>
      <w:r w:rsidR="00FD0731" w:rsidRPr="007B2005">
        <w:rPr>
          <w:rFonts w:ascii="Times New Roman" w:hAnsi="Times New Roman" w:cs="Times New Roman"/>
          <w:b/>
          <w:bCs/>
        </w:rPr>
        <w:noBreakHyphen/>
      </w:r>
      <w:r w:rsidRPr="007B2005">
        <w:rPr>
          <w:rFonts w:ascii="Times New Roman" w:hAnsi="Times New Roman" w:cs="Times New Roman"/>
          <w:b/>
          <w:bCs/>
        </w:rPr>
        <w:t xml:space="preserve">0240 by bevacizumab </w:t>
      </w:r>
      <w:r w:rsidR="008D2FE2" w:rsidRPr="007B2005">
        <w:rPr>
          <w:rFonts w:ascii="Times New Roman" w:hAnsi="Times New Roman" w:cs="Times New Roman"/>
          <w:b/>
          <w:bCs/>
        </w:rPr>
        <w:t>t</w:t>
      </w:r>
      <w:r w:rsidRPr="007B2005">
        <w:rPr>
          <w:rFonts w:ascii="Times New Roman" w:hAnsi="Times New Roman" w:cs="Times New Roman"/>
          <w:b/>
          <w:bCs/>
        </w:rPr>
        <w:t>reatment</w:t>
      </w:r>
    </w:p>
    <w:p w14:paraId="291CB4AA" w14:textId="77777777" w:rsidR="008D2FE2" w:rsidRPr="00A71065" w:rsidRDefault="008D2FE2" w:rsidP="00C32D39"/>
    <w:tbl>
      <w:tblPr>
        <w:tblStyle w:val="TableNormal0"/>
        <w:tblW w:w="5000" w:type="pct"/>
        <w:tblLayout w:type="fixed"/>
        <w:tblCellMar>
          <w:left w:w="108" w:type="dxa"/>
          <w:right w:w="108" w:type="dxa"/>
        </w:tblCellMar>
        <w:tblLook w:val="01E0" w:firstRow="1" w:lastRow="1" w:firstColumn="1" w:lastColumn="1" w:noHBand="0" w:noVBand="0"/>
      </w:tblPr>
      <w:tblGrid>
        <w:gridCol w:w="3748"/>
        <w:gridCol w:w="2657"/>
        <w:gridCol w:w="2658"/>
      </w:tblGrid>
      <w:tr w:rsidR="00A27683" w:rsidRPr="00A71065" w14:paraId="65BC1F5C" w14:textId="77777777" w:rsidTr="004228B0">
        <w:tc>
          <w:tcPr>
            <w:tcW w:w="3822" w:type="dxa"/>
            <w:tcBorders>
              <w:top w:val="single" w:sz="5" w:space="0" w:color="000000"/>
              <w:left w:val="single" w:sz="5" w:space="0" w:color="000000"/>
              <w:bottom w:val="single" w:sz="5" w:space="0" w:color="000000"/>
              <w:right w:val="single" w:sz="4" w:space="0" w:color="auto"/>
            </w:tcBorders>
          </w:tcPr>
          <w:p w14:paraId="0FD31D26" w14:textId="77777777" w:rsidR="00047E69" w:rsidRPr="00A71065" w:rsidRDefault="00047E69" w:rsidP="007E67A5">
            <w:pPr>
              <w:widowControl/>
              <w:rPr>
                <w:lang w:eastAsia="ko-KR"/>
              </w:rPr>
            </w:pPr>
          </w:p>
        </w:tc>
        <w:tc>
          <w:tcPr>
            <w:tcW w:w="2708" w:type="dxa"/>
            <w:tcBorders>
              <w:top w:val="single" w:sz="4" w:space="0" w:color="auto"/>
              <w:left w:val="single" w:sz="4" w:space="0" w:color="auto"/>
              <w:bottom w:val="single" w:sz="4" w:space="0" w:color="auto"/>
              <w:right w:val="single" w:sz="4" w:space="0" w:color="auto"/>
            </w:tcBorders>
          </w:tcPr>
          <w:p w14:paraId="3111E750" w14:textId="77777777" w:rsidR="00047E69" w:rsidRPr="00A71065" w:rsidRDefault="00C210A5" w:rsidP="007E67A5">
            <w:pPr>
              <w:pStyle w:val="TableParagraph"/>
              <w:widowControl/>
              <w:jc w:val="center"/>
              <w:rPr>
                <w:rFonts w:ascii="Times New Roman"/>
              </w:rPr>
            </w:pPr>
            <w:r w:rsidRPr="00A71065">
              <w:rPr>
                <w:rFonts w:ascii="Times New Roman"/>
              </w:rPr>
              <w:t>Chemotherapy</w:t>
            </w:r>
          </w:p>
          <w:p w14:paraId="16E3BDDC"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(n=225)</w:t>
            </w:r>
          </w:p>
        </w:tc>
        <w:tc>
          <w:tcPr>
            <w:tcW w:w="2709" w:type="dxa"/>
            <w:tcBorders>
              <w:top w:val="single" w:sz="4" w:space="0" w:color="auto"/>
              <w:left w:val="single" w:sz="4" w:space="0" w:color="auto"/>
              <w:bottom w:val="single" w:sz="4" w:space="0" w:color="auto"/>
              <w:right w:val="single" w:sz="4" w:space="0" w:color="auto"/>
            </w:tcBorders>
          </w:tcPr>
          <w:p w14:paraId="39F75393" w14:textId="77777777" w:rsidR="00047E69" w:rsidRPr="00A71065" w:rsidRDefault="00C210A5" w:rsidP="007E67A5">
            <w:pPr>
              <w:pStyle w:val="TableParagraph"/>
              <w:widowControl/>
              <w:jc w:val="center"/>
              <w:rPr>
                <w:rFonts w:ascii="Times New Roman"/>
              </w:rPr>
            </w:pPr>
            <w:r w:rsidRPr="00A71065">
              <w:rPr>
                <w:rFonts w:ascii="Times New Roman"/>
              </w:rPr>
              <w:t>Chemotherapy +</w:t>
            </w:r>
          </w:p>
          <w:p w14:paraId="604E0026" w14:textId="77777777" w:rsidR="00047E69" w:rsidRPr="00A71065" w:rsidRDefault="00C210A5" w:rsidP="007E67A5">
            <w:pPr>
              <w:pStyle w:val="TableParagraph"/>
              <w:widowControl/>
              <w:jc w:val="center"/>
              <w:rPr>
                <w:rFonts w:ascii="Times New Roman"/>
              </w:rPr>
            </w:pPr>
            <w:r w:rsidRPr="00A71065">
              <w:rPr>
                <w:rFonts w:ascii="Times New Roman"/>
                <w:u w:val="single" w:color="000000"/>
              </w:rPr>
              <w:t>Bevacizumab</w:t>
            </w:r>
            <w:r w:rsidRPr="00A71065">
              <w:rPr>
                <w:rFonts w:ascii="Times New Roman"/>
              </w:rPr>
              <w:t xml:space="preserve"> </w:t>
            </w:r>
          </w:p>
          <w:p w14:paraId="2B68922A"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(n=227)</w:t>
            </w:r>
          </w:p>
        </w:tc>
      </w:tr>
      <w:tr w:rsidR="00A46B65" w:rsidRPr="00A71065" w14:paraId="503F1F76" w14:textId="77777777" w:rsidTr="004228B0">
        <w:tc>
          <w:tcPr>
            <w:tcW w:w="9239" w:type="dxa"/>
            <w:gridSpan w:val="3"/>
            <w:tcBorders>
              <w:top w:val="single" w:sz="5" w:space="0" w:color="000000"/>
              <w:left w:val="single" w:sz="5" w:space="0" w:color="000000"/>
              <w:bottom w:val="single" w:sz="5" w:space="0" w:color="000000"/>
              <w:right w:val="single" w:sz="5" w:space="0" w:color="000000"/>
            </w:tcBorders>
          </w:tcPr>
          <w:p w14:paraId="7D0BFEE9" w14:textId="5F6D1062"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b/>
                <w:u w:val="thick" w:color="000000"/>
              </w:rPr>
              <w:t xml:space="preserve">Primary </w:t>
            </w:r>
            <w:r w:rsidR="0079332C" w:rsidRPr="00A71065">
              <w:rPr>
                <w:rFonts w:ascii="Times New Roman"/>
                <w:b/>
                <w:u w:val="thick" w:color="000000"/>
              </w:rPr>
              <w:t>e</w:t>
            </w:r>
            <w:r w:rsidRPr="00A71065">
              <w:rPr>
                <w:rFonts w:ascii="Times New Roman"/>
                <w:b/>
                <w:u w:val="thick" w:color="000000"/>
              </w:rPr>
              <w:t>ndpoint</w:t>
            </w:r>
          </w:p>
        </w:tc>
      </w:tr>
      <w:tr w:rsidR="00A46B65" w:rsidRPr="00A71065" w14:paraId="3D9C057D" w14:textId="77777777" w:rsidTr="004228B0">
        <w:tc>
          <w:tcPr>
            <w:tcW w:w="9239" w:type="dxa"/>
            <w:gridSpan w:val="3"/>
            <w:tcBorders>
              <w:top w:val="single" w:sz="5" w:space="0" w:color="000000"/>
              <w:left w:val="single" w:sz="5" w:space="0" w:color="000000"/>
              <w:bottom w:val="single" w:sz="5" w:space="0" w:color="000000"/>
              <w:right w:val="single" w:sz="5" w:space="0" w:color="000000"/>
            </w:tcBorders>
          </w:tcPr>
          <w:p w14:paraId="20A6E496" w14:textId="6E80F7B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eastAsia="Times New Roman" w:hAnsi="Times New Roman" w:cs="Times New Roman"/>
                <w:b/>
                <w:bCs/>
              </w:rPr>
              <w:t xml:space="preserve">Overall </w:t>
            </w:r>
            <w:r w:rsidR="008D2FE2" w:rsidRPr="00A71065">
              <w:rPr>
                <w:rFonts w:ascii="Times New Roman" w:eastAsia="Times New Roman" w:hAnsi="Times New Roman" w:cs="Times New Roman"/>
                <w:b/>
                <w:bCs/>
              </w:rPr>
              <w:t>s</w:t>
            </w:r>
            <w:r w:rsidRPr="00A71065">
              <w:rPr>
                <w:rFonts w:ascii="Times New Roman" w:eastAsia="Times New Roman" w:hAnsi="Times New Roman" w:cs="Times New Roman"/>
                <w:b/>
                <w:bCs/>
              </w:rPr>
              <w:t xml:space="preserve">urvival – </w:t>
            </w:r>
            <w:r w:rsidR="008D2FE2" w:rsidRPr="00A71065">
              <w:rPr>
                <w:rFonts w:ascii="Times New Roman" w:eastAsia="Times New Roman" w:hAnsi="Times New Roman" w:cs="Times New Roman"/>
                <w:b/>
                <w:bCs/>
              </w:rPr>
              <w:t>p</w:t>
            </w:r>
            <w:r w:rsidRPr="00A71065">
              <w:rPr>
                <w:rFonts w:ascii="Times New Roman" w:eastAsia="Times New Roman" w:hAnsi="Times New Roman" w:cs="Times New Roman"/>
                <w:b/>
                <w:bCs/>
              </w:rPr>
              <w:t>rimary analysis</w:t>
            </w:r>
            <w:r w:rsidRPr="00A71065">
              <w:rPr>
                <w:rFonts w:ascii="Times New Roman" w:eastAsia="Times New Roman" w:hAnsi="Times New Roman" w:cs="Times New Roman"/>
                <w:b/>
                <w:bCs/>
                <w:position w:val="8"/>
                <w:vertAlign w:val="superscript"/>
              </w:rPr>
              <w:t>6</w:t>
            </w:r>
          </w:p>
        </w:tc>
      </w:tr>
      <w:tr w:rsidR="00A27683" w:rsidRPr="00A71065" w14:paraId="64043C95" w14:textId="77777777" w:rsidTr="004228B0">
        <w:tc>
          <w:tcPr>
            <w:tcW w:w="3822" w:type="dxa"/>
            <w:tcBorders>
              <w:top w:val="single" w:sz="5" w:space="0" w:color="000000"/>
              <w:left w:val="single" w:sz="5" w:space="0" w:color="000000"/>
              <w:bottom w:val="single" w:sz="5" w:space="0" w:color="000000"/>
              <w:right w:val="single" w:sz="4" w:space="0" w:color="auto"/>
            </w:tcBorders>
          </w:tcPr>
          <w:p w14:paraId="258B72B0" w14:textId="7777777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Median (months)</w:t>
            </w:r>
            <w:r w:rsidRPr="00A71065">
              <w:rPr>
                <w:rFonts w:ascii="Times New Roman"/>
                <w:position w:val="7"/>
                <w:sz w:val="18"/>
                <w:szCs w:val="18"/>
              </w:rPr>
              <w:t>1</w:t>
            </w:r>
          </w:p>
        </w:tc>
        <w:tc>
          <w:tcPr>
            <w:tcW w:w="2708" w:type="dxa"/>
            <w:tcBorders>
              <w:top w:val="single" w:sz="4" w:space="0" w:color="auto"/>
              <w:left w:val="single" w:sz="4" w:space="0" w:color="auto"/>
              <w:bottom w:val="single" w:sz="6" w:space="0" w:color="000000"/>
              <w:right w:val="single" w:sz="4" w:space="0" w:color="auto"/>
            </w:tcBorders>
          </w:tcPr>
          <w:p w14:paraId="71BBA173"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12.9</w:t>
            </w:r>
          </w:p>
        </w:tc>
        <w:tc>
          <w:tcPr>
            <w:tcW w:w="2709" w:type="dxa"/>
            <w:tcBorders>
              <w:top w:val="single" w:sz="4" w:space="0" w:color="auto"/>
              <w:left w:val="single" w:sz="4" w:space="0" w:color="auto"/>
              <w:bottom w:val="single" w:sz="6" w:space="0" w:color="000000"/>
              <w:right w:val="single" w:sz="4" w:space="0" w:color="auto"/>
            </w:tcBorders>
          </w:tcPr>
          <w:p w14:paraId="462DBEF9" w14:textId="77777777" w:rsidR="00047E69" w:rsidRPr="00A71065" w:rsidRDefault="00C210A5" w:rsidP="007E67A5">
            <w:pPr>
              <w:pStyle w:val="TableParagraph"/>
              <w:widowControl/>
              <w:jc w:val="center"/>
              <w:rPr>
                <w:rFonts w:ascii="Times New Roman" w:eastAsia="Times New Roman" w:hAnsi="Times New Roman" w:cs="Times New Roman"/>
                <w:sz w:val="20"/>
                <w:szCs w:val="20"/>
              </w:rPr>
            </w:pPr>
            <w:r w:rsidRPr="00A71065">
              <w:rPr>
                <w:rFonts w:ascii="Times New Roman"/>
                <w:sz w:val="20"/>
              </w:rPr>
              <w:t>16.8</w:t>
            </w:r>
          </w:p>
        </w:tc>
      </w:tr>
      <w:tr w:rsidR="00A46B65" w:rsidRPr="00A71065" w14:paraId="05B84944" w14:textId="77777777" w:rsidTr="004228B0">
        <w:tc>
          <w:tcPr>
            <w:tcW w:w="3822" w:type="dxa"/>
            <w:tcBorders>
              <w:top w:val="single" w:sz="5" w:space="0" w:color="000000"/>
              <w:left w:val="single" w:sz="5" w:space="0" w:color="000000"/>
              <w:bottom w:val="single" w:sz="5" w:space="0" w:color="000000"/>
              <w:right w:val="single" w:sz="4" w:space="0" w:color="auto"/>
            </w:tcBorders>
          </w:tcPr>
          <w:p w14:paraId="11951013" w14:textId="7777777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Hazard ratio [95% CI]</w:t>
            </w:r>
          </w:p>
        </w:tc>
        <w:tc>
          <w:tcPr>
            <w:tcW w:w="5417" w:type="dxa"/>
            <w:gridSpan w:val="2"/>
            <w:tcBorders>
              <w:top w:val="single" w:sz="6" w:space="0" w:color="000000"/>
              <w:left w:val="single" w:sz="4" w:space="0" w:color="auto"/>
              <w:bottom w:val="single" w:sz="6" w:space="0" w:color="000000"/>
              <w:right w:val="single" w:sz="6" w:space="0" w:color="000000"/>
            </w:tcBorders>
          </w:tcPr>
          <w:p w14:paraId="1E966A9E"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0.74 [0.58, 0.94]</w:t>
            </w:r>
          </w:p>
          <w:p w14:paraId="0B84EE57" w14:textId="64AC2A61"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(p</w:t>
            </w:r>
            <w:r w:rsidR="00FD0731" w:rsidRPr="00A71065">
              <w:rPr>
                <w:rFonts w:ascii="Times New Roman"/>
              </w:rPr>
              <w:noBreakHyphen/>
            </w:r>
            <w:r w:rsidRPr="00A71065">
              <w:rPr>
                <w:rFonts w:ascii="Times New Roman"/>
              </w:rPr>
              <w:t>value</w:t>
            </w:r>
            <w:r w:rsidRPr="00A71065">
              <w:rPr>
                <w:rFonts w:ascii="Times New Roman"/>
                <w:position w:val="7"/>
                <w:sz w:val="18"/>
                <w:szCs w:val="18"/>
              </w:rPr>
              <w:t>5</w:t>
            </w:r>
            <w:r w:rsidRPr="00A71065">
              <w:rPr>
                <w:rFonts w:ascii="Times New Roman"/>
                <w:position w:val="7"/>
              </w:rPr>
              <w:t xml:space="preserve"> </w:t>
            </w:r>
            <w:r w:rsidRPr="00A71065">
              <w:rPr>
                <w:rFonts w:ascii="Times New Roman"/>
              </w:rPr>
              <w:t>= 0.0132)</w:t>
            </w:r>
          </w:p>
        </w:tc>
      </w:tr>
      <w:tr w:rsidR="00A46B65" w:rsidRPr="00A71065" w14:paraId="584098FF" w14:textId="77777777" w:rsidTr="004228B0">
        <w:tc>
          <w:tcPr>
            <w:tcW w:w="9239" w:type="dxa"/>
            <w:gridSpan w:val="3"/>
            <w:tcBorders>
              <w:top w:val="single" w:sz="5" w:space="0" w:color="000000"/>
              <w:left w:val="single" w:sz="5" w:space="0" w:color="000000"/>
              <w:bottom w:val="single" w:sz="5" w:space="0" w:color="000000"/>
              <w:right w:val="single" w:sz="5" w:space="0" w:color="000000"/>
            </w:tcBorders>
          </w:tcPr>
          <w:p w14:paraId="09DF5806" w14:textId="1AC96B36"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eastAsia="Times New Roman" w:hAnsi="Times New Roman" w:cs="Times New Roman"/>
                <w:b/>
                <w:bCs/>
              </w:rPr>
              <w:t xml:space="preserve">Overall </w:t>
            </w:r>
            <w:r w:rsidR="008D2FE2" w:rsidRPr="00A71065">
              <w:rPr>
                <w:rFonts w:ascii="Times New Roman" w:eastAsia="Times New Roman" w:hAnsi="Times New Roman" w:cs="Times New Roman"/>
                <w:b/>
                <w:bCs/>
              </w:rPr>
              <w:t>s</w:t>
            </w:r>
            <w:r w:rsidRPr="00A71065">
              <w:rPr>
                <w:rFonts w:ascii="Times New Roman" w:eastAsia="Times New Roman" w:hAnsi="Times New Roman" w:cs="Times New Roman"/>
                <w:b/>
                <w:bCs/>
              </w:rPr>
              <w:t xml:space="preserve">urvival – </w:t>
            </w:r>
            <w:r w:rsidR="008D2FE2" w:rsidRPr="00A71065">
              <w:rPr>
                <w:rFonts w:ascii="Times New Roman" w:eastAsia="Times New Roman" w:hAnsi="Times New Roman" w:cs="Times New Roman"/>
                <w:b/>
                <w:bCs/>
              </w:rPr>
              <w:t>f</w:t>
            </w:r>
            <w:r w:rsidRPr="00A71065">
              <w:rPr>
                <w:rFonts w:ascii="Times New Roman" w:eastAsia="Times New Roman" w:hAnsi="Times New Roman" w:cs="Times New Roman"/>
                <w:b/>
                <w:bCs/>
              </w:rPr>
              <w:t>ollow</w:t>
            </w:r>
            <w:r w:rsidR="00FD0731" w:rsidRPr="00A71065">
              <w:rPr>
                <w:rFonts w:ascii="Times New Roman" w:eastAsia="Times New Roman" w:hAnsi="Times New Roman" w:cs="Times New Roman"/>
                <w:b/>
                <w:bCs/>
              </w:rPr>
              <w:noBreakHyphen/>
            </w:r>
            <w:r w:rsidRPr="00A71065">
              <w:rPr>
                <w:rFonts w:ascii="Times New Roman" w:eastAsia="Times New Roman" w:hAnsi="Times New Roman" w:cs="Times New Roman"/>
                <w:b/>
                <w:bCs/>
              </w:rPr>
              <w:t>up analysis</w:t>
            </w:r>
            <w:r w:rsidRPr="00A71065">
              <w:rPr>
                <w:rFonts w:ascii="Times New Roman" w:eastAsia="Times New Roman" w:hAnsi="Times New Roman" w:cs="Times New Roman"/>
                <w:b/>
                <w:bCs/>
                <w:position w:val="8"/>
                <w:sz w:val="18"/>
                <w:szCs w:val="18"/>
              </w:rPr>
              <w:t>7</w:t>
            </w:r>
          </w:p>
        </w:tc>
      </w:tr>
      <w:tr w:rsidR="00A27683" w:rsidRPr="00A71065" w14:paraId="7A38432A" w14:textId="77777777" w:rsidTr="004228B0">
        <w:tc>
          <w:tcPr>
            <w:tcW w:w="3822" w:type="dxa"/>
            <w:tcBorders>
              <w:top w:val="single" w:sz="5" w:space="0" w:color="000000"/>
              <w:left w:val="single" w:sz="5" w:space="0" w:color="000000"/>
              <w:bottom w:val="single" w:sz="5" w:space="0" w:color="000000"/>
              <w:right w:val="single" w:sz="4" w:space="0" w:color="auto"/>
            </w:tcBorders>
          </w:tcPr>
          <w:p w14:paraId="413A5F08" w14:textId="7777777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Median (months)</w:t>
            </w:r>
            <w:r w:rsidRPr="00A71065">
              <w:rPr>
                <w:rFonts w:ascii="Times New Roman"/>
                <w:position w:val="7"/>
                <w:sz w:val="18"/>
                <w:szCs w:val="18"/>
              </w:rPr>
              <w:t>1</w:t>
            </w:r>
          </w:p>
        </w:tc>
        <w:tc>
          <w:tcPr>
            <w:tcW w:w="2708" w:type="dxa"/>
            <w:tcBorders>
              <w:top w:val="single" w:sz="4" w:space="0" w:color="auto"/>
              <w:left w:val="single" w:sz="4" w:space="0" w:color="auto"/>
              <w:bottom w:val="single" w:sz="6" w:space="0" w:color="000000"/>
              <w:right w:val="single" w:sz="4" w:space="0" w:color="auto"/>
            </w:tcBorders>
          </w:tcPr>
          <w:p w14:paraId="775C7B10"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13.3</w:t>
            </w:r>
          </w:p>
        </w:tc>
        <w:tc>
          <w:tcPr>
            <w:tcW w:w="2709" w:type="dxa"/>
            <w:tcBorders>
              <w:top w:val="single" w:sz="4" w:space="0" w:color="auto"/>
              <w:left w:val="single" w:sz="4" w:space="0" w:color="auto"/>
              <w:bottom w:val="single" w:sz="6" w:space="0" w:color="000000"/>
              <w:right w:val="single" w:sz="4" w:space="0" w:color="auto"/>
            </w:tcBorders>
          </w:tcPr>
          <w:p w14:paraId="31EA07C1" w14:textId="77777777" w:rsidR="00047E69" w:rsidRPr="00A71065" w:rsidRDefault="00C210A5" w:rsidP="007E67A5">
            <w:pPr>
              <w:pStyle w:val="TableParagraph"/>
              <w:widowControl/>
              <w:jc w:val="center"/>
              <w:rPr>
                <w:rFonts w:ascii="Times New Roman" w:eastAsia="Times New Roman" w:hAnsi="Times New Roman" w:cs="Times New Roman"/>
                <w:sz w:val="20"/>
                <w:szCs w:val="20"/>
              </w:rPr>
            </w:pPr>
            <w:r w:rsidRPr="00A71065">
              <w:rPr>
                <w:rFonts w:ascii="Times New Roman"/>
                <w:sz w:val="20"/>
              </w:rPr>
              <w:t>16.8</w:t>
            </w:r>
          </w:p>
        </w:tc>
      </w:tr>
      <w:tr w:rsidR="00A46B65" w:rsidRPr="00A71065" w14:paraId="225299CA" w14:textId="77777777" w:rsidTr="004228B0">
        <w:tc>
          <w:tcPr>
            <w:tcW w:w="3822" w:type="dxa"/>
            <w:tcBorders>
              <w:top w:val="single" w:sz="5" w:space="0" w:color="000000"/>
              <w:left w:val="single" w:sz="5" w:space="0" w:color="000000"/>
              <w:bottom w:val="single" w:sz="5" w:space="0" w:color="000000"/>
              <w:right w:val="single" w:sz="4" w:space="0" w:color="auto"/>
            </w:tcBorders>
          </w:tcPr>
          <w:p w14:paraId="5B758A1B" w14:textId="7777777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Hazard ratio [95% CI]</w:t>
            </w:r>
          </w:p>
        </w:tc>
        <w:tc>
          <w:tcPr>
            <w:tcW w:w="5417" w:type="dxa"/>
            <w:gridSpan w:val="2"/>
            <w:tcBorders>
              <w:top w:val="single" w:sz="6" w:space="0" w:color="000000"/>
              <w:left w:val="single" w:sz="4" w:space="0" w:color="auto"/>
              <w:bottom w:val="single" w:sz="6" w:space="0" w:color="000000"/>
              <w:right w:val="single" w:sz="6" w:space="0" w:color="000000"/>
            </w:tcBorders>
          </w:tcPr>
          <w:p w14:paraId="474024B8"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0.76 [0.62, 0.94]</w:t>
            </w:r>
          </w:p>
          <w:p w14:paraId="02CD8ACD" w14:textId="3C22B70F"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(p</w:t>
            </w:r>
            <w:r w:rsidR="00FD0731" w:rsidRPr="00A71065">
              <w:rPr>
                <w:rFonts w:ascii="Times New Roman"/>
              </w:rPr>
              <w:noBreakHyphen/>
            </w:r>
            <w:r w:rsidRPr="00A71065">
              <w:rPr>
                <w:rFonts w:ascii="Times New Roman"/>
              </w:rPr>
              <w:t>value</w:t>
            </w:r>
            <w:r w:rsidRPr="00A71065">
              <w:rPr>
                <w:rFonts w:ascii="Times New Roman"/>
                <w:position w:val="7"/>
                <w:sz w:val="18"/>
                <w:szCs w:val="18"/>
              </w:rPr>
              <w:t xml:space="preserve">5,8 </w:t>
            </w:r>
            <w:r w:rsidRPr="00A71065">
              <w:rPr>
                <w:rFonts w:ascii="Times New Roman"/>
              </w:rPr>
              <w:t>= 0.0126)</w:t>
            </w:r>
          </w:p>
        </w:tc>
      </w:tr>
      <w:tr w:rsidR="00A46B65" w:rsidRPr="00A71065" w14:paraId="7234D964" w14:textId="77777777" w:rsidTr="004228B0">
        <w:tc>
          <w:tcPr>
            <w:tcW w:w="9239" w:type="dxa"/>
            <w:gridSpan w:val="3"/>
            <w:tcBorders>
              <w:top w:val="single" w:sz="5" w:space="0" w:color="000000"/>
              <w:left w:val="single" w:sz="5" w:space="0" w:color="000000"/>
              <w:bottom w:val="single" w:sz="5" w:space="0" w:color="000000"/>
              <w:right w:val="single" w:sz="5" w:space="0" w:color="000000"/>
            </w:tcBorders>
          </w:tcPr>
          <w:p w14:paraId="55E2A084" w14:textId="1AD58D06"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b/>
                <w:u w:val="thick" w:color="000000"/>
              </w:rPr>
              <w:t xml:space="preserve">Secondary </w:t>
            </w:r>
            <w:r w:rsidR="0079332C" w:rsidRPr="00A71065">
              <w:rPr>
                <w:rFonts w:ascii="Times New Roman"/>
                <w:b/>
                <w:u w:val="thick" w:color="000000"/>
              </w:rPr>
              <w:t>e</w:t>
            </w:r>
            <w:r w:rsidRPr="00A71065">
              <w:rPr>
                <w:rFonts w:ascii="Times New Roman"/>
                <w:b/>
                <w:u w:val="thick" w:color="000000"/>
              </w:rPr>
              <w:t>ndpoints</w:t>
            </w:r>
          </w:p>
        </w:tc>
      </w:tr>
      <w:tr w:rsidR="00A46B65" w:rsidRPr="00A71065" w14:paraId="326CDFE5" w14:textId="77777777" w:rsidTr="004228B0">
        <w:tc>
          <w:tcPr>
            <w:tcW w:w="9239" w:type="dxa"/>
            <w:gridSpan w:val="3"/>
            <w:tcBorders>
              <w:top w:val="single" w:sz="5" w:space="0" w:color="000000"/>
              <w:left w:val="single" w:sz="5" w:space="0" w:color="000000"/>
              <w:bottom w:val="single" w:sz="5" w:space="0" w:color="000000"/>
              <w:right w:val="single" w:sz="5" w:space="0" w:color="000000"/>
            </w:tcBorders>
          </w:tcPr>
          <w:p w14:paraId="7084D1AD" w14:textId="62887D94"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eastAsia="Times New Roman" w:hAnsi="Times New Roman" w:cs="Times New Roman"/>
                <w:b/>
                <w:bCs/>
              </w:rPr>
              <w:t>Progression</w:t>
            </w:r>
            <w:r w:rsidR="00FD0731" w:rsidRPr="00A71065">
              <w:rPr>
                <w:rFonts w:ascii="Times New Roman" w:eastAsia="Times New Roman" w:hAnsi="Times New Roman" w:cs="Times New Roman"/>
                <w:b/>
                <w:bCs/>
              </w:rPr>
              <w:noBreakHyphen/>
            </w:r>
            <w:r w:rsidRPr="00A71065">
              <w:rPr>
                <w:rFonts w:ascii="Times New Roman" w:eastAsia="Times New Roman" w:hAnsi="Times New Roman" w:cs="Times New Roman"/>
                <w:b/>
                <w:bCs/>
              </w:rPr>
              <w:t xml:space="preserve">free survival – </w:t>
            </w:r>
            <w:r w:rsidR="0079332C" w:rsidRPr="00A71065">
              <w:rPr>
                <w:rFonts w:ascii="Times New Roman" w:eastAsia="Times New Roman" w:hAnsi="Times New Roman" w:cs="Times New Roman"/>
                <w:b/>
                <w:bCs/>
              </w:rPr>
              <w:t>p</w:t>
            </w:r>
            <w:r w:rsidRPr="00A71065">
              <w:rPr>
                <w:rFonts w:ascii="Times New Roman" w:eastAsia="Times New Roman" w:hAnsi="Times New Roman" w:cs="Times New Roman"/>
                <w:b/>
                <w:bCs/>
              </w:rPr>
              <w:t>rimary analysis</w:t>
            </w:r>
            <w:r w:rsidRPr="00A71065">
              <w:rPr>
                <w:rFonts w:ascii="Times New Roman" w:eastAsia="Times New Roman" w:hAnsi="Times New Roman" w:cs="Times New Roman"/>
                <w:b/>
                <w:bCs/>
                <w:position w:val="8"/>
                <w:sz w:val="18"/>
                <w:szCs w:val="18"/>
              </w:rPr>
              <w:t>6</w:t>
            </w:r>
          </w:p>
        </w:tc>
      </w:tr>
      <w:tr w:rsidR="00A27683" w:rsidRPr="00A71065" w14:paraId="1F5B7D4C" w14:textId="77777777" w:rsidTr="004228B0">
        <w:tc>
          <w:tcPr>
            <w:tcW w:w="3822" w:type="dxa"/>
            <w:tcBorders>
              <w:top w:val="single" w:sz="5" w:space="0" w:color="000000"/>
              <w:left w:val="single" w:sz="5" w:space="0" w:color="000000"/>
              <w:bottom w:val="single" w:sz="5" w:space="0" w:color="000000"/>
              <w:right w:val="single" w:sz="4" w:space="0" w:color="auto"/>
            </w:tcBorders>
          </w:tcPr>
          <w:p w14:paraId="15D62C63" w14:textId="7777777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Median PFS (months)</w:t>
            </w:r>
            <w:r w:rsidRPr="00A71065">
              <w:rPr>
                <w:rFonts w:ascii="Times New Roman"/>
                <w:position w:val="7"/>
                <w:sz w:val="18"/>
                <w:szCs w:val="18"/>
              </w:rPr>
              <w:t>1</w:t>
            </w:r>
          </w:p>
        </w:tc>
        <w:tc>
          <w:tcPr>
            <w:tcW w:w="2708" w:type="dxa"/>
            <w:tcBorders>
              <w:top w:val="single" w:sz="4" w:space="0" w:color="auto"/>
              <w:left w:val="single" w:sz="4" w:space="0" w:color="auto"/>
              <w:bottom w:val="single" w:sz="6" w:space="0" w:color="000000"/>
              <w:right w:val="single" w:sz="4" w:space="0" w:color="auto"/>
            </w:tcBorders>
          </w:tcPr>
          <w:p w14:paraId="54717D6C"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6.0</w:t>
            </w:r>
          </w:p>
        </w:tc>
        <w:tc>
          <w:tcPr>
            <w:tcW w:w="2709" w:type="dxa"/>
            <w:tcBorders>
              <w:top w:val="single" w:sz="4" w:space="0" w:color="auto"/>
              <w:left w:val="single" w:sz="4" w:space="0" w:color="auto"/>
              <w:bottom w:val="single" w:sz="6" w:space="0" w:color="000000"/>
              <w:right w:val="single" w:sz="4" w:space="0" w:color="auto"/>
            </w:tcBorders>
          </w:tcPr>
          <w:p w14:paraId="20E57F90" w14:textId="77777777" w:rsidR="00047E69" w:rsidRPr="00A71065" w:rsidRDefault="00C210A5" w:rsidP="007E67A5">
            <w:pPr>
              <w:pStyle w:val="TableParagraph"/>
              <w:widowControl/>
              <w:jc w:val="center"/>
              <w:rPr>
                <w:rFonts w:ascii="Times New Roman" w:eastAsia="Times New Roman" w:hAnsi="Times New Roman" w:cs="Times New Roman"/>
                <w:sz w:val="20"/>
                <w:szCs w:val="20"/>
              </w:rPr>
            </w:pPr>
            <w:r w:rsidRPr="00A71065">
              <w:rPr>
                <w:rFonts w:ascii="Times New Roman"/>
                <w:sz w:val="20"/>
              </w:rPr>
              <w:t>8.3</w:t>
            </w:r>
          </w:p>
        </w:tc>
      </w:tr>
      <w:tr w:rsidR="00A46B65" w:rsidRPr="00A71065" w14:paraId="155D8FD5" w14:textId="77777777" w:rsidTr="004228B0">
        <w:tc>
          <w:tcPr>
            <w:tcW w:w="3822" w:type="dxa"/>
            <w:tcBorders>
              <w:top w:val="single" w:sz="5" w:space="0" w:color="000000"/>
              <w:left w:val="single" w:sz="5" w:space="0" w:color="000000"/>
              <w:bottom w:val="single" w:sz="5" w:space="0" w:color="000000"/>
              <w:right w:val="single" w:sz="4" w:space="0" w:color="auto"/>
            </w:tcBorders>
          </w:tcPr>
          <w:p w14:paraId="13E2991D" w14:textId="77777777"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Hazard ratio [95% CI]</w:t>
            </w:r>
          </w:p>
        </w:tc>
        <w:tc>
          <w:tcPr>
            <w:tcW w:w="5417" w:type="dxa"/>
            <w:gridSpan w:val="2"/>
            <w:tcBorders>
              <w:top w:val="single" w:sz="6" w:space="0" w:color="000000"/>
              <w:left w:val="single" w:sz="4" w:space="0" w:color="auto"/>
              <w:bottom w:val="single" w:sz="6" w:space="0" w:color="000000"/>
              <w:right w:val="single" w:sz="6" w:space="0" w:color="000000"/>
            </w:tcBorders>
          </w:tcPr>
          <w:p w14:paraId="7718B277"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0.66 [0.54, 0.81]</w:t>
            </w:r>
          </w:p>
          <w:p w14:paraId="098383A2" w14:textId="29468D61"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(p</w:t>
            </w:r>
            <w:r w:rsidR="00FD0731" w:rsidRPr="00A71065">
              <w:rPr>
                <w:rFonts w:ascii="Times New Roman"/>
              </w:rPr>
              <w:noBreakHyphen/>
            </w:r>
            <w:r w:rsidRPr="00A71065">
              <w:rPr>
                <w:rFonts w:ascii="Times New Roman"/>
              </w:rPr>
              <w:t>value</w:t>
            </w:r>
            <w:r w:rsidRPr="00A71065">
              <w:rPr>
                <w:rFonts w:ascii="Times New Roman"/>
                <w:position w:val="9"/>
              </w:rPr>
              <w:t xml:space="preserve">5 </w:t>
            </w:r>
            <w:r w:rsidRPr="00A71065">
              <w:rPr>
                <w:rFonts w:ascii="Times New Roman"/>
              </w:rPr>
              <w:t>&lt;0.0001)</w:t>
            </w:r>
          </w:p>
        </w:tc>
      </w:tr>
      <w:tr w:rsidR="00A46B65" w:rsidRPr="00A71065" w14:paraId="24C26604" w14:textId="77777777" w:rsidTr="004228B0">
        <w:tc>
          <w:tcPr>
            <w:tcW w:w="9239" w:type="dxa"/>
            <w:gridSpan w:val="3"/>
            <w:tcBorders>
              <w:top w:val="single" w:sz="5" w:space="0" w:color="000000"/>
              <w:left w:val="single" w:sz="5" w:space="0" w:color="000000"/>
              <w:bottom w:val="single" w:sz="5" w:space="0" w:color="000000"/>
              <w:right w:val="single" w:sz="5" w:space="0" w:color="000000"/>
            </w:tcBorders>
          </w:tcPr>
          <w:p w14:paraId="416397C6" w14:textId="32BFD47E"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eastAsia="Times New Roman" w:hAnsi="Times New Roman" w:cs="Times New Roman"/>
                <w:b/>
                <w:bCs/>
              </w:rPr>
              <w:t xml:space="preserve">Best </w:t>
            </w:r>
            <w:r w:rsidR="0079332C" w:rsidRPr="00A71065">
              <w:rPr>
                <w:rFonts w:ascii="Times New Roman" w:eastAsia="Times New Roman" w:hAnsi="Times New Roman" w:cs="Times New Roman"/>
                <w:b/>
                <w:bCs/>
              </w:rPr>
              <w:t>o</w:t>
            </w:r>
            <w:r w:rsidRPr="00A71065">
              <w:rPr>
                <w:rFonts w:ascii="Times New Roman" w:eastAsia="Times New Roman" w:hAnsi="Times New Roman" w:cs="Times New Roman"/>
                <w:b/>
                <w:bCs/>
              </w:rPr>
              <w:t xml:space="preserve">verall </w:t>
            </w:r>
            <w:r w:rsidR="0079332C" w:rsidRPr="00A71065">
              <w:rPr>
                <w:rFonts w:ascii="Times New Roman" w:eastAsia="Times New Roman" w:hAnsi="Times New Roman" w:cs="Times New Roman"/>
                <w:b/>
                <w:bCs/>
              </w:rPr>
              <w:t>r</w:t>
            </w:r>
            <w:r w:rsidRPr="00A71065">
              <w:rPr>
                <w:rFonts w:ascii="Times New Roman" w:eastAsia="Times New Roman" w:hAnsi="Times New Roman" w:cs="Times New Roman"/>
                <w:b/>
                <w:bCs/>
              </w:rPr>
              <w:t xml:space="preserve">esponse – </w:t>
            </w:r>
            <w:r w:rsidR="0079332C" w:rsidRPr="00A71065">
              <w:rPr>
                <w:rFonts w:ascii="Times New Roman" w:eastAsia="Times New Roman" w:hAnsi="Times New Roman" w:cs="Times New Roman"/>
                <w:b/>
                <w:bCs/>
              </w:rPr>
              <w:t>p</w:t>
            </w:r>
            <w:r w:rsidRPr="00A71065">
              <w:rPr>
                <w:rFonts w:ascii="Times New Roman" w:eastAsia="Times New Roman" w:hAnsi="Times New Roman" w:cs="Times New Roman"/>
                <w:b/>
                <w:bCs/>
              </w:rPr>
              <w:t>rimary analysis</w:t>
            </w:r>
            <w:r w:rsidRPr="00A71065">
              <w:rPr>
                <w:rFonts w:ascii="Times New Roman" w:eastAsia="Times New Roman" w:hAnsi="Times New Roman" w:cs="Times New Roman"/>
                <w:b/>
                <w:bCs/>
                <w:position w:val="8"/>
                <w:sz w:val="18"/>
                <w:szCs w:val="18"/>
              </w:rPr>
              <w:t>6</w:t>
            </w:r>
          </w:p>
        </w:tc>
      </w:tr>
      <w:tr w:rsidR="00A27683" w:rsidRPr="00A71065" w14:paraId="1B0F765D" w14:textId="77777777" w:rsidTr="004228B0">
        <w:tc>
          <w:tcPr>
            <w:tcW w:w="3822" w:type="dxa"/>
            <w:tcBorders>
              <w:top w:val="single" w:sz="5" w:space="0" w:color="000000"/>
              <w:left w:val="single" w:sz="5" w:space="0" w:color="000000"/>
              <w:bottom w:val="single" w:sz="5" w:space="0" w:color="000000"/>
              <w:right w:val="single" w:sz="4" w:space="0" w:color="auto"/>
            </w:tcBorders>
          </w:tcPr>
          <w:p w14:paraId="50D06E2F" w14:textId="0447A7F0"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Responders (</w:t>
            </w:r>
            <w:r w:rsidR="0079332C" w:rsidRPr="00A71065">
              <w:rPr>
                <w:rFonts w:ascii="Times New Roman"/>
              </w:rPr>
              <w:t>r</w:t>
            </w:r>
            <w:r w:rsidRPr="00A71065">
              <w:rPr>
                <w:rFonts w:ascii="Times New Roman"/>
              </w:rPr>
              <w:t>esponse rate</w:t>
            </w:r>
            <w:r w:rsidRPr="00A71065">
              <w:rPr>
                <w:rFonts w:ascii="Times New Roman"/>
                <w:position w:val="7"/>
                <w:sz w:val="18"/>
                <w:szCs w:val="18"/>
              </w:rPr>
              <w:t>2</w:t>
            </w:r>
            <w:r w:rsidRPr="00A71065">
              <w:rPr>
                <w:rFonts w:ascii="Times New Roman"/>
              </w:rPr>
              <w:t>)</w:t>
            </w:r>
          </w:p>
        </w:tc>
        <w:tc>
          <w:tcPr>
            <w:tcW w:w="2708" w:type="dxa"/>
            <w:tcBorders>
              <w:top w:val="single" w:sz="4" w:space="0" w:color="auto"/>
              <w:left w:val="single" w:sz="4" w:space="0" w:color="auto"/>
              <w:bottom w:val="single" w:sz="4" w:space="0" w:color="auto"/>
              <w:right w:val="single" w:sz="4" w:space="0" w:color="auto"/>
            </w:tcBorders>
          </w:tcPr>
          <w:p w14:paraId="671FECE5"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76 (33.8 %)</w:t>
            </w:r>
          </w:p>
        </w:tc>
        <w:tc>
          <w:tcPr>
            <w:tcW w:w="2709" w:type="dxa"/>
            <w:tcBorders>
              <w:top w:val="single" w:sz="4" w:space="0" w:color="auto"/>
              <w:left w:val="single" w:sz="4" w:space="0" w:color="auto"/>
              <w:bottom w:val="single" w:sz="4" w:space="0" w:color="auto"/>
              <w:right w:val="single" w:sz="4" w:space="0" w:color="auto"/>
            </w:tcBorders>
          </w:tcPr>
          <w:p w14:paraId="4ECFF5A4" w14:textId="77777777" w:rsidR="00047E69" w:rsidRPr="00A71065" w:rsidRDefault="00C210A5" w:rsidP="007E67A5">
            <w:pPr>
              <w:pStyle w:val="TableParagraph"/>
              <w:widowControl/>
              <w:jc w:val="center"/>
              <w:rPr>
                <w:rFonts w:ascii="Times New Roman" w:eastAsia="Times New Roman" w:hAnsi="Times New Roman" w:cs="Times New Roman"/>
                <w:sz w:val="20"/>
                <w:szCs w:val="20"/>
              </w:rPr>
            </w:pPr>
            <w:r w:rsidRPr="00A71065">
              <w:rPr>
                <w:rFonts w:ascii="Times New Roman"/>
                <w:sz w:val="20"/>
              </w:rPr>
              <w:t>103 (45.4 %)</w:t>
            </w:r>
          </w:p>
        </w:tc>
      </w:tr>
      <w:tr w:rsidR="00A27683" w:rsidRPr="00A71065" w14:paraId="36D3AE2B" w14:textId="77777777" w:rsidTr="004228B0">
        <w:tc>
          <w:tcPr>
            <w:tcW w:w="3822" w:type="dxa"/>
            <w:tcBorders>
              <w:top w:val="single" w:sz="5" w:space="0" w:color="000000"/>
              <w:left w:val="single" w:sz="5" w:space="0" w:color="000000"/>
              <w:bottom w:val="single" w:sz="5" w:space="0" w:color="000000"/>
              <w:right w:val="single" w:sz="4" w:space="0" w:color="auto"/>
            </w:tcBorders>
          </w:tcPr>
          <w:p w14:paraId="3B3C82D6" w14:textId="12D932B2"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 xml:space="preserve">95% CI for </w:t>
            </w:r>
            <w:r w:rsidR="0079332C" w:rsidRPr="00A71065">
              <w:rPr>
                <w:rFonts w:ascii="Times New Roman"/>
              </w:rPr>
              <w:t>r</w:t>
            </w:r>
            <w:r w:rsidRPr="00A71065">
              <w:rPr>
                <w:rFonts w:ascii="Times New Roman"/>
              </w:rPr>
              <w:t xml:space="preserve">esponse </w:t>
            </w:r>
            <w:r w:rsidR="0079332C" w:rsidRPr="00A71065">
              <w:rPr>
                <w:rFonts w:ascii="Times New Roman"/>
              </w:rPr>
              <w:t>r</w:t>
            </w:r>
            <w:r w:rsidRPr="00A71065">
              <w:rPr>
                <w:rFonts w:ascii="Times New Roman"/>
              </w:rPr>
              <w:t>ates</w:t>
            </w:r>
            <w:r w:rsidRPr="00A71065">
              <w:rPr>
                <w:rFonts w:ascii="Times New Roman"/>
                <w:position w:val="7"/>
                <w:sz w:val="18"/>
                <w:szCs w:val="18"/>
              </w:rPr>
              <w:t>3</w:t>
            </w:r>
          </w:p>
        </w:tc>
        <w:tc>
          <w:tcPr>
            <w:tcW w:w="2708" w:type="dxa"/>
            <w:tcBorders>
              <w:top w:val="single" w:sz="4" w:space="0" w:color="auto"/>
              <w:left w:val="single" w:sz="4" w:space="0" w:color="auto"/>
              <w:bottom w:val="single" w:sz="4" w:space="0" w:color="auto"/>
              <w:right w:val="single" w:sz="4" w:space="0" w:color="auto"/>
            </w:tcBorders>
          </w:tcPr>
          <w:p w14:paraId="1B74164C"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[27.6%, 40.4%]</w:t>
            </w:r>
          </w:p>
        </w:tc>
        <w:tc>
          <w:tcPr>
            <w:tcW w:w="2709" w:type="dxa"/>
            <w:tcBorders>
              <w:top w:val="single" w:sz="4" w:space="0" w:color="auto"/>
              <w:left w:val="single" w:sz="4" w:space="0" w:color="auto"/>
              <w:bottom w:val="single" w:sz="4" w:space="0" w:color="auto"/>
              <w:right w:val="single" w:sz="4" w:space="0" w:color="auto"/>
            </w:tcBorders>
          </w:tcPr>
          <w:p w14:paraId="4F88312F" w14:textId="77777777" w:rsidR="00047E69" w:rsidRPr="00A71065" w:rsidRDefault="00C210A5" w:rsidP="007E67A5">
            <w:pPr>
              <w:pStyle w:val="TableParagraph"/>
              <w:widowControl/>
              <w:jc w:val="center"/>
              <w:rPr>
                <w:rFonts w:ascii="Times New Roman" w:eastAsia="Times New Roman" w:hAnsi="Times New Roman" w:cs="Times New Roman"/>
                <w:sz w:val="20"/>
                <w:szCs w:val="20"/>
              </w:rPr>
            </w:pPr>
            <w:r w:rsidRPr="00A71065">
              <w:rPr>
                <w:rFonts w:ascii="Times New Roman"/>
                <w:sz w:val="20"/>
              </w:rPr>
              <w:t>[38.8%, 52.1%]</w:t>
            </w:r>
          </w:p>
        </w:tc>
      </w:tr>
      <w:tr w:rsidR="00A27683" w:rsidRPr="00A71065" w14:paraId="4244DB1B" w14:textId="77777777" w:rsidTr="004228B0">
        <w:tc>
          <w:tcPr>
            <w:tcW w:w="3822" w:type="dxa"/>
            <w:tcBorders>
              <w:top w:val="single" w:sz="5" w:space="0" w:color="000000"/>
              <w:left w:val="single" w:sz="5" w:space="0" w:color="000000"/>
              <w:bottom w:val="single" w:sz="5" w:space="0" w:color="000000"/>
              <w:right w:val="single" w:sz="4" w:space="0" w:color="auto"/>
            </w:tcBorders>
          </w:tcPr>
          <w:p w14:paraId="71CD7625" w14:textId="48961045"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 xml:space="preserve">Difference in </w:t>
            </w:r>
            <w:r w:rsidR="0079332C" w:rsidRPr="00A71065">
              <w:rPr>
                <w:rFonts w:ascii="Times New Roman"/>
              </w:rPr>
              <w:t>r</w:t>
            </w:r>
            <w:r w:rsidRPr="00A71065">
              <w:rPr>
                <w:rFonts w:ascii="Times New Roman"/>
              </w:rPr>
              <w:t xml:space="preserve">esponse </w:t>
            </w:r>
            <w:r w:rsidR="0079332C" w:rsidRPr="00A71065">
              <w:rPr>
                <w:rFonts w:ascii="Times New Roman"/>
              </w:rPr>
              <w:t>r</w:t>
            </w:r>
            <w:r w:rsidRPr="00A71065">
              <w:rPr>
                <w:rFonts w:ascii="Times New Roman"/>
              </w:rPr>
              <w:t>ates</w:t>
            </w:r>
          </w:p>
        </w:tc>
        <w:tc>
          <w:tcPr>
            <w:tcW w:w="5417" w:type="dxa"/>
            <w:gridSpan w:val="2"/>
            <w:tcBorders>
              <w:top w:val="single" w:sz="4" w:space="0" w:color="auto"/>
              <w:left w:val="single" w:sz="4" w:space="0" w:color="auto"/>
              <w:bottom w:val="single" w:sz="6" w:space="0" w:color="000000"/>
              <w:right w:val="single" w:sz="5" w:space="0" w:color="000000"/>
            </w:tcBorders>
          </w:tcPr>
          <w:p w14:paraId="723A5111"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11.60%</w:t>
            </w:r>
          </w:p>
        </w:tc>
      </w:tr>
      <w:tr w:rsidR="00A27683" w:rsidRPr="00A71065" w14:paraId="5524BA77" w14:textId="77777777" w:rsidTr="004228B0">
        <w:tc>
          <w:tcPr>
            <w:tcW w:w="3822" w:type="dxa"/>
            <w:tcBorders>
              <w:top w:val="single" w:sz="5" w:space="0" w:color="000000"/>
              <w:left w:val="single" w:sz="5" w:space="0" w:color="000000"/>
              <w:bottom w:val="single" w:sz="5" w:space="0" w:color="000000"/>
              <w:right w:val="single" w:sz="4" w:space="0" w:color="auto"/>
            </w:tcBorders>
          </w:tcPr>
          <w:p w14:paraId="6696843B" w14:textId="241AE496"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 xml:space="preserve">95% CI for </w:t>
            </w:r>
            <w:r w:rsidR="0079332C" w:rsidRPr="00A71065">
              <w:rPr>
                <w:rFonts w:ascii="Times New Roman"/>
              </w:rPr>
              <w:t>d</w:t>
            </w:r>
            <w:r w:rsidRPr="00A71065">
              <w:rPr>
                <w:rFonts w:ascii="Times New Roman"/>
              </w:rPr>
              <w:t xml:space="preserve">ifference in </w:t>
            </w:r>
            <w:r w:rsidR="0079332C" w:rsidRPr="00A71065">
              <w:rPr>
                <w:rFonts w:ascii="Times New Roman"/>
              </w:rPr>
              <w:t>r</w:t>
            </w:r>
            <w:r w:rsidRPr="00A71065">
              <w:rPr>
                <w:rFonts w:ascii="Times New Roman"/>
              </w:rPr>
              <w:t xml:space="preserve">esponse </w:t>
            </w:r>
            <w:r w:rsidR="0079332C" w:rsidRPr="00A71065">
              <w:rPr>
                <w:rFonts w:ascii="Times New Roman"/>
              </w:rPr>
              <w:t>r</w:t>
            </w:r>
            <w:r w:rsidRPr="00A71065">
              <w:rPr>
                <w:rFonts w:ascii="Times New Roman"/>
              </w:rPr>
              <w:t>ates</w:t>
            </w:r>
            <w:r w:rsidRPr="00A71065">
              <w:rPr>
                <w:rFonts w:ascii="Times New Roman"/>
                <w:position w:val="7"/>
                <w:sz w:val="16"/>
                <w:szCs w:val="16"/>
              </w:rPr>
              <w:t>4</w:t>
            </w:r>
          </w:p>
        </w:tc>
        <w:tc>
          <w:tcPr>
            <w:tcW w:w="5417" w:type="dxa"/>
            <w:gridSpan w:val="2"/>
            <w:tcBorders>
              <w:top w:val="single" w:sz="6" w:space="0" w:color="000000"/>
              <w:left w:val="single" w:sz="4" w:space="0" w:color="auto"/>
              <w:bottom w:val="single" w:sz="6" w:space="0" w:color="000000"/>
              <w:right w:val="single" w:sz="5" w:space="0" w:color="000000"/>
            </w:tcBorders>
          </w:tcPr>
          <w:p w14:paraId="375BBB14"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[2.4%, 20.8%]</w:t>
            </w:r>
          </w:p>
        </w:tc>
      </w:tr>
      <w:tr w:rsidR="00A27683" w:rsidRPr="00A71065" w14:paraId="163A374D" w14:textId="77777777" w:rsidTr="004228B0">
        <w:tc>
          <w:tcPr>
            <w:tcW w:w="3822" w:type="dxa"/>
            <w:tcBorders>
              <w:top w:val="single" w:sz="5" w:space="0" w:color="000000"/>
              <w:left w:val="single" w:sz="5" w:space="0" w:color="000000"/>
              <w:bottom w:val="single" w:sz="5" w:space="0" w:color="000000"/>
              <w:right w:val="single" w:sz="4" w:space="0" w:color="auto"/>
            </w:tcBorders>
          </w:tcPr>
          <w:p w14:paraId="7D125D04" w14:textId="1CC2FBCA" w:rsidR="00047E69" w:rsidRPr="00A71065" w:rsidRDefault="00C210A5" w:rsidP="007E67A5">
            <w:pPr>
              <w:pStyle w:val="TableParagraph"/>
              <w:widowControl/>
              <w:rPr>
                <w:rFonts w:ascii="Times New Roman" w:eastAsia="Times New Roman" w:hAnsi="Times New Roman" w:cs="Times New Roman"/>
              </w:rPr>
            </w:pPr>
            <w:r w:rsidRPr="00A71065">
              <w:rPr>
                <w:rFonts w:ascii="Times New Roman"/>
              </w:rPr>
              <w:t>p</w:t>
            </w:r>
            <w:r w:rsidR="00FD0731" w:rsidRPr="00A71065">
              <w:rPr>
                <w:rFonts w:ascii="Times New Roman"/>
              </w:rPr>
              <w:noBreakHyphen/>
            </w:r>
            <w:r w:rsidRPr="00A71065">
              <w:rPr>
                <w:rFonts w:ascii="Times New Roman"/>
              </w:rPr>
              <w:t>value (</w:t>
            </w:r>
            <w:r w:rsidR="0079332C" w:rsidRPr="00A71065">
              <w:rPr>
                <w:rFonts w:ascii="Times New Roman"/>
              </w:rPr>
              <w:t>c</w:t>
            </w:r>
            <w:r w:rsidRPr="00A71065">
              <w:rPr>
                <w:rFonts w:ascii="Times New Roman"/>
              </w:rPr>
              <w:t>hi</w:t>
            </w:r>
            <w:r w:rsidR="00FD0731" w:rsidRPr="00A71065">
              <w:rPr>
                <w:rFonts w:ascii="Times New Roman"/>
              </w:rPr>
              <w:noBreakHyphen/>
            </w:r>
            <w:r w:rsidRPr="00A71065">
              <w:rPr>
                <w:rFonts w:ascii="Times New Roman"/>
              </w:rPr>
              <w:t xml:space="preserve">squared </w:t>
            </w:r>
            <w:r w:rsidR="0079332C" w:rsidRPr="00A71065">
              <w:rPr>
                <w:rFonts w:ascii="Times New Roman"/>
              </w:rPr>
              <w:t>t</w:t>
            </w:r>
            <w:r w:rsidRPr="00A71065">
              <w:rPr>
                <w:rFonts w:ascii="Times New Roman"/>
              </w:rPr>
              <w:t>est)</w:t>
            </w:r>
          </w:p>
        </w:tc>
        <w:tc>
          <w:tcPr>
            <w:tcW w:w="5417" w:type="dxa"/>
            <w:gridSpan w:val="2"/>
            <w:tcBorders>
              <w:top w:val="single" w:sz="6" w:space="0" w:color="000000"/>
              <w:left w:val="single" w:sz="4" w:space="0" w:color="auto"/>
              <w:bottom w:val="single" w:sz="6" w:space="0" w:color="000000"/>
              <w:right w:val="single" w:sz="5" w:space="0" w:color="000000"/>
            </w:tcBorders>
          </w:tcPr>
          <w:p w14:paraId="448750F9" w14:textId="77777777" w:rsidR="00047E69" w:rsidRPr="00A71065" w:rsidRDefault="00C210A5" w:rsidP="007E67A5">
            <w:pPr>
              <w:pStyle w:val="TableParagraph"/>
              <w:widowControl/>
              <w:jc w:val="center"/>
              <w:rPr>
                <w:rFonts w:ascii="Times New Roman" w:eastAsia="Times New Roman" w:hAnsi="Times New Roman" w:cs="Times New Roman"/>
              </w:rPr>
            </w:pPr>
            <w:r w:rsidRPr="00A71065">
              <w:rPr>
                <w:rFonts w:ascii="Times New Roman"/>
              </w:rPr>
              <w:t>0.0117</w:t>
            </w:r>
          </w:p>
        </w:tc>
      </w:tr>
    </w:tbl>
    <w:p w14:paraId="52684C74" w14:textId="7F42400F"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1 </w:t>
      </w:r>
      <w:r w:rsidRPr="00A71065">
        <w:rPr>
          <w:rFonts w:ascii="Times New Roman"/>
          <w:sz w:val="20"/>
        </w:rPr>
        <w:t>Kaplan</w:t>
      </w:r>
      <w:r w:rsidR="00FD0731" w:rsidRPr="00A71065">
        <w:rPr>
          <w:rFonts w:ascii="Times New Roman"/>
          <w:sz w:val="20"/>
        </w:rPr>
        <w:noBreakHyphen/>
      </w:r>
      <w:r w:rsidRPr="00A71065">
        <w:rPr>
          <w:rFonts w:ascii="Times New Roman"/>
          <w:sz w:val="20"/>
        </w:rPr>
        <w:t>Meier estimates</w:t>
      </w:r>
    </w:p>
    <w:p w14:paraId="0649E2EC" w14:textId="77777777" w:rsidR="00047E69" w:rsidRPr="00A71065" w:rsidRDefault="00C210A5" w:rsidP="007E67A5">
      <w:pPr>
        <w:widowControl/>
        <w:adjustRightInd w:val="0"/>
        <w:snapToGrid w:val="0"/>
        <w:ind w:left="113" w:hanging="113"/>
        <w:rPr>
          <w:rFonts w:ascii="Times New Roman" w:eastAsia="Times New Roman" w:hAnsi="Times New Roman" w:cs="Times New Roman"/>
          <w:sz w:val="20"/>
          <w:szCs w:val="20"/>
        </w:rPr>
      </w:pPr>
      <w:r w:rsidRPr="00A71065">
        <w:rPr>
          <w:rFonts w:ascii="Times New Roman"/>
          <w:position w:val="7"/>
          <w:sz w:val="13"/>
        </w:rPr>
        <w:lastRenderedPageBreak/>
        <w:t xml:space="preserve">2 </w:t>
      </w:r>
      <w:r w:rsidRPr="00A71065">
        <w:rPr>
          <w:rFonts w:ascii="Times New Roman"/>
          <w:sz w:val="20"/>
        </w:rPr>
        <w:t>Patients and percentage of patients with best overall response of confirmed CR or PR; percentage calculated on patients with measurable disease at baseline</w:t>
      </w:r>
    </w:p>
    <w:p w14:paraId="5B9336F9" w14:textId="2BA06AD3"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3 </w:t>
      </w:r>
      <w:r w:rsidRPr="00A71065">
        <w:rPr>
          <w:rFonts w:ascii="Times New Roman"/>
          <w:sz w:val="20"/>
        </w:rPr>
        <w:t>95% CI for one sample binomial using Pearson</w:t>
      </w:r>
      <w:r w:rsidR="00FD0731" w:rsidRPr="00A71065">
        <w:rPr>
          <w:rFonts w:ascii="Times New Roman"/>
          <w:sz w:val="20"/>
        </w:rPr>
        <w:noBreakHyphen/>
      </w:r>
      <w:r w:rsidRPr="00A71065">
        <w:rPr>
          <w:rFonts w:ascii="Times New Roman"/>
          <w:sz w:val="20"/>
        </w:rPr>
        <w:t>Clopper method</w:t>
      </w:r>
    </w:p>
    <w:p w14:paraId="39B0D3FC" w14:textId="442EDF5E"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4 </w:t>
      </w:r>
      <w:r w:rsidRPr="00A71065">
        <w:rPr>
          <w:rFonts w:ascii="Times New Roman"/>
          <w:sz w:val="20"/>
        </w:rPr>
        <w:t>Approximate 95% CI for difference of two rates using Hauck</w:t>
      </w:r>
      <w:r w:rsidR="00FD0731" w:rsidRPr="00A71065">
        <w:rPr>
          <w:rFonts w:ascii="Times New Roman"/>
          <w:sz w:val="20"/>
        </w:rPr>
        <w:noBreakHyphen/>
      </w:r>
      <w:r w:rsidRPr="00A71065">
        <w:rPr>
          <w:rFonts w:ascii="Times New Roman"/>
          <w:sz w:val="20"/>
        </w:rPr>
        <w:t>Anderson method</w:t>
      </w:r>
    </w:p>
    <w:p w14:paraId="4FC1491B" w14:textId="553BF443"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5 </w:t>
      </w:r>
      <w:r w:rsidRPr="00A71065">
        <w:rPr>
          <w:rFonts w:ascii="Times New Roman"/>
          <w:sz w:val="20"/>
        </w:rPr>
        <w:t>log</w:t>
      </w:r>
      <w:r w:rsidR="00FD0731" w:rsidRPr="00A71065">
        <w:rPr>
          <w:rFonts w:ascii="Times New Roman"/>
          <w:sz w:val="20"/>
        </w:rPr>
        <w:noBreakHyphen/>
      </w:r>
      <w:r w:rsidRPr="00A71065">
        <w:rPr>
          <w:rFonts w:ascii="Times New Roman"/>
          <w:sz w:val="20"/>
        </w:rPr>
        <w:t>rank test (stratified)</w:t>
      </w:r>
    </w:p>
    <w:p w14:paraId="451E737D" w14:textId="78168361" w:rsidR="00047E69" w:rsidRPr="00A71065" w:rsidRDefault="00C210A5" w:rsidP="007E67A5">
      <w:pPr>
        <w:widowControl/>
        <w:adjustRightInd w:val="0"/>
        <w:snapToGrid w:val="0"/>
        <w:ind w:left="113" w:hanging="113"/>
        <w:rPr>
          <w:rFonts w:ascii="Times New Roman" w:eastAsia="Times New Roman" w:hAnsi="Times New Roman" w:cs="Times New Roman"/>
          <w:sz w:val="20"/>
          <w:szCs w:val="20"/>
        </w:rPr>
      </w:pPr>
      <w:r w:rsidRPr="00A71065">
        <w:rPr>
          <w:rFonts w:ascii="Times New Roman"/>
          <w:position w:val="7"/>
          <w:sz w:val="13"/>
        </w:rPr>
        <w:t xml:space="preserve">6 </w:t>
      </w:r>
      <w:r w:rsidRPr="00A71065">
        <w:rPr>
          <w:rFonts w:ascii="Times New Roman"/>
          <w:sz w:val="20"/>
        </w:rPr>
        <w:t>Primary analysis was performed with a data cut</w:t>
      </w:r>
      <w:r w:rsidR="00FD0731" w:rsidRPr="00A71065">
        <w:rPr>
          <w:rFonts w:ascii="Times New Roman"/>
          <w:sz w:val="20"/>
        </w:rPr>
        <w:noBreakHyphen/>
      </w:r>
      <w:r w:rsidRPr="00A71065">
        <w:rPr>
          <w:rFonts w:ascii="Times New Roman"/>
          <w:sz w:val="20"/>
        </w:rPr>
        <w:t>off date of 12 December 2012 and is considered the final analysis</w:t>
      </w:r>
    </w:p>
    <w:p w14:paraId="3C4164B7" w14:textId="30C6F624"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7 </w:t>
      </w:r>
      <w:r w:rsidRPr="00A71065">
        <w:rPr>
          <w:rFonts w:ascii="Times New Roman"/>
          <w:sz w:val="20"/>
        </w:rPr>
        <w:t>Follow</w:t>
      </w:r>
      <w:r w:rsidR="00FD0731" w:rsidRPr="00A71065">
        <w:rPr>
          <w:rFonts w:ascii="Times New Roman"/>
          <w:sz w:val="20"/>
        </w:rPr>
        <w:noBreakHyphen/>
      </w:r>
      <w:r w:rsidRPr="00A71065">
        <w:rPr>
          <w:rFonts w:ascii="Times New Roman"/>
          <w:sz w:val="20"/>
        </w:rPr>
        <w:t>up analysis was performed with a data cut</w:t>
      </w:r>
      <w:r w:rsidR="00FD0731" w:rsidRPr="00A71065">
        <w:rPr>
          <w:rFonts w:ascii="Times New Roman"/>
          <w:sz w:val="20"/>
        </w:rPr>
        <w:noBreakHyphen/>
      </w:r>
      <w:r w:rsidRPr="00A71065">
        <w:rPr>
          <w:rFonts w:ascii="Times New Roman"/>
          <w:sz w:val="20"/>
        </w:rPr>
        <w:t>off date of 07 March 2014</w:t>
      </w:r>
    </w:p>
    <w:p w14:paraId="33C1A64F" w14:textId="5BDD8743"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8 </w:t>
      </w:r>
      <w:r w:rsidRPr="00A71065">
        <w:rPr>
          <w:rFonts w:ascii="Times New Roman"/>
          <w:sz w:val="20"/>
        </w:rPr>
        <w:t>p</w:t>
      </w:r>
      <w:r w:rsidR="00FD0731" w:rsidRPr="00A71065">
        <w:rPr>
          <w:rFonts w:ascii="Times New Roman"/>
          <w:sz w:val="20"/>
        </w:rPr>
        <w:noBreakHyphen/>
      </w:r>
      <w:r w:rsidRPr="00A71065">
        <w:rPr>
          <w:rFonts w:ascii="Times New Roman"/>
          <w:sz w:val="20"/>
        </w:rPr>
        <w:t>value displayed for descriptive purpose only</w:t>
      </w:r>
    </w:p>
    <w:p w14:paraId="0BC7CB5E" w14:textId="77777777" w:rsidR="00A135EE" w:rsidRPr="00A71065" w:rsidRDefault="00A135EE" w:rsidP="00C32D39"/>
    <w:p w14:paraId="10F56FC4" w14:textId="400B469A" w:rsidR="00047E69" w:rsidRPr="00C931C2" w:rsidRDefault="00C210A5" w:rsidP="007B2005">
      <w:pPr>
        <w:ind w:left="1134" w:hanging="1134"/>
        <w:rPr>
          <w:rFonts w:ascii="Times New Roman" w:hAnsi="Times New Roman" w:cs="Times New Roman"/>
          <w:b/>
          <w:bCs/>
        </w:rPr>
      </w:pPr>
      <w:r w:rsidRPr="00C931C2">
        <w:rPr>
          <w:rFonts w:ascii="Times New Roman" w:hAnsi="Times New Roman" w:cs="Times New Roman"/>
          <w:b/>
          <w:bCs/>
        </w:rPr>
        <w:t>Table 26</w:t>
      </w:r>
      <w:r w:rsidRPr="00C931C2">
        <w:rPr>
          <w:rFonts w:ascii="Times New Roman" w:hAnsi="Times New Roman" w:cs="Times New Roman"/>
          <w:b/>
          <w:bCs/>
        </w:rPr>
        <w:tab/>
        <w:t>Overall survival results from study GOG</w:t>
      </w:r>
      <w:r w:rsidR="00FD0731" w:rsidRPr="00C931C2">
        <w:rPr>
          <w:rFonts w:ascii="Times New Roman" w:hAnsi="Times New Roman" w:cs="Times New Roman"/>
          <w:b/>
          <w:bCs/>
        </w:rPr>
        <w:noBreakHyphen/>
      </w:r>
      <w:r w:rsidRPr="00C931C2">
        <w:rPr>
          <w:rFonts w:ascii="Times New Roman" w:hAnsi="Times New Roman" w:cs="Times New Roman"/>
          <w:b/>
          <w:bCs/>
        </w:rPr>
        <w:t xml:space="preserve">0240 by </w:t>
      </w:r>
      <w:r w:rsidR="00A135EE" w:rsidRPr="00C931C2">
        <w:rPr>
          <w:rFonts w:ascii="Times New Roman" w:hAnsi="Times New Roman" w:cs="Times New Roman"/>
          <w:b/>
          <w:bCs/>
        </w:rPr>
        <w:t>t</w:t>
      </w:r>
      <w:r w:rsidRPr="00C931C2">
        <w:rPr>
          <w:rFonts w:ascii="Times New Roman" w:hAnsi="Times New Roman" w:cs="Times New Roman"/>
          <w:b/>
          <w:bCs/>
        </w:rPr>
        <w:t xml:space="preserve">rial </w:t>
      </w:r>
      <w:r w:rsidR="00A135EE" w:rsidRPr="00C931C2">
        <w:rPr>
          <w:rFonts w:ascii="Times New Roman" w:hAnsi="Times New Roman" w:cs="Times New Roman"/>
          <w:b/>
          <w:bCs/>
        </w:rPr>
        <w:t>t</w:t>
      </w:r>
      <w:r w:rsidRPr="00C931C2">
        <w:rPr>
          <w:rFonts w:ascii="Times New Roman" w:hAnsi="Times New Roman" w:cs="Times New Roman"/>
          <w:b/>
          <w:bCs/>
        </w:rPr>
        <w:t>reatment</w:t>
      </w:r>
    </w:p>
    <w:p w14:paraId="05CADDA9" w14:textId="77777777" w:rsidR="008D2FE2" w:rsidRPr="00A71065" w:rsidRDefault="008D2FE2" w:rsidP="00C32D39">
      <w:pPr>
        <w:rPr>
          <w:b/>
          <w:bCs/>
        </w:rPr>
      </w:pPr>
    </w:p>
    <w:tbl>
      <w:tblPr>
        <w:tblStyle w:val="TableNormal0"/>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392"/>
        <w:gridCol w:w="1831"/>
        <w:gridCol w:w="2736"/>
        <w:gridCol w:w="3125"/>
      </w:tblGrid>
      <w:tr w:rsidR="00A27683" w:rsidRPr="00A71065" w14:paraId="1B4F0D74" w14:textId="77777777" w:rsidTr="004228B0">
        <w:tc>
          <w:tcPr>
            <w:tcW w:w="766" w:type="pct"/>
            <w:tcBorders>
              <w:bottom w:val="single" w:sz="4" w:space="0" w:color="auto"/>
            </w:tcBorders>
          </w:tcPr>
          <w:p w14:paraId="0E40E4B0" w14:textId="32A450A5" w:rsidR="00047E69" w:rsidRPr="00A71065" w:rsidRDefault="00C210A5" w:rsidP="007E67A5">
            <w:pPr>
              <w:pStyle w:val="a5"/>
              <w:widowControl/>
              <w:jc w:val="center"/>
              <w:rPr>
                <w:rFonts w:cs="Times New Roman"/>
                <w:b/>
                <w:bCs/>
                <w:sz w:val="20"/>
                <w:szCs w:val="20"/>
              </w:rPr>
            </w:pPr>
            <w:r w:rsidRPr="00A71065">
              <w:rPr>
                <w:rFonts w:cs="Times New Roman"/>
                <w:b/>
                <w:bCs/>
                <w:sz w:val="20"/>
                <w:szCs w:val="20"/>
              </w:rPr>
              <w:t xml:space="preserve">Treatment </w:t>
            </w:r>
            <w:r w:rsidR="0079332C" w:rsidRPr="00A71065">
              <w:rPr>
                <w:rFonts w:cs="Times New Roman"/>
                <w:b/>
                <w:bCs/>
                <w:sz w:val="20"/>
                <w:szCs w:val="20"/>
              </w:rPr>
              <w:t>c</w:t>
            </w:r>
            <w:r w:rsidRPr="00A71065">
              <w:rPr>
                <w:rFonts w:cs="Times New Roman"/>
                <w:b/>
                <w:bCs/>
                <w:sz w:val="20"/>
                <w:szCs w:val="20"/>
              </w:rPr>
              <w:t>omparison</w:t>
            </w:r>
          </w:p>
        </w:tc>
        <w:tc>
          <w:tcPr>
            <w:tcW w:w="1008" w:type="pct"/>
            <w:tcBorders>
              <w:bottom w:val="single" w:sz="4" w:space="0" w:color="auto"/>
            </w:tcBorders>
          </w:tcPr>
          <w:p w14:paraId="6A91DBF2" w14:textId="64B6A607" w:rsidR="00047E69" w:rsidRPr="00A71065" w:rsidRDefault="00C210A5" w:rsidP="007E67A5">
            <w:pPr>
              <w:pStyle w:val="a5"/>
              <w:widowControl/>
              <w:jc w:val="center"/>
              <w:rPr>
                <w:rFonts w:cs="Times New Roman"/>
                <w:b/>
                <w:bCs/>
                <w:sz w:val="20"/>
                <w:szCs w:val="20"/>
              </w:rPr>
            </w:pPr>
            <w:r w:rsidRPr="00A71065">
              <w:rPr>
                <w:rFonts w:cs="Times New Roman"/>
                <w:b/>
                <w:bCs/>
                <w:sz w:val="20"/>
                <w:szCs w:val="20"/>
              </w:rPr>
              <w:t xml:space="preserve">Other </w:t>
            </w:r>
            <w:r w:rsidR="0079332C" w:rsidRPr="00A71065">
              <w:rPr>
                <w:rFonts w:cs="Times New Roman"/>
                <w:b/>
                <w:bCs/>
                <w:sz w:val="20"/>
                <w:szCs w:val="20"/>
              </w:rPr>
              <w:t>f</w:t>
            </w:r>
            <w:r w:rsidRPr="00A71065">
              <w:rPr>
                <w:rFonts w:cs="Times New Roman"/>
                <w:b/>
                <w:bCs/>
                <w:sz w:val="20"/>
                <w:szCs w:val="20"/>
              </w:rPr>
              <w:t>actor</w:t>
            </w:r>
          </w:p>
        </w:tc>
        <w:tc>
          <w:tcPr>
            <w:tcW w:w="1506" w:type="pct"/>
            <w:tcBorders>
              <w:bottom w:val="single" w:sz="4" w:space="0" w:color="auto"/>
            </w:tcBorders>
            <w:vAlign w:val="bottom"/>
          </w:tcPr>
          <w:p w14:paraId="78AFD2F7" w14:textId="4E0C3D73" w:rsidR="00047E69" w:rsidRPr="00A71065" w:rsidRDefault="00C210A5" w:rsidP="007E67A5">
            <w:pPr>
              <w:pStyle w:val="a5"/>
              <w:widowControl/>
              <w:jc w:val="center"/>
              <w:rPr>
                <w:rFonts w:cs="Times New Roman"/>
                <w:b/>
                <w:bCs/>
                <w:sz w:val="20"/>
                <w:szCs w:val="20"/>
                <w:vertAlign w:val="superscript"/>
              </w:rPr>
            </w:pPr>
            <w:r w:rsidRPr="00A71065">
              <w:rPr>
                <w:rFonts w:cs="Times New Roman"/>
                <w:b/>
                <w:bCs/>
                <w:sz w:val="20"/>
                <w:szCs w:val="20"/>
              </w:rPr>
              <w:t xml:space="preserve">Overall survival - </w:t>
            </w:r>
            <w:r w:rsidR="0079332C" w:rsidRPr="00A71065">
              <w:rPr>
                <w:rFonts w:cs="Times New Roman"/>
                <w:b/>
                <w:bCs/>
                <w:sz w:val="20"/>
                <w:szCs w:val="20"/>
              </w:rPr>
              <w:t>p</w:t>
            </w:r>
            <w:r w:rsidRPr="00A71065">
              <w:rPr>
                <w:rFonts w:cs="Times New Roman"/>
                <w:b/>
                <w:bCs/>
                <w:sz w:val="20"/>
                <w:szCs w:val="20"/>
              </w:rPr>
              <w:t>rimary analysis</w:t>
            </w:r>
            <w:r w:rsidRPr="00A71065">
              <w:rPr>
                <w:rFonts w:cs="Times New Roman"/>
                <w:b/>
                <w:bCs/>
                <w:sz w:val="20"/>
                <w:szCs w:val="20"/>
                <w:vertAlign w:val="superscript"/>
              </w:rPr>
              <w:t>1</w:t>
            </w:r>
          </w:p>
          <w:p w14:paraId="0C3D37D5" w14:textId="469E35A0" w:rsidR="00047E69" w:rsidRPr="00A71065" w:rsidRDefault="00C210A5" w:rsidP="007E67A5">
            <w:pPr>
              <w:pStyle w:val="a5"/>
              <w:widowControl/>
              <w:jc w:val="center"/>
              <w:rPr>
                <w:rFonts w:cs="Times New Roman"/>
                <w:b/>
                <w:bCs/>
                <w:sz w:val="20"/>
                <w:szCs w:val="20"/>
              </w:rPr>
            </w:pPr>
            <w:r w:rsidRPr="00A71065">
              <w:rPr>
                <w:rFonts w:cs="Times New Roman"/>
                <w:b/>
                <w:bCs/>
                <w:sz w:val="20"/>
                <w:szCs w:val="20"/>
              </w:rPr>
              <w:t xml:space="preserve">Hazard </w:t>
            </w:r>
            <w:r w:rsidR="0079332C" w:rsidRPr="00A71065">
              <w:rPr>
                <w:rFonts w:cs="Times New Roman"/>
                <w:b/>
                <w:bCs/>
                <w:sz w:val="20"/>
                <w:szCs w:val="20"/>
              </w:rPr>
              <w:t>r</w:t>
            </w:r>
            <w:r w:rsidRPr="00A71065">
              <w:rPr>
                <w:rFonts w:cs="Times New Roman"/>
                <w:b/>
                <w:bCs/>
                <w:sz w:val="20"/>
                <w:szCs w:val="20"/>
              </w:rPr>
              <w:t>atio (95% CI)</w:t>
            </w:r>
          </w:p>
        </w:tc>
        <w:tc>
          <w:tcPr>
            <w:tcW w:w="1720" w:type="pct"/>
            <w:tcBorders>
              <w:bottom w:val="single" w:sz="4" w:space="0" w:color="auto"/>
            </w:tcBorders>
            <w:vAlign w:val="bottom"/>
          </w:tcPr>
          <w:p w14:paraId="2393A1A6" w14:textId="392EBA0D" w:rsidR="00047E69" w:rsidRPr="00A71065" w:rsidRDefault="00C210A5" w:rsidP="007E67A5">
            <w:pPr>
              <w:pStyle w:val="a5"/>
              <w:widowControl/>
              <w:jc w:val="center"/>
              <w:rPr>
                <w:rFonts w:cs="Times New Roman"/>
                <w:b/>
                <w:bCs/>
                <w:sz w:val="20"/>
                <w:szCs w:val="20"/>
              </w:rPr>
            </w:pPr>
            <w:r w:rsidRPr="00A71065">
              <w:rPr>
                <w:rFonts w:cs="Times New Roman"/>
                <w:b/>
                <w:bCs/>
                <w:sz w:val="20"/>
                <w:szCs w:val="20"/>
              </w:rPr>
              <w:t xml:space="preserve">Overall survival - </w:t>
            </w:r>
            <w:r w:rsidR="0079332C" w:rsidRPr="00A71065">
              <w:rPr>
                <w:rFonts w:cs="Times New Roman"/>
                <w:b/>
                <w:bCs/>
                <w:sz w:val="20"/>
                <w:szCs w:val="20"/>
              </w:rPr>
              <w:t>f</w:t>
            </w:r>
            <w:r w:rsidRPr="00A71065">
              <w:rPr>
                <w:rFonts w:cs="Times New Roman"/>
                <w:b/>
                <w:bCs/>
                <w:sz w:val="20"/>
                <w:szCs w:val="20"/>
              </w:rPr>
              <w:t>ollow</w:t>
            </w:r>
            <w:r w:rsidR="00FD0731" w:rsidRPr="00A71065">
              <w:rPr>
                <w:rFonts w:cs="Times New Roman"/>
                <w:b/>
                <w:bCs/>
                <w:sz w:val="20"/>
                <w:szCs w:val="20"/>
              </w:rPr>
              <w:noBreakHyphen/>
            </w:r>
            <w:r w:rsidRPr="00A71065">
              <w:rPr>
                <w:rFonts w:cs="Times New Roman"/>
                <w:b/>
                <w:bCs/>
                <w:sz w:val="20"/>
                <w:szCs w:val="20"/>
              </w:rPr>
              <w:t>up analysis</w:t>
            </w:r>
            <w:r w:rsidRPr="00A71065">
              <w:rPr>
                <w:rFonts w:cs="Times New Roman"/>
                <w:b/>
                <w:bCs/>
                <w:sz w:val="20"/>
                <w:szCs w:val="20"/>
                <w:vertAlign w:val="superscript"/>
              </w:rPr>
              <w:t>2</w:t>
            </w:r>
          </w:p>
          <w:p w14:paraId="71AD2AC7" w14:textId="50A44C5A" w:rsidR="00047E69" w:rsidRPr="00A71065" w:rsidRDefault="00C210A5" w:rsidP="007E67A5">
            <w:pPr>
              <w:pStyle w:val="a5"/>
              <w:widowControl/>
              <w:jc w:val="center"/>
              <w:rPr>
                <w:rFonts w:cs="Times New Roman"/>
                <w:b/>
                <w:bCs/>
                <w:sz w:val="20"/>
                <w:szCs w:val="20"/>
              </w:rPr>
            </w:pPr>
            <w:r w:rsidRPr="00A71065">
              <w:rPr>
                <w:rFonts w:cs="Times New Roman"/>
                <w:b/>
                <w:bCs/>
                <w:sz w:val="20"/>
                <w:szCs w:val="20"/>
              </w:rPr>
              <w:t xml:space="preserve">Hazard </w:t>
            </w:r>
            <w:r w:rsidR="0079332C" w:rsidRPr="00A71065">
              <w:rPr>
                <w:rFonts w:cs="Times New Roman"/>
                <w:b/>
                <w:bCs/>
                <w:sz w:val="20"/>
                <w:szCs w:val="20"/>
              </w:rPr>
              <w:t>r</w:t>
            </w:r>
            <w:r w:rsidRPr="00A71065">
              <w:rPr>
                <w:rFonts w:cs="Times New Roman"/>
                <w:b/>
                <w:bCs/>
                <w:sz w:val="20"/>
                <w:szCs w:val="20"/>
              </w:rPr>
              <w:t>atio (95% CI)</w:t>
            </w:r>
          </w:p>
        </w:tc>
      </w:tr>
      <w:tr w:rsidR="00A27683" w:rsidRPr="00A71065" w14:paraId="03DF9E6A" w14:textId="77777777" w:rsidTr="004228B0">
        <w:tc>
          <w:tcPr>
            <w:tcW w:w="766" w:type="pct"/>
            <w:vMerge w:val="restart"/>
            <w:tcBorders>
              <w:top w:val="single" w:sz="4" w:space="0" w:color="auto"/>
              <w:left w:val="single" w:sz="4" w:space="0" w:color="auto"/>
              <w:bottom w:val="single" w:sz="4" w:space="0" w:color="auto"/>
              <w:right w:val="single" w:sz="4" w:space="0" w:color="auto"/>
            </w:tcBorders>
          </w:tcPr>
          <w:p w14:paraId="42C3EA0A" w14:textId="5002D0EF" w:rsidR="00047E69" w:rsidRPr="00A71065" w:rsidRDefault="002700BA" w:rsidP="007E67A5">
            <w:pPr>
              <w:pStyle w:val="a5"/>
              <w:widowControl/>
              <w:rPr>
                <w:rFonts w:cs="Times New Roman"/>
                <w:sz w:val="20"/>
                <w:szCs w:val="20"/>
              </w:rPr>
            </w:pPr>
            <w:r w:rsidRPr="00A71065">
              <w:rPr>
                <w:rFonts w:cs="Times New Roman"/>
                <w:sz w:val="20"/>
                <w:szCs w:val="20"/>
              </w:rPr>
              <w:t>Bevacizumab vs. No Bevacizumab</w:t>
            </w:r>
          </w:p>
        </w:tc>
        <w:tc>
          <w:tcPr>
            <w:tcW w:w="1008" w:type="pct"/>
            <w:tcBorders>
              <w:top w:val="single" w:sz="4" w:space="0" w:color="auto"/>
              <w:left w:val="single" w:sz="4" w:space="0" w:color="auto"/>
              <w:bottom w:val="single" w:sz="4" w:space="0" w:color="auto"/>
              <w:right w:val="single" w:sz="4" w:space="0" w:color="auto"/>
            </w:tcBorders>
          </w:tcPr>
          <w:p w14:paraId="70F665BC"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Cisplatin+</w:t>
            </w:r>
            <w:r w:rsidRPr="00A71065">
              <w:rPr>
                <w:rFonts w:cs="Times New Roman"/>
                <w:sz w:val="20"/>
                <w:szCs w:val="20"/>
              </w:rPr>
              <w:br/>
              <w:t>Paclitaxel</w:t>
            </w:r>
          </w:p>
        </w:tc>
        <w:tc>
          <w:tcPr>
            <w:tcW w:w="1506" w:type="pct"/>
            <w:tcBorders>
              <w:top w:val="single" w:sz="4" w:space="0" w:color="auto"/>
              <w:left w:val="single" w:sz="4" w:space="0" w:color="auto"/>
              <w:bottom w:val="single" w:sz="4" w:space="0" w:color="auto"/>
              <w:right w:val="single" w:sz="4" w:space="0" w:color="auto"/>
            </w:tcBorders>
          </w:tcPr>
          <w:p w14:paraId="37A9D0E9"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0.72 (0.51, 1.02)</w:t>
            </w:r>
          </w:p>
          <w:p w14:paraId="19A44A34"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(17.5 vs.14.3 months; </w:t>
            </w:r>
          </w:p>
          <w:p w14:paraId="08C05EFA" w14:textId="33FD5B4C" w:rsidR="00047E69" w:rsidRPr="00A71065" w:rsidRDefault="00C210A5" w:rsidP="007E67A5">
            <w:pPr>
              <w:pStyle w:val="a5"/>
              <w:widowControl/>
              <w:jc w:val="center"/>
              <w:rPr>
                <w:rFonts w:cs="Times New Roman"/>
                <w:sz w:val="20"/>
                <w:szCs w:val="20"/>
              </w:rPr>
            </w:pPr>
            <w:r w:rsidRPr="00A71065">
              <w:rPr>
                <w:rFonts w:cs="Times New Roman"/>
                <w:sz w:val="20"/>
                <w:szCs w:val="20"/>
              </w:rPr>
              <w:t>p = 0.0609)</w:t>
            </w:r>
          </w:p>
        </w:tc>
        <w:tc>
          <w:tcPr>
            <w:tcW w:w="1720" w:type="pct"/>
            <w:tcBorders>
              <w:top w:val="single" w:sz="4" w:space="0" w:color="auto"/>
              <w:left w:val="single" w:sz="4" w:space="0" w:color="auto"/>
              <w:bottom w:val="single" w:sz="4" w:space="0" w:color="auto"/>
              <w:right w:val="single" w:sz="4" w:space="0" w:color="auto"/>
            </w:tcBorders>
          </w:tcPr>
          <w:p w14:paraId="5708589D"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0.75 (0.55, 1.01)</w:t>
            </w:r>
          </w:p>
          <w:p w14:paraId="62751970"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(17.5 vs.15.0 months; </w:t>
            </w:r>
          </w:p>
          <w:p w14:paraId="763C56EC" w14:textId="3F8B6A2D" w:rsidR="00047E69" w:rsidRPr="00A71065" w:rsidRDefault="00C210A5" w:rsidP="007E67A5">
            <w:pPr>
              <w:pStyle w:val="a5"/>
              <w:widowControl/>
              <w:jc w:val="center"/>
              <w:rPr>
                <w:rFonts w:cs="Times New Roman"/>
                <w:sz w:val="20"/>
                <w:szCs w:val="20"/>
              </w:rPr>
            </w:pPr>
            <w:r w:rsidRPr="00A71065">
              <w:rPr>
                <w:rFonts w:cs="Times New Roman"/>
                <w:sz w:val="20"/>
                <w:szCs w:val="20"/>
              </w:rPr>
              <w:t>p = 0.0584)</w:t>
            </w:r>
          </w:p>
        </w:tc>
      </w:tr>
      <w:tr w:rsidR="00A27683" w:rsidRPr="00A71065" w14:paraId="416C52B5" w14:textId="77777777" w:rsidTr="004228B0">
        <w:tc>
          <w:tcPr>
            <w:tcW w:w="766" w:type="pct"/>
            <w:vMerge/>
            <w:tcBorders>
              <w:top w:val="single" w:sz="4" w:space="0" w:color="auto"/>
              <w:left w:val="single" w:sz="4" w:space="0" w:color="auto"/>
              <w:bottom w:val="single" w:sz="4" w:space="0" w:color="auto"/>
              <w:right w:val="single" w:sz="4" w:space="0" w:color="auto"/>
            </w:tcBorders>
          </w:tcPr>
          <w:p w14:paraId="34CCF398" w14:textId="77777777" w:rsidR="00047E69" w:rsidRPr="00A71065" w:rsidRDefault="00047E69" w:rsidP="007E67A5">
            <w:pPr>
              <w:pStyle w:val="a5"/>
              <w:widowControl/>
              <w:rPr>
                <w:rFonts w:cs="Times New Roman"/>
                <w:sz w:val="20"/>
                <w:szCs w:val="20"/>
              </w:rPr>
            </w:pPr>
          </w:p>
        </w:tc>
        <w:tc>
          <w:tcPr>
            <w:tcW w:w="1008" w:type="pct"/>
            <w:tcBorders>
              <w:top w:val="single" w:sz="4" w:space="0" w:color="auto"/>
              <w:left w:val="single" w:sz="4" w:space="0" w:color="auto"/>
              <w:bottom w:val="single" w:sz="4" w:space="0" w:color="auto"/>
              <w:right w:val="single" w:sz="4" w:space="0" w:color="auto"/>
            </w:tcBorders>
          </w:tcPr>
          <w:p w14:paraId="35A9D2B4"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Topotecan+</w:t>
            </w:r>
            <w:r w:rsidRPr="00A71065">
              <w:rPr>
                <w:rFonts w:cs="Times New Roman"/>
                <w:sz w:val="20"/>
                <w:szCs w:val="20"/>
              </w:rPr>
              <w:br/>
              <w:t>Paclitaxel</w:t>
            </w:r>
          </w:p>
        </w:tc>
        <w:tc>
          <w:tcPr>
            <w:tcW w:w="1506" w:type="pct"/>
            <w:tcBorders>
              <w:top w:val="single" w:sz="4" w:space="0" w:color="auto"/>
              <w:left w:val="single" w:sz="4" w:space="0" w:color="auto"/>
              <w:bottom w:val="single" w:sz="4" w:space="0" w:color="auto"/>
              <w:right w:val="single" w:sz="4" w:space="0" w:color="auto"/>
            </w:tcBorders>
          </w:tcPr>
          <w:p w14:paraId="4F051DFA"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0.76 (0.55, 1.06)</w:t>
            </w:r>
          </w:p>
          <w:p w14:paraId="75832B50"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(14.9 vs. 11.9 months; </w:t>
            </w:r>
          </w:p>
          <w:p w14:paraId="125BF0D1" w14:textId="4E462EED" w:rsidR="00047E69" w:rsidRPr="00A71065" w:rsidRDefault="00C210A5" w:rsidP="007E67A5">
            <w:pPr>
              <w:pStyle w:val="a5"/>
              <w:widowControl/>
              <w:jc w:val="center"/>
              <w:rPr>
                <w:rFonts w:cs="Times New Roman"/>
                <w:sz w:val="20"/>
                <w:szCs w:val="20"/>
              </w:rPr>
            </w:pPr>
            <w:r w:rsidRPr="00A71065">
              <w:rPr>
                <w:rFonts w:cs="Times New Roman"/>
                <w:sz w:val="20"/>
                <w:szCs w:val="20"/>
              </w:rPr>
              <w:t>p = 0.1061)</w:t>
            </w:r>
          </w:p>
        </w:tc>
        <w:tc>
          <w:tcPr>
            <w:tcW w:w="1720" w:type="pct"/>
            <w:tcBorders>
              <w:top w:val="single" w:sz="4" w:space="0" w:color="auto"/>
              <w:left w:val="single" w:sz="4" w:space="0" w:color="auto"/>
              <w:bottom w:val="single" w:sz="4" w:space="0" w:color="auto"/>
              <w:right w:val="single" w:sz="4" w:space="0" w:color="auto"/>
            </w:tcBorders>
          </w:tcPr>
          <w:p w14:paraId="6C32321A"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0.79 (0.59, 1.07)</w:t>
            </w:r>
          </w:p>
          <w:p w14:paraId="73A942AE" w14:textId="77777777" w:rsidR="0079332C" w:rsidRPr="00A71065" w:rsidRDefault="00C210A5" w:rsidP="007E67A5">
            <w:pPr>
              <w:pStyle w:val="a5"/>
              <w:widowControl/>
              <w:jc w:val="center"/>
              <w:rPr>
                <w:rFonts w:eastAsiaTheme="minorEastAsia" w:cs="Times New Roman"/>
                <w:sz w:val="20"/>
                <w:szCs w:val="20"/>
                <w:lang w:eastAsia="ko-KR"/>
              </w:rPr>
            </w:pPr>
            <w:r w:rsidRPr="00A71065">
              <w:rPr>
                <w:rFonts w:eastAsiaTheme="minorEastAsia" w:cs="Times New Roman"/>
                <w:sz w:val="20"/>
                <w:szCs w:val="20"/>
                <w:lang w:eastAsia="ko-KR"/>
              </w:rPr>
              <w:t xml:space="preserve">(16.2 vs. 12.0 months; </w:t>
            </w:r>
          </w:p>
          <w:p w14:paraId="5CB907C7" w14:textId="754BAFEE" w:rsidR="00047E69" w:rsidRPr="00A71065" w:rsidRDefault="00C210A5" w:rsidP="007E67A5">
            <w:pPr>
              <w:pStyle w:val="a5"/>
              <w:widowControl/>
              <w:jc w:val="center"/>
              <w:rPr>
                <w:rFonts w:eastAsiaTheme="minorEastAsia" w:cs="Times New Roman"/>
                <w:sz w:val="20"/>
                <w:szCs w:val="20"/>
                <w:lang w:eastAsia="ko-KR"/>
              </w:rPr>
            </w:pPr>
            <w:r w:rsidRPr="00A71065">
              <w:rPr>
                <w:rFonts w:eastAsiaTheme="minorEastAsia" w:cs="Times New Roman"/>
                <w:sz w:val="20"/>
                <w:szCs w:val="20"/>
                <w:lang w:eastAsia="ko-KR"/>
              </w:rPr>
              <w:t>p = 0.1342)</w:t>
            </w:r>
          </w:p>
        </w:tc>
      </w:tr>
      <w:tr w:rsidR="00A27683" w:rsidRPr="00A71065" w14:paraId="0CFD9C45" w14:textId="77777777" w:rsidTr="004228B0">
        <w:tc>
          <w:tcPr>
            <w:tcW w:w="766" w:type="pct"/>
            <w:vMerge w:val="restart"/>
            <w:tcBorders>
              <w:top w:val="single" w:sz="4" w:space="0" w:color="auto"/>
              <w:left w:val="single" w:sz="4" w:space="0" w:color="auto"/>
              <w:bottom w:val="single" w:sz="4" w:space="0" w:color="auto"/>
              <w:right w:val="single" w:sz="4" w:space="0" w:color="auto"/>
            </w:tcBorders>
          </w:tcPr>
          <w:p w14:paraId="73ADB56E" w14:textId="21D4C656" w:rsidR="00047E69" w:rsidRPr="00A71065" w:rsidRDefault="00C210A5" w:rsidP="007E67A5">
            <w:pPr>
              <w:pStyle w:val="a5"/>
              <w:widowControl/>
              <w:rPr>
                <w:rFonts w:cs="Times New Roman"/>
                <w:sz w:val="20"/>
                <w:szCs w:val="20"/>
              </w:rPr>
            </w:pPr>
            <w:r w:rsidRPr="00A71065">
              <w:rPr>
                <w:rFonts w:cs="Times New Roman"/>
                <w:sz w:val="20"/>
                <w:szCs w:val="20"/>
              </w:rPr>
              <w:t>Topotecan+ Paclitaxel vs. Cisplatin+</w:t>
            </w:r>
            <w:r w:rsidRPr="00A71065">
              <w:rPr>
                <w:rFonts w:cs="Times New Roman"/>
                <w:sz w:val="20"/>
                <w:szCs w:val="20"/>
              </w:rPr>
              <w:br/>
              <w:t>Paclitaxel</w:t>
            </w:r>
          </w:p>
        </w:tc>
        <w:tc>
          <w:tcPr>
            <w:tcW w:w="1008" w:type="pct"/>
            <w:tcBorders>
              <w:top w:val="single" w:sz="4" w:space="0" w:color="auto"/>
              <w:left w:val="single" w:sz="4" w:space="0" w:color="auto"/>
              <w:bottom w:val="single" w:sz="4" w:space="0" w:color="auto"/>
              <w:right w:val="single" w:sz="4" w:space="0" w:color="auto"/>
            </w:tcBorders>
          </w:tcPr>
          <w:p w14:paraId="6A162855"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Bevacizumab</w:t>
            </w:r>
          </w:p>
        </w:tc>
        <w:tc>
          <w:tcPr>
            <w:tcW w:w="1506" w:type="pct"/>
            <w:tcBorders>
              <w:top w:val="single" w:sz="4" w:space="0" w:color="auto"/>
              <w:left w:val="single" w:sz="4" w:space="0" w:color="auto"/>
              <w:bottom w:val="single" w:sz="4" w:space="0" w:color="auto"/>
              <w:right w:val="single" w:sz="4" w:space="0" w:color="auto"/>
            </w:tcBorders>
          </w:tcPr>
          <w:p w14:paraId="6F1629F4"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1.15 (0.82, 1.61)</w:t>
            </w:r>
          </w:p>
          <w:p w14:paraId="21CAC938"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(14.9 vs. 17.5 months; </w:t>
            </w:r>
          </w:p>
          <w:p w14:paraId="4054771E" w14:textId="0A5CB650" w:rsidR="00047E69" w:rsidRPr="00A71065" w:rsidRDefault="00C210A5" w:rsidP="007E67A5">
            <w:pPr>
              <w:pStyle w:val="a5"/>
              <w:widowControl/>
              <w:jc w:val="center"/>
              <w:rPr>
                <w:rFonts w:cs="Times New Roman"/>
                <w:sz w:val="20"/>
                <w:szCs w:val="20"/>
              </w:rPr>
            </w:pPr>
            <w:r w:rsidRPr="00A71065">
              <w:rPr>
                <w:rFonts w:cs="Times New Roman"/>
                <w:sz w:val="20"/>
                <w:szCs w:val="20"/>
              </w:rPr>
              <w:t>p = 0.4146)</w:t>
            </w:r>
          </w:p>
        </w:tc>
        <w:tc>
          <w:tcPr>
            <w:tcW w:w="1720" w:type="pct"/>
            <w:tcBorders>
              <w:top w:val="single" w:sz="4" w:space="0" w:color="auto"/>
              <w:left w:val="single" w:sz="4" w:space="0" w:color="auto"/>
              <w:bottom w:val="single" w:sz="4" w:space="0" w:color="auto"/>
              <w:right w:val="single" w:sz="4" w:space="0" w:color="auto"/>
            </w:tcBorders>
          </w:tcPr>
          <w:p w14:paraId="036A8EF2"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1.15 (0.85, 1.56)</w:t>
            </w:r>
          </w:p>
          <w:p w14:paraId="2332EC25"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(16.2 vs 17.5 months; </w:t>
            </w:r>
          </w:p>
          <w:p w14:paraId="29FA939C" w14:textId="60AB3591" w:rsidR="00047E69" w:rsidRPr="00A71065" w:rsidRDefault="00C210A5" w:rsidP="007E67A5">
            <w:pPr>
              <w:pStyle w:val="a5"/>
              <w:widowControl/>
              <w:jc w:val="center"/>
              <w:rPr>
                <w:rFonts w:cs="Times New Roman"/>
                <w:sz w:val="20"/>
                <w:szCs w:val="20"/>
              </w:rPr>
            </w:pPr>
            <w:r w:rsidRPr="00A71065">
              <w:rPr>
                <w:rFonts w:cs="Times New Roman"/>
                <w:sz w:val="20"/>
                <w:szCs w:val="20"/>
              </w:rPr>
              <w:t>p = 0.3769)</w:t>
            </w:r>
          </w:p>
        </w:tc>
      </w:tr>
      <w:tr w:rsidR="00A27683" w:rsidRPr="00A71065" w14:paraId="6C6D68E7" w14:textId="77777777" w:rsidTr="004228B0">
        <w:tc>
          <w:tcPr>
            <w:tcW w:w="766" w:type="pct"/>
            <w:vMerge/>
            <w:tcBorders>
              <w:top w:val="single" w:sz="4" w:space="0" w:color="auto"/>
              <w:left w:val="single" w:sz="4" w:space="0" w:color="auto"/>
              <w:bottom w:val="single" w:sz="4" w:space="0" w:color="auto"/>
              <w:right w:val="single" w:sz="4" w:space="0" w:color="auto"/>
            </w:tcBorders>
          </w:tcPr>
          <w:p w14:paraId="7860B950" w14:textId="77777777" w:rsidR="00047E69" w:rsidRPr="00A71065" w:rsidRDefault="00047E69" w:rsidP="007E67A5">
            <w:pPr>
              <w:pStyle w:val="a5"/>
              <w:widowControl/>
              <w:rPr>
                <w:rFonts w:cs="Times New Roman"/>
                <w:sz w:val="20"/>
                <w:szCs w:val="20"/>
              </w:rPr>
            </w:pPr>
          </w:p>
        </w:tc>
        <w:tc>
          <w:tcPr>
            <w:tcW w:w="1008" w:type="pct"/>
            <w:tcBorders>
              <w:top w:val="single" w:sz="4" w:space="0" w:color="auto"/>
              <w:left w:val="single" w:sz="4" w:space="0" w:color="auto"/>
              <w:bottom w:val="single" w:sz="4" w:space="0" w:color="auto"/>
              <w:right w:val="single" w:sz="4" w:space="0" w:color="auto"/>
            </w:tcBorders>
          </w:tcPr>
          <w:p w14:paraId="31B21F62"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No Bevacizumab</w:t>
            </w:r>
          </w:p>
        </w:tc>
        <w:tc>
          <w:tcPr>
            <w:tcW w:w="1506" w:type="pct"/>
            <w:tcBorders>
              <w:top w:val="single" w:sz="4" w:space="0" w:color="auto"/>
              <w:left w:val="single" w:sz="4" w:space="0" w:color="auto"/>
              <w:bottom w:val="single" w:sz="4" w:space="0" w:color="auto"/>
              <w:right w:val="single" w:sz="4" w:space="0" w:color="auto"/>
            </w:tcBorders>
          </w:tcPr>
          <w:p w14:paraId="196ACD0B"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1.13 (0.81, 1.57)</w:t>
            </w:r>
          </w:p>
          <w:p w14:paraId="0038AF47"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(11.9 vs.14.3 months; </w:t>
            </w:r>
          </w:p>
          <w:p w14:paraId="3148DBB0" w14:textId="58564241" w:rsidR="00047E69" w:rsidRPr="00A71065" w:rsidRDefault="00C210A5" w:rsidP="007E67A5">
            <w:pPr>
              <w:pStyle w:val="a5"/>
              <w:widowControl/>
              <w:jc w:val="center"/>
              <w:rPr>
                <w:rFonts w:cs="Times New Roman"/>
                <w:sz w:val="20"/>
                <w:szCs w:val="20"/>
              </w:rPr>
            </w:pPr>
            <w:r w:rsidRPr="00A71065">
              <w:rPr>
                <w:rFonts w:cs="Times New Roman"/>
                <w:sz w:val="20"/>
                <w:szCs w:val="20"/>
              </w:rPr>
              <w:t>p = 0.4825)</w:t>
            </w:r>
          </w:p>
        </w:tc>
        <w:tc>
          <w:tcPr>
            <w:tcW w:w="1720" w:type="pct"/>
            <w:tcBorders>
              <w:top w:val="single" w:sz="4" w:space="0" w:color="auto"/>
              <w:left w:val="single" w:sz="4" w:space="0" w:color="auto"/>
              <w:bottom w:val="single" w:sz="4" w:space="0" w:color="auto"/>
              <w:right w:val="single" w:sz="4" w:space="0" w:color="auto"/>
            </w:tcBorders>
          </w:tcPr>
          <w:p w14:paraId="5320CDB9" w14:textId="77777777" w:rsidR="00047E69" w:rsidRPr="00A71065" w:rsidRDefault="00C210A5" w:rsidP="007E67A5">
            <w:pPr>
              <w:pStyle w:val="a5"/>
              <w:widowControl/>
              <w:jc w:val="center"/>
              <w:rPr>
                <w:rFonts w:cs="Times New Roman"/>
                <w:sz w:val="20"/>
                <w:szCs w:val="20"/>
              </w:rPr>
            </w:pPr>
            <w:r w:rsidRPr="00A71065">
              <w:rPr>
                <w:rFonts w:cs="Times New Roman"/>
                <w:sz w:val="20"/>
                <w:szCs w:val="20"/>
              </w:rPr>
              <w:t>1.08 (0.80, 1.45)</w:t>
            </w:r>
          </w:p>
          <w:p w14:paraId="6C88A7AE" w14:textId="77777777" w:rsidR="0079332C" w:rsidRPr="00A71065" w:rsidRDefault="00C210A5" w:rsidP="007E67A5">
            <w:pPr>
              <w:pStyle w:val="a5"/>
              <w:widowControl/>
              <w:jc w:val="center"/>
              <w:rPr>
                <w:rFonts w:cs="Times New Roman"/>
                <w:sz w:val="20"/>
                <w:szCs w:val="20"/>
              </w:rPr>
            </w:pPr>
            <w:r w:rsidRPr="00A71065">
              <w:rPr>
                <w:rFonts w:cs="Times New Roman"/>
                <w:sz w:val="20"/>
                <w:szCs w:val="20"/>
              </w:rPr>
              <w:t xml:space="preserve">(12.0 vs 15.0 months; </w:t>
            </w:r>
          </w:p>
          <w:p w14:paraId="2C81036E" w14:textId="04B9F214" w:rsidR="00047E69" w:rsidRPr="00A71065" w:rsidRDefault="00C210A5" w:rsidP="007E67A5">
            <w:pPr>
              <w:pStyle w:val="a5"/>
              <w:widowControl/>
              <w:jc w:val="center"/>
              <w:rPr>
                <w:rFonts w:cs="Times New Roman"/>
                <w:sz w:val="20"/>
                <w:szCs w:val="20"/>
              </w:rPr>
            </w:pPr>
            <w:r w:rsidRPr="00A71065">
              <w:rPr>
                <w:rFonts w:cs="Times New Roman"/>
                <w:sz w:val="20"/>
                <w:szCs w:val="20"/>
              </w:rPr>
              <w:t>p = 0.6267)</w:t>
            </w:r>
          </w:p>
        </w:tc>
      </w:tr>
    </w:tbl>
    <w:p w14:paraId="3C5E4CDF" w14:textId="4A120B69"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1 </w:t>
      </w:r>
      <w:r w:rsidRPr="00A71065">
        <w:rPr>
          <w:rFonts w:ascii="Times New Roman"/>
          <w:sz w:val="20"/>
        </w:rPr>
        <w:t>Primary analysis was performed with a data cut</w:t>
      </w:r>
      <w:r w:rsidR="00FD0731" w:rsidRPr="00A71065">
        <w:rPr>
          <w:rFonts w:ascii="Times New Roman"/>
          <w:sz w:val="20"/>
        </w:rPr>
        <w:noBreakHyphen/>
      </w:r>
      <w:r w:rsidRPr="00A71065">
        <w:rPr>
          <w:rFonts w:ascii="Times New Roman"/>
          <w:sz w:val="20"/>
        </w:rPr>
        <w:t>off date of 12 December 2012 and is considered the final</w:t>
      </w:r>
    </w:p>
    <w:p w14:paraId="08B7D0AC" w14:textId="77777777"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sz w:val="20"/>
        </w:rPr>
        <w:t>analysis</w:t>
      </w:r>
    </w:p>
    <w:p w14:paraId="0ECCF8CE" w14:textId="67E50398" w:rsidR="00047E69" w:rsidRPr="00A71065" w:rsidRDefault="00C210A5" w:rsidP="007E67A5">
      <w:pPr>
        <w:widowControl/>
        <w:adjustRightInd w:val="0"/>
        <w:snapToGrid w:val="0"/>
        <w:rPr>
          <w:rFonts w:ascii="Times New Roman" w:eastAsia="Times New Roman" w:hAnsi="Times New Roman" w:cs="Times New Roman"/>
          <w:sz w:val="20"/>
          <w:szCs w:val="20"/>
        </w:rPr>
      </w:pPr>
      <w:r w:rsidRPr="00A71065">
        <w:rPr>
          <w:rFonts w:ascii="Times New Roman"/>
          <w:position w:val="7"/>
          <w:sz w:val="13"/>
        </w:rPr>
        <w:t xml:space="preserve">2 </w:t>
      </w:r>
      <w:r w:rsidRPr="00A71065">
        <w:rPr>
          <w:rFonts w:ascii="Times New Roman"/>
          <w:sz w:val="20"/>
        </w:rPr>
        <w:t>Follow</w:t>
      </w:r>
      <w:r w:rsidR="00FD0731" w:rsidRPr="00A71065">
        <w:rPr>
          <w:rFonts w:ascii="Times New Roman"/>
          <w:sz w:val="20"/>
        </w:rPr>
        <w:noBreakHyphen/>
      </w:r>
      <w:r w:rsidRPr="00A71065">
        <w:rPr>
          <w:rFonts w:ascii="Times New Roman"/>
          <w:sz w:val="20"/>
        </w:rPr>
        <w:t>up analysis was performed with a data cut</w:t>
      </w:r>
      <w:r w:rsidR="00FD0731" w:rsidRPr="00A71065">
        <w:rPr>
          <w:rFonts w:ascii="Times New Roman"/>
          <w:sz w:val="20"/>
        </w:rPr>
        <w:noBreakHyphen/>
      </w:r>
      <w:r w:rsidRPr="00A71065">
        <w:rPr>
          <w:rFonts w:ascii="Times New Roman"/>
          <w:sz w:val="20"/>
        </w:rPr>
        <w:t>off date of 07 March 2014; all p</w:t>
      </w:r>
      <w:r w:rsidR="00FD0731" w:rsidRPr="00A71065">
        <w:rPr>
          <w:rFonts w:ascii="Times New Roman"/>
          <w:sz w:val="20"/>
        </w:rPr>
        <w:noBreakHyphen/>
      </w:r>
      <w:r w:rsidRPr="00A71065">
        <w:rPr>
          <w:rFonts w:ascii="Times New Roman"/>
          <w:sz w:val="20"/>
        </w:rPr>
        <w:t>values are displayed for descriptive purpose only</w:t>
      </w:r>
    </w:p>
    <w:p w14:paraId="6871B1A7"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6CB9440F" w14:textId="77777777" w:rsidR="00047E69" w:rsidRPr="00A71065" w:rsidRDefault="00C210A5" w:rsidP="007E67A5">
      <w:pPr>
        <w:widowControl/>
        <w:adjustRightInd w:val="0"/>
        <w:snapToGrid w:val="0"/>
        <w:rPr>
          <w:rFonts w:ascii="Times New Roman" w:eastAsia="Times New Roman" w:hAnsi="Times New Roman" w:cs="Times New Roman"/>
          <w:iCs/>
        </w:rPr>
      </w:pPr>
      <w:r w:rsidRPr="00A71065">
        <w:rPr>
          <w:rFonts w:ascii="Times New Roman"/>
          <w:iCs/>
          <w:u w:val="single" w:color="000000"/>
        </w:rPr>
        <w:t>Paediatric population</w:t>
      </w:r>
    </w:p>
    <w:p w14:paraId="1A74DEF9" w14:textId="57C7BE0D" w:rsidR="00047E69" w:rsidRPr="00A71065" w:rsidRDefault="00C210A5" w:rsidP="007E67A5">
      <w:pPr>
        <w:pStyle w:val="a5"/>
        <w:widowControl/>
        <w:adjustRightInd w:val="0"/>
        <w:snapToGrid w:val="0"/>
      </w:pPr>
      <w:r w:rsidRPr="00A71065">
        <w:t>The European Medicines Agency has waived the obligation to submit the results of studies, in all subsets of the paediatric population, in breast carcinoma, adenocarcinoma of the colon and rectum, lung carcinoma (small cell and non</w:t>
      </w:r>
      <w:r w:rsidR="00FD0731" w:rsidRPr="00A71065">
        <w:noBreakHyphen/>
      </w:r>
      <w:r w:rsidRPr="00A71065">
        <w:t>small cell carcinoma), kidney and renal pelvis carcinoma (excluding nephroblastoma, nephroblastomatosis, clear cell sarcoma, mesoblastic nephroma, renal medullary carcinoma and rhabdoid tumour of the kidney), ovarian carcinoma (excluding rhabdomyosarcoma and germ cell tumours), fallopian tube carcinoma (excluding rhabdomyosarcoma and germ cell tumours), peritoneal carcinoma (excluding blastomas and sarcomas) and cervix and corpus uteri carcinoma.</w:t>
      </w:r>
    </w:p>
    <w:p w14:paraId="109AC31D"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1C3BDC0C" w14:textId="24D2DEC7" w:rsidR="00047E69" w:rsidRPr="00A71065" w:rsidRDefault="00C210A5" w:rsidP="007E67A5">
      <w:pPr>
        <w:widowControl/>
        <w:adjustRightInd w:val="0"/>
        <w:snapToGrid w:val="0"/>
        <w:rPr>
          <w:rFonts w:ascii="Times New Roman" w:eastAsia="Times New Roman" w:hAnsi="Times New Roman" w:cs="Times New Roman"/>
          <w:u w:val="single"/>
        </w:rPr>
      </w:pPr>
      <w:r w:rsidRPr="00A71065">
        <w:rPr>
          <w:rFonts w:ascii="Times New Roman"/>
          <w:i/>
          <w:u w:val="single"/>
        </w:rPr>
        <w:t>High</w:t>
      </w:r>
      <w:r w:rsidR="00FD0731" w:rsidRPr="00A71065">
        <w:rPr>
          <w:rFonts w:ascii="Times New Roman"/>
          <w:i/>
          <w:u w:val="single"/>
        </w:rPr>
        <w:noBreakHyphen/>
      </w:r>
      <w:r w:rsidRPr="00A71065">
        <w:rPr>
          <w:rFonts w:ascii="Times New Roman"/>
          <w:i/>
          <w:u w:val="single"/>
        </w:rPr>
        <w:t>grade glioma</w:t>
      </w:r>
    </w:p>
    <w:p w14:paraId="3F7567CA" w14:textId="0E273E12" w:rsidR="00047E69" w:rsidRPr="00A71065" w:rsidRDefault="00C210A5" w:rsidP="007E67A5">
      <w:pPr>
        <w:pStyle w:val="a5"/>
        <w:widowControl/>
        <w:adjustRightInd w:val="0"/>
        <w:snapToGrid w:val="0"/>
      </w:pPr>
      <w:r w:rsidRPr="00A71065">
        <w:t>Anti</w:t>
      </w:r>
      <w:r w:rsidR="00FD0731" w:rsidRPr="00A71065">
        <w:noBreakHyphen/>
      </w:r>
      <w:r w:rsidRPr="00A71065">
        <w:t>tumour activity was not observed in two earlier studies among a total of 30 children aged &gt; 3 years old with relapsed or progressive high</w:t>
      </w:r>
      <w:r w:rsidR="00FD0731" w:rsidRPr="00A71065">
        <w:noBreakHyphen/>
      </w:r>
      <w:r w:rsidRPr="00A71065">
        <w:t>grade glioma when treated with bevacizumab and irinotecan (CPT</w:t>
      </w:r>
      <w:r w:rsidR="00FD0731" w:rsidRPr="00A71065">
        <w:noBreakHyphen/>
      </w:r>
      <w:r w:rsidRPr="00A71065">
        <w:t>11). There is insufficient information to determine the safety and efficacy of bevacizumab in children with newly</w:t>
      </w:r>
      <w:r w:rsidR="00FD0731" w:rsidRPr="00A71065">
        <w:noBreakHyphen/>
      </w:r>
      <w:r w:rsidRPr="00A71065">
        <w:t>diagnosed high</w:t>
      </w:r>
      <w:r w:rsidR="00FD0731" w:rsidRPr="00A71065">
        <w:noBreakHyphen/>
      </w:r>
      <w:r w:rsidRPr="00A71065">
        <w:t>grade glioma.</w:t>
      </w:r>
    </w:p>
    <w:p w14:paraId="161B8967" w14:textId="77777777" w:rsidR="00047E69" w:rsidRPr="00A71065" w:rsidRDefault="00047E69" w:rsidP="007E67A5">
      <w:pPr>
        <w:widowControl/>
        <w:adjustRightInd w:val="0"/>
        <w:snapToGrid w:val="0"/>
        <w:rPr>
          <w:rFonts w:ascii="Times New Roman" w:eastAsia="Times New Roman" w:hAnsi="Times New Roman" w:cs="Times New Roman"/>
        </w:rPr>
      </w:pPr>
    </w:p>
    <w:p w14:paraId="3972DFCD" w14:textId="002C03E8" w:rsidR="00047E69" w:rsidRPr="00A71065" w:rsidRDefault="00C210A5" w:rsidP="007E67A5">
      <w:pPr>
        <w:pStyle w:val="a5"/>
        <w:widowControl/>
        <w:numPr>
          <w:ilvl w:val="2"/>
          <w:numId w:val="7"/>
        </w:numPr>
        <w:tabs>
          <w:tab w:val="left" w:pos="836"/>
        </w:tabs>
        <w:adjustRightInd w:val="0"/>
        <w:snapToGrid w:val="0"/>
        <w:ind w:left="567" w:hanging="567"/>
      </w:pPr>
      <w:r w:rsidRPr="00A71065">
        <w:t>In a single</w:t>
      </w:r>
      <w:r w:rsidR="00FD0731" w:rsidRPr="00A71065">
        <w:noBreakHyphen/>
      </w:r>
      <w:r w:rsidRPr="00A71065">
        <w:t>arm study (PBTC</w:t>
      </w:r>
      <w:r w:rsidR="00FD0731" w:rsidRPr="00A71065">
        <w:noBreakHyphen/>
      </w:r>
      <w:r w:rsidRPr="00A71065">
        <w:t>022), 18 children with recurrent or progressive non</w:t>
      </w:r>
      <w:r w:rsidR="00FD0731" w:rsidRPr="00A71065">
        <w:noBreakHyphen/>
      </w:r>
      <w:r w:rsidRPr="00A71065">
        <w:t>pontine high</w:t>
      </w:r>
      <w:r w:rsidR="00FD0731" w:rsidRPr="00A71065">
        <w:noBreakHyphen/>
      </w:r>
      <w:r w:rsidRPr="00A71065">
        <w:t>grade glioma (including 8 with glioblastoma [WHO Grade IV], 9 with anaplastic astrocytoma [Grade III] and 1 with anaplastic oligodendroglioma [Grade III]) were treated with bevacizumab (10 mg/kg) two weeks apart and then with bevacizumab in combination with CPT</w:t>
      </w:r>
      <w:r w:rsidR="00FD0731" w:rsidRPr="00A71065">
        <w:noBreakHyphen/>
      </w:r>
      <w:r w:rsidRPr="00A71065">
        <w:t>11 (125-350 mg/m²) once every two weeks until progression. There were no objective (partial or complete) radiological responses (MacDonald criteria). Toxicity and adverse reactions included arterial hypertension and fatigue as well as CNS ischaemia with acute neurological deficit.</w:t>
      </w:r>
    </w:p>
    <w:p w14:paraId="07009BD6" w14:textId="77777777" w:rsidR="00047E69" w:rsidRPr="00A71065" w:rsidRDefault="00047E69" w:rsidP="007E67A5">
      <w:pPr>
        <w:widowControl/>
        <w:adjustRightInd w:val="0"/>
        <w:snapToGrid w:val="0"/>
        <w:ind w:left="567" w:hanging="567"/>
        <w:rPr>
          <w:rFonts w:ascii="Times New Roman" w:eastAsia="Times New Roman" w:hAnsi="Times New Roman" w:cs="Times New Roman"/>
        </w:rPr>
      </w:pPr>
    </w:p>
    <w:p w14:paraId="3D67047C" w14:textId="339E78E1" w:rsidR="00047E69" w:rsidRPr="00A71065" w:rsidRDefault="00C210A5" w:rsidP="007E67A5">
      <w:pPr>
        <w:pStyle w:val="a5"/>
        <w:widowControl/>
        <w:numPr>
          <w:ilvl w:val="2"/>
          <w:numId w:val="7"/>
        </w:numPr>
        <w:tabs>
          <w:tab w:val="left" w:pos="831"/>
        </w:tabs>
        <w:adjustRightInd w:val="0"/>
        <w:snapToGrid w:val="0"/>
        <w:ind w:left="567" w:hanging="567"/>
      </w:pPr>
      <w:r w:rsidRPr="00A71065">
        <w:t>In a retrospective single institution series, 12 consecutive (2005 to 2008) children with relapsed or progressive high</w:t>
      </w:r>
      <w:r w:rsidR="00FD0731" w:rsidRPr="00A71065">
        <w:noBreakHyphen/>
      </w:r>
      <w:r w:rsidRPr="00A71065">
        <w:t xml:space="preserve">grade glioma (3 with WHO Grade IV, 9 with Grade III) were treated with </w:t>
      </w:r>
      <w:r w:rsidRPr="00A71065">
        <w:lastRenderedPageBreak/>
        <w:t>bevacizumab (10 mg/kg) and irinotecan (125 mg/m²) every 2 weeks. There were no complete responses and 2 partial responses (MacDonald criteria).</w:t>
      </w:r>
    </w:p>
    <w:p w14:paraId="3423D52D"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5DB5E7CD" w14:textId="71252381" w:rsidR="00047E69" w:rsidRPr="00A71065" w:rsidRDefault="00C210A5" w:rsidP="007E67A5">
      <w:pPr>
        <w:pStyle w:val="a5"/>
        <w:widowControl/>
        <w:adjustRightInd w:val="0"/>
        <w:snapToGrid w:val="0"/>
      </w:pPr>
      <w:r w:rsidRPr="00A71065">
        <w:t>In a randomized phase II study (BO25041</w:t>
      </w:r>
      <w:r w:rsidRPr="00A71065">
        <w:rPr>
          <w:rFonts w:cs="Times New Roman"/>
        </w:rPr>
        <w:t xml:space="preserve">) a total of 121 patients aged ≥ 3 years to &lt;18 years with </w:t>
      </w:r>
      <w:r w:rsidRPr="00A71065">
        <w:t>newly diagnosed supratentorial or infratentorial cerebellar or peduncular high</w:t>
      </w:r>
      <w:r w:rsidR="00FD0731" w:rsidRPr="00A71065">
        <w:noBreakHyphen/>
      </w:r>
      <w:r w:rsidRPr="00A71065">
        <w:t xml:space="preserve">grade glioma (HGG) were treated with post operative radiation therapy (RT) and adjuvant temozolomide (T) with and without bevacizumab: 10 mg/kg every 2 weeks </w:t>
      </w:r>
      <w:r w:rsidR="005603A9" w:rsidRPr="00A71065">
        <w:t>intravenous</w:t>
      </w:r>
      <w:r w:rsidRPr="00A71065">
        <w:t>.</w:t>
      </w:r>
    </w:p>
    <w:p w14:paraId="6F25F889" w14:textId="77777777" w:rsidR="00A135EE" w:rsidRPr="00A71065" w:rsidRDefault="00A135EE" w:rsidP="007E67A5">
      <w:pPr>
        <w:pStyle w:val="a5"/>
        <w:widowControl/>
        <w:adjustRightInd w:val="0"/>
        <w:snapToGrid w:val="0"/>
      </w:pPr>
    </w:p>
    <w:p w14:paraId="2DADACEE" w14:textId="46706CDB" w:rsidR="00047E69" w:rsidRPr="00A71065" w:rsidRDefault="00C210A5" w:rsidP="007E67A5">
      <w:pPr>
        <w:pStyle w:val="a5"/>
        <w:widowControl/>
        <w:adjustRightInd w:val="0"/>
        <w:snapToGrid w:val="0"/>
      </w:pPr>
      <w:r w:rsidRPr="00A71065">
        <w:t>The study did not meet its primary endpoint of demonstrating a significant improvement of EFS (Central Radiology Review Committee (CRRC)</w:t>
      </w:r>
      <w:r w:rsidR="00FD0731" w:rsidRPr="00A71065">
        <w:noBreakHyphen/>
      </w:r>
      <w:r w:rsidRPr="00A71065">
        <w:t xml:space="preserve">assessed) when bevacizumab was added to the RT/T arm compared with RT/T alone (HR </w:t>
      </w:r>
      <w:r w:rsidRPr="00A71065">
        <w:rPr>
          <w:rFonts w:ascii="Symbol" w:eastAsia="Symbol" w:hAnsi="Symbol" w:cs="Symbol"/>
        </w:rPr>
        <w:sym w:font="Symbol" w:char="F03D"/>
      </w:r>
      <w:r w:rsidRPr="00A71065">
        <w:rPr>
          <w:rFonts w:ascii="Symbol" w:eastAsia="Symbol" w:hAnsi="Symbol" w:cs="Symbol"/>
        </w:rPr>
        <w:sym w:font="Symbol" w:char="F020"/>
      </w:r>
      <w:r w:rsidRPr="00A71065">
        <w:t>1.44; 95% CI: 0.90, 2.30). These results were consistent with those from various sensitivity analyses and in clinically relevant subgroups. The results for all secondary endpoints (investigator assessed EFS, and ORR and OS) were consistent in showing no improvement associated with the addition of bevacizumab to the RT/T arm compared with the RT/T arm alone.</w:t>
      </w:r>
    </w:p>
    <w:p w14:paraId="7ACFEA7E"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1563E148" w14:textId="25D0B1D0" w:rsidR="00047E69" w:rsidRPr="00A71065" w:rsidRDefault="00C210A5" w:rsidP="007E67A5">
      <w:pPr>
        <w:pStyle w:val="a5"/>
        <w:widowControl/>
        <w:adjustRightInd w:val="0"/>
        <w:snapToGrid w:val="0"/>
      </w:pPr>
      <w:r w:rsidRPr="00A71065">
        <w:t>Addition of bevacizumab to RT/T did not demonstrate clinical benefit in study BO25041 in 60 evaluable children patients with newly diagnosed supratentorial or infratentorial cerebellar or peduncular high</w:t>
      </w:r>
      <w:r w:rsidR="00FD0731" w:rsidRPr="00A71065">
        <w:noBreakHyphen/>
      </w:r>
      <w:r w:rsidRPr="00A71065">
        <w:t>grade glioma (HGG) (</w:t>
      </w:r>
      <w:r w:rsidR="00E67ADA" w:rsidRPr="00A71065">
        <w:t>s</w:t>
      </w:r>
      <w:r w:rsidRPr="00A71065">
        <w:t>ee section 4.2 for information on paediatric use).</w:t>
      </w:r>
    </w:p>
    <w:p w14:paraId="33C64439" w14:textId="77777777" w:rsidR="00047E69" w:rsidRPr="00A71065" w:rsidRDefault="00047E69" w:rsidP="007E67A5">
      <w:pPr>
        <w:widowControl/>
        <w:adjustRightInd w:val="0"/>
        <w:snapToGrid w:val="0"/>
        <w:rPr>
          <w:rFonts w:ascii="Times New Roman" w:eastAsia="Times New Roman" w:hAnsi="Times New Roman" w:cs="Times New Roman"/>
        </w:rPr>
      </w:pPr>
    </w:p>
    <w:p w14:paraId="583419F8" w14:textId="77777777" w:rsidR="00047E69" w:rsidRPr="00A71065" w:rsidRDefault="00C210A5" w:rsidP="007E67A5">
      <w:pPr>
        <w:widowControl/>
        <w:adjustRightInd w:val="0"/>
        <w:snapToGrid w:val="0"/>
        <w:rPr>
          <w:rFonts w:ascii="Times New Roman" w:eastAsia="Times New Roman" w:hAnsi="Times New Roman" w:cs="Times New Roman"/>
          <w:u w:val="single"/>
        </w:rPr>
      </w:pPr>
      <w:r w:rsidRPr="00A71065">
        <w:rPr>
          <w:rFonts w:ascii="Times New Roman"/>
          <w:i/>
          <w:u w:val="single"/>
        </w:rPr>
        <w:t>Soft tissue sarcoma</w:t>
      </w:r>
    </w:p>
    <w:p w14:paraId="5299D115" w14:textId="77777777" w:rsidR="00305E80" w:rsidRPr="00A71065" w:rsidRDefault="00C210A5" w:rsidP="007E67A5">
      <w:pPr>
        <w:pStyle w:val="a5"/>
        <w:widowControl/>
        <w:adjustRightInd w:val="0"/>
        <w:snapToGrid w:val="0"/>
      </w:pPr>
      <w:r w:rsidRPr="00A71065">
        <w:rPr>
          <w:rFonts w:cs="Times New Roman"/>
        </w:rPr>
        <w:t xml:space="preserve">In a randomized phase II study (BO20924) a total of 154 patients aged ≥ 6 months to &lt;18 years with </w:t>
      </w:r>
      <w:r w:rsidRPr="00A71065">
        <w:t>newly diagnosed metastatic rhabdomyosarcoma and non</w:t>
      </w:r>
      <w:r w:rsidR="00FD0731" w:rsidRPr="00A71065">
        <w:noBreakHyphen/>
      </w:r>
      <w:r w:rsidRPr="00A71065">
        <w:t>rhabdomyosarcoma soft tissue sarcoma were</w:t>
      </w:r>
      <w:r w:rsidR="00305E80" w:rsidRPr="00A71065">
        <w:t xml:space="preserve"> </w:t>
      </w:r>
      <w:r w:rsidRPr="00A71065">
        <w:t>treated with standard of care (Induction IVADO/IVA</w:t>
      </w:r>
      <w:bookmarkStart w:id="9" w:name="_Hlk103946115"/>
      <w:r w:rsidR="00FD0731" w:rsidRPr="00A71065">
        <w:rPr>
          <w:rFonts w:cs="Times New Roman"/>
        </w:rPr>
        <w:t>±</w:t>
      </w:r>
      <w:bookmarkEnd w:id="9"/>
      <w:r w:rsidRPr="00A71065">
        <w:t xml:space="preserve"> local therapy followed by Maintenance Vinorelbine and cyclophosphamide) with or without bevacizumab (2.5 mg/kg/week) for a total duration of treatment of approximately 18 months. At the time of the final primary analysis, the primary endpoint of EFS by independent central review did not show a statistically significant difference between the two treatment arms, with HR of 0.93 (95% CI: 0.61, 1.41; p</w:t>
      </w:r>
      <w:r w:rsidR="00FD0731" w:rsidRPr="00A71065">
        <w:noBreakHyphen/>
      </w:r>
      <w:r w:rsidRPr="00A71065">
        <w:t xml:space="preserve">value </w:t>
      </w:r>
      <w:r w:rsidRPr="00A71065">
        <w:sym w:font="Symbol" w:char="F03D"/>
      </w:r>
      <w:r w:rsidRPr="00A71065">
        <w:rPr>
          <w:rFonts w:ascii="Symbol" w:eastAsia="Symbol" w:hAnsi="Symbol" w:cs="Symbol"/>
        </w:rPr>
        <w:sym w:font="Symbol" w:char="F020"/>
      </w:r>
      <w:r w:rsidRPr="00A71065">
        <w:t>0.72).</w:t>
      </w:r>
      <w:r w:rsidR="00305E80" w:rsidRPr="00A71065">
        <w:t xml:space="preserve"> </w:t>
      </w:r>
    </w:p>
    <w:p w14:paraId="2BC8C783" w14:textId="77777777" w:rsidR="00305E80" w:rsidRPr="00A71065" w:rsidRDefault="00305E80" w:rsidP="007E67A5">
      <w:pPr>
        <w:pStyle w:val="a5"/>
        <w:widowControl/>
        <w:adjustRightInd w:val="0"/>
        <w:snapToGrid w:val="0"/>
      </w:pPr>
    </w:p>
    <w:p w14:paraId="48890AB8" w14:textId="71F70006" w:rsidR="00047E69" w:rsidRPr="00A71065" w:rsidRDefault="00C210A5" w:rsidP="007E67A5">
      <w:pPr>
        <w:pStyle w:val="a5"/>
        <w:widowControl/>
        <w:adjustRightInd w:val="0"/>
        <w:snapToGrid w:val="0"/>
      </w:pPr>
      <w:r w:rsidRPr="00A71065">
        <w:t xml:space="preserve">The difference in ORR per independent central review was 18% (CI: 0.6%, 35.3%) between the two treatment arms in the few patients who had evaluable tumor at baseline and had a confirmed response prior to receiving any local therapy : 27/75 patients (36.0%, 95% CI: 25.2%, 47.9%) in the Chemo arm and 34/63 patients (54.0%, 95% CI: 40.9%, 66.6%) in the Bv </w:t>
      </w:r>
      <w:r w:rsidRPr="00A71065">
        <w:rPr>
          <w:rFonts w:ascii="Symbol" w:eastAsia="Symbol" w:hAnsi="Symbol" w:cs="Symbol"/>
        </w:rPr>
        <w:sym w:font="Symbol" w:char="F02B"/>
      </w:r>
      <w:r w:rsidRPr="00A71065">
        <w:rPr>
          <w:rFonts w:ascii="Symbol" w:eastAsia="Symbol" w:hAnsi="Symbol" w:cs="Symbol"/>
        </w:rPr>
        <w:sym w:font="Symbol" w:char="F020"/>
      </w:r>
      <w:r w:rsidRPr="00A71065">
        <w:t>Chemo arm. The final OS analyses showed no significant clinical benefit from addition of bevacizumab to chemotherapy in this patient population.</w:t>
      </w:r>
    </w:p>
    <w:p w14:paraId="4C6D0A30"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0E2CA902" w14:textId="4836A701" w:rsidR="00047E69" w:rsidRPr="00A71065" w:rsidRDefault="00C210A5" w:rsidP="007E67A5">
      <w:pPr>
        <w:pStyle w:val="a5"/>
        <w:widowControl/>
        <w:adjustRightInd w:val="0"/>
        <w:snapToGrid w:val="0"/>
      </w:pPr>
      <w:r w:rsidRPr="00A71065">
        <w:t>Addition of bevacizumab to standard of care did not demonstrate clinical benefit in clinical trial BO20924, in 71 evaluable children (from age 6 months to less than 18 years old) patients with metastatic Rhabdomyosarcoma and non</w:t>
      </w:r>
      <w:r w:rsidR="00FD0731" w:rsidRPr="00A71065">
        <w:noBreakHyphen/>
      </w:r>
      <w:r w:rsidR="00585B9E" w:rsidRPr="00A71065">
        <w:t>r</w:t>
      </w:r>
      <w:r w:rsidRPr="00A71065">
        <w:t xml:space="preserve">habdomyosarcoma </w:t>
      </w:r>
      <w:r w:rsidR="00585B9E" w:rsidRPr="00A71065">
        <w:t>s</w:t>
      </w:r>
      <w:r w:rsidRPr="00A71065">
        <w:t xml:space="preserve">oft </w:t>
      </w:r>
      <w:r w:rsidR="00585B9E" w:rsidRPr="00A71065">
        <w:t>t</w:t>
      </w:r>
      <w:r w:rsidRPr="00A71065">
        <w:t xml:space="preserve">issue </w:t>
      </w:r>
      <w:r w:rsidR="00585B9E" w:rsidRPr="00A71065">
        <w:t>s</w:t>
      </w:r>
      <w:r w:rsidRPr="00A71065">
        <w:t>arcoma</w:t>
      </w:r>
      <w:r w:rsidR="00067BBB" w:rsidRPr="00A71065">
        <w:t xml:space="preserve"> </w:t>
      </w:r>
      <w:r w:rsidRPr="00A71065">
        <w:t>(</w:t>
      </w:r>
      <w:r w:rsidR="00585B9E" w:rsidRPr="00A71065">
        <w:t>s</w:t>
      </w:r>
      <w:r w:rsidRPr="00A71065">
        <w:t>ee section 4.2 for information on paediatric use).</w:t>
      </w:r>
    </w:p>
    <w:p w14:paraId="625C75D6" w14:textId="77777777" w:rsidR="00047E69" w:rsidRPr="00A71065" w:rsidRDefault="00047E69" w:rsidP="007E67A5">
      <w:pPr>
        <w:widowControl/>
        <w:adjustRightInd w:val="0"/>
        <w:snapToGrid w:val="0"/>
        <w:rPr>
          <w:rFonts w:ascii="Times New Roman" w:eastAsia="Times New Roman" w:hAnsi="Times New Roman" w:cs="Times New Roman"/>
        </w:rPr>
      </w:pPr>
    </w:p>
    <w:p w14:paraId="102170DB" w14:textId="62A4C9FD" w:rsidR="00047E69" w:rsidRPr="00A71065" w:rsidRDefault="00C210A5" w:rsidP="007E67A5">
      <w:pPr>
        <w:pStyle w:val="a5"/>
        <w:widowControl/>
        <w:adjustRightInd w:val="0"/>
        <w:snapToGrid w:val="0"/>
      </w:pPr>
      <w:r w:rsidRPr="00A71065">
        <w:t xml:space="preserve">The incidence of AEs, including Grade </w:t>
      </w:r>
      <w:r w:rsidRPr="00A71065">
        <w:rPr>
          <w:rFonts w:ascii="Symbol" w:eastAsia="Symbol" w:hAnsi="Symbol" w:cs="Symbol"/>
        </w:rPr>
        <w:sym w:font="Symbol" w:char="F0B3"/>
      </w:r>
      <w:r w:rsidRPr="00A71065">
        <w:rPr>
          <w:rFonts w:ascii="Symbol" w:eastAsia="Symbol" w:hAnsi="Symbol" w:cs="Symbol"/>
        </w:rPr>
        <w:sym w:font="Symbol" w:char="F020"/>
      </w:r>
      <w:r w:rsidRPr="00A71065">
        <w:t>3 A</w:t>
      </w:r>
      <w:r w:rsidR="002D445C">
        <w:rPr>
          <w:rFonts w:eastAsiaTheme="minorEastAsia" w:hint="eastAsia"/>
          <w:lang w:eastAsia="ko-KR"/>
        </w:rPr>
        <w:t>E</w:t>
      </w:r>
      <w:r w:rsidRPr="00A71065">
        <w:t>s and SAEs, was similar between the two treatment arms. No A</w:t>
      </w:r>
      <w:r w:rsidR="002D445C">
        <w:rPr>
          <w:rFonts w:eastAsiaTheme="minorEastAsia" w:hint="eastAsia"/>
          <w:lang w:eastAsia="ko-KR"/>
        </w:rPr>
        <w:t>E</w:t>
      </w:r>
      <w:r w:rsidRPr="00A71065">
        <w:t>s leading to death occurred in either treatment arm; all deaths were attributed to disease progression. Bevacizumab addition to multimodal standard of care treatment seemed to be tolerated in this paediatric population.</w:t>
      </w:r>
    </w:p>
    <w:p w14:paraId="6DF33A6D" w14:textId="77777777" w:rsidR="00047E69" w:rsidRPr="00A71065" w:rsidRDefault="00047E69" w:rsidP="007E67A5">
      <w:pPr>
        <w:widowControl/>
        <w:adjustRightInd w:val="0"/>
        <w:snapToGrid w:val="0"/>
        <w:rPr>
          <w:rFonts w:ascii="Times New Roman" w:eastAsia="Times New Roman" w:hAnsi="Times New Roman" w:cs="Times New Roman"/>
        </w:rPr>
      </w:pPr>
    </w:p>
    <w:p w14:paraId="271562A2" w14:textId="77777777" w:rsidR="00047E69" w:rsidRDefault="00C210A5" w:rsidP="007E67A5">
      <w:pPr>
        <w:pStyle w:val="1"/>
        <w:widowControl/>
        <w:numPr>
          <w:ilvl w:val="1"/>
          <w:numId w:val="6"/>
        </w:numPr>
        <w:tabs>
          <w:tab w:val="left" w:pos="683"/>
        </w:tabs>
        <w:ind w:left="0" w:firstLine="0"/>
        <w:rPr>
          <w:b w:val="0"/>
          <w:bCs w:val="0"/>
        </w:rPr>
      </w:pPr>
      <w:r>
        <w:rPr>
          <w:spacing w:val="-1"/>
        </w:rPr>
        <w:t>Pharmacokinetic</w:t>
      </w:r>
      <w:r>
        <w:t xml:space="preserve"> </w:t>
      </w:r>
      <w:r>
        <w:rPr>
          <w:spacing w:val="-1"/>
        </w:rPr>
        <w:t>properties</w:t>
      </w:r>
    </w:p>
    <w:p w14:paraId="7A759E37"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0D439B1F" w14:textId="73B1B371" w:rsidR="00047E69" w:rsidRPr="00A71065" w:rsidRDefault="00C210A5" w:rsidP="007E67A5">
      <w:pPr>
        <w:pStyle w:val="a5"/>
        <w:widowControl/>
        <w:adjustRightInd w:val="0"/>
        <w:snapToGrid w:val="0"/>
      </w:pPr>
      <w:r w:rsidRPr="00A71065">
        <w:t xml:space="preserve">The pharmacokinetic data for bevacizumab are available from ten clinical trials in patients with solid tumours. In all clinical trials, bevacizumab was administered as an </w:t>
      </w:r>
      <w:r w:rsidR="005603A9" w:rsidRPr="00A71065">
        <w:t>intravenous</w:t>
      </w:r>
      <w:r w:rsidRPr="00A71065">
        <w:t xml:space="preserve"> infusion. The rate of infusion was based on tolerability, with an initial infusion duration of 90 minutes. The pharmacokinetics of bevacizumab was linear at doses ranging from 1 to 10 mg/kg.</w:t>
      </w:r>
    </w:p>
    <w:p w14:paraId="75A2A08B" w14:textId="77777777" w:rsidR="00047E69" w:rsidRPr="00A71065" w:rsidRDefault="00047E69" w:rsidP="007E67A5">
      <w:pPr>
        <w:widowControl/>
        <w:adjustRightInd w:val="0"/>
        <w:snapToGrid w:val="0"/>
        <w:rPr>
          <w:rFonts w:ascii="Times New Roman" w:eastAsia="Times New Roman" w:hAnsi="Times New Roman" w:cs="Times New Roman"/>
        </w:rPr>
      </w:pPr>
    </w:p>
    <w:p w14:paraId="7AF5DBBE" w14:textId="77777777" w:rsidR="00047E69" w:rsidRPr="00A71065" w:rsidRDefault="00C210A5" w:rsidP="007E67A5">
      <w:pPr>
        <w:pStyle w:val="a5"/>
        <w:widowControl/>
        <w:adjustRightInd w:val="0"/>
        <w:snapToGrid w:val="0"/>
      </w:pPr>
      <w:r w:rsidRPr="00A71065">
        <w:rPr>
          <w:u w:val="single" w:color="000000"/>
        </w:rPr>
        <w:t>Distribution</w:t>
      </w:r>
    </w:p>
    <w:p w14:paraId="44FC13EA" w14:textId="79C6DCAC" w:rsidR="00047E69" w:rsidRPr="00A71065" w:rsidRDefault="00C210A5" w:rsidP="007E67A5">
      <w:pPr>
        <w:pStyle w:val="a5"/>
        <w:widowControl/>
        <w:adjustRightInd w:val="0"/>
        <w:snapToGrid w:val="0"/>
      </w:pPr>
      <w:r w:rsidRPr="00A71065">
        <w:t xml:space="preserve">The typical value for central volume (Vc) was 2.73 L and 3.28 L for female and male patients respectively, which is in the range that has been described for IgGs and other monoclonal antibodies. The typical value for peripheral volume (Vp) was 1.69 L and 2.35 L for female and male patients </w:t>
      </w:r>
      <w:r w:rsidRPr="00A71065">
        <w:lastRenderedPageBreak/>
        <w:t>respectively, when bevacizumab is co</w:t>
      </w:r>
      <w:r w:rsidR="00FD0731" w:rsidRPr="00A71065">
        <w:noBreakHyphen/>
      </w:r>
      <w:r w:rsidRPr="00A71065">
        <w:t>administered with anti</w:t>
      </w:r>
      <w:r w:rsidR="00FD0731" w:rsidRPr="00A71065">
        <w:noBreakHyphen/>
      </w:r>
      <w:r w:rsidRPr="00A71065">
        <w:t xml:space="preserve">neoplastic agents. After correcting for </w:t>
      </w:r>
      <w:r w:rsidRPr="00A71065">
        <w:rPr>
          <w:position w:val="2"/>
        </w:rPr>
        <w:t>body weight, male patients had a larger V</w:t>
      </w:r>
      <w:r w:rsidRPr="00A71065">
        <w:rPr>
          <w:sz w:val="14"/>
        </w:rPr>
        <w:t xml:space="preserve">c </w:t>
      </w:r>
      <w:r w:rsidRPr="00A71065">
        <w:rPr>
          <w:position w:val="2"/>
        </w:rPr>
        <w:t>(+ 20%) than female patients.</w:t>
      </w:r>
    </w:p>
    <w:p w14:paraId="1594D6A5" w14:textId="77777777" w:rsidR="00EF068E" w:rsidRPr="00A71065" w:rsidRDefault="00EF068E" w:rsidP="007E67A5">
      <w:pPr>
        <w:pStyle w:val="a5"/>
        <w:widowControl/>
        <w:adjustRightInd w:val="0"/>
        <w:snapToGrid w:val="0"/>
        <w:rPr>
          <w:u w:val="single" w:color="000000"/>
        </w:rPr>
      </w:pPr>
    </w:p>
    <w:p w14:paraId="09FB3B3B" w14:textId="66E5D496" w:rsidR="00047E69" w:rsidRPr="00A71065" w:rsidRDefault="00C210A5" w:rsidP="007E67A5">
      <w:pPr>
        <w:pStyle w:val="a5"/>
        <w:widowControl/>
        <w:adjustRightInd w:val="0"/>
        <w:snapToGrid w:val="0"/>
      </w:pPr>
      <w:r w:rsidRPr="00A71065">
        <w:rPr>
          <w:u w:val="single" w:color="000000"/>
        </w:rPr>
        <w:t>Biotransformation</w:t>
      </w:r>
    </w:p>
    <w:p w14:paraId="061BFE42" w14:textId="234FBC06" w:rsidR="00047E69" w:rsidRPr="00A71065" w:rsidRDefault="00C210A5" w:rsidP="007E67A5">
      <w:pPr>
        <w:pStyle w:val="a5"/>
        <w:widowControl/>
        <w:adjustRightInd w:val="0"/>
        <w:snapToGrid w:val="0"/>
      </w:pPr>
      <w:r w:rsidRPr="00A71065">
        <w:t xml:space="preserve">Assessment of bevacizumab metabolism in rabbits following a single </w:t>
      </w:r>
      <w:r w:rsidR="005603A9" w:rsidRPr="00A71065">
        <w:t>intravenous</w:t>
      </w:r>
      <w:r w:rsidRPr="00A71065">
        <w:t xml:space="preserve"> dose of </w:t>
      </w:r>
      <w:r w:rsidRPr="00A71065">
        <w:rPr>
          <w:position w:val="9"/>
          <w:sz w:val="14"/>
        </w:rPr>
        <w:t>125</w:t>
      </w:r>
      <w:r w:rsidRPr="00A71065">
        <w:t>I</w:t>
      </w:r>
      <w:r w:rsidR="00FD0731" w:rsidRPr="00A71065">
        <w:noBreakHyphen/>
      </w:r>
      <w:r w:rsidRPr="00A71065">
        <w:t>bevacizumab indicated that its metabolic profile was similar to that expected for a native IgG molecule which does not bind VEGF. The metabolism and elimination of bevacizumab is similar to endogenous IgG i.e. primarily via proteolytic catabolism throughout the body, including endothelial cells, and does not rely primarily on elimination through the kidneys and liver. Binding of the IgG to the FcRn receptor results in protection from cellular metabolism and the long terminal half</w:t>
      </w:r>
      <w:r w:rsidR="00FD0731" w:rsidRPr="00A71065">
        <w:noBreakHyphen/>
      </w:r>
      <w:r w:rsidRPr="00A71065">
        <w:t>life.</w:t>
      </w:r>
    </w:p>
    <w:p w14:paraId="7AF5E9D0" w14:textId="77777777" w:rsidR="00047E69" w:rsidRPr="00A71065" w:rsidRDefault="00047E69" w:rsidP="007E67A5">
      <w:pPr>
        <w:widowControl/>
        <w:adjustRightInd w:val="0"/>
        <w:snapToGrid w:val="0"/>
        <w:rPr>
          <w:rFonts w:ascii="Times New Roman" w:eastAsia="Times New Roman" w:hAnsi="Times New Roman" w:cs="Times New Roman"/>
        </w:rPr>
      </w:pPr>
    </w:p>
    <w:p w14:paraId="4717C779" w14:textId="77777777" w:rsidR="00047E69" w:rsidRPr="00A71065" w:rsidRDefault="00C210A5" w:rsidP="007E67A5">
      <w:pPr>
        <w:pStyle w:val="a5"/>
        <w:widowControl/>
        <w:adjustRightInd w:val="0"/>
        <w:snapToGrid w:val="0"/>
      </w:pPr>
      <w:r w:rsidRPr="00A71065">
        <w:rPr>
          <w:u w:val="single" w:color="000000"/>
        </w:rPr>
        <w:t>Elimination</w:t>
      </w:r>
    </w:p>
    <w:p w14:paraId="68CBC031" w14:textId="35EC4D6A" w:rsidR="00047E69" w:rsidRPr="00A71065" w:rsidRDefault="00C210A5" w:rsidP="007E67A5">
      <w:pPr>
        <w:pStyle w:val="a5"/>
        <w:widowControl/>
        <w:adjustRightInd w:val="0"/>
        <w:snapToGrid w:val="0"/>
      </w:pPr>
      <w:r w:rsidRPr="00A71065">
        <w:t>The value for clearance is, on average, equal to 0.188 and 0.220 L/day for female and male patients, respectively. After correcting for body weight, male patients had a higher bevacizumab clearance</w:t>
      </w:r>
      <w:r w:rsidR="00A135EE" w:rsidRPr="00A71065">
        <w:t xml:space="preserve"> </w:t>
      </w:r>
      <w:r w:rsidRPr="00A71065">
        <w:t>(+ 17%) than females. According to the two</w:t>
      </w:r>
      <w:r w:rsidR="00FD0731" w:rsidRPr="00A71065">
        <w:noBreakHyphen/>
      </w:r>
      <w:r w:rsidRPr="00A71065">
        <w:t>compartmental model, the elimination half</w:t>
      </w:r>
      <w:r w:rsidR="00FD0731" w:rsidRPr="00A71065">
        <w:noBreakHyphen/>
      </w:r>
      <w:r w:rsidRPr="00A71065">
        <w:t>life is 18 days for a typical female patient and 20 days for a typical male patient.</w:t>
      </w:r>
    </w:p>
    <w:p w14:paraId="6B990053" w14:textId="77777777" w:rsidR="00047E69" w:rsidRPr="00A71065" w:rsidRDefault="00047E69" w:rsidP="007E67A5">
      <w:pPr>
        <w:widowControl/>
        <w:adjustRightInd w:val="0"/>
        <w:snapToGrid w:val="0"/>
        <w:rPr>
          <w:rFonts w:ascii="Times New Roman" w:eastAsia="Times New Roman" w:hAnsi="Times New Roman" w:cs="Times New Roman"/>
        </w:rPr>
      </w:pPr>
    </w:p>
    <w:p w14:paraId="67AE58E6" w14:textId="77777777" w:rsidR="00047E69" w:rsidRPr="00A71065" w:rsidRDefault="00C210A5" w:rsidP="007E67A5">
      <w:pPr>
        <w:pStyle w:val="a5"/>
        <w:widowControl/>
        <w:adjustRightInd w:val="0"/>
        <w:snapToGrid w:val="0"/>
      </w:pPr>
      <w:r w:rsidRPr="00A71065">
        <w:t>Low albumin and high tumour burden are generally indicative of disease severity. Bevacizumab clearance was approximately 30% faster in patients with low levels of serum albumin and 7% faster in subjects with higher tumour burden when compared with a typical patient with median values of albumin and tumour burden.</w:t>
      </w:r>
    </w:p>
    <w:p w14:paraId="26956D5C"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4D913B49" w14:textId="77777777" w:rsidR="00047E69" w:rsidRPr="00A71065" w:rsidRDefault="00C210A5" w:rsidP="007E67A5">
      <w:pPr>
        <w:pStyle w:val="a5"/>
        <w:widowControl/>
        <w:adjustRightInd w:val="0"/>
        <w:snapToGrid w:val="0"/>
      </w:pPr>
      <w:r w:rsidRPr="00A71065">
        <w:rPr>
          <w:u w:val="single" w:color="000000"/>
        </w:rPr>
        <w:t>Pharmacokinetics in special populations</w:t>
      </w:r>
    </w:p>
    <w:p w14:paraId="579C49B1" w14:textId="77777777" w:rsidR="00047E69" w:rsidRPr="00A71065" w:rsidRDefault="00C210A5" w:rsidP="007E67A5">
      <w:pPr>
        <w:pStyle w:val="a5"/>
        <w:widowControl/>
        <w:adjustRightInd w:val="0"/>
        <w:snapToGrid w:val="0"/>
      </w:pPr>
      <w:r w:rsidRPr="00A71065">
        <w:t>The population pharmacokinetics were analysed in adult and p</w:t>
      </w:r>
      <w:r w:rsidR="00CC5F76" w:rsidRPr="00A71065">
        <w:t>a</w:t>
      </w:r>
      <w:r w:rsidRPr="00A71065">
        <w:t>ediatric patients to evaluate the effects of demographic characteristics. In adults, the results showed no significant difference in the pharmacokinetics of bevacizumab in relation to age.</w:t>
      </w:r>
    </w:p>
    <w:p w14:paraId="21C3F3E7" w14:textId="77777777" w:rsidR="00047E69" w:rsidRPr="00A71065" w:rsidRDefault="00047E69" w:rsidP="007E67A5">
      <w:pPr>
        <w:widowControl/>
        <w:adjustRightInd w:val="0"/>
        <w:snapToGrid w:val="0"/>
        <w:rPr>
          <w:rFonts w:ascii="Times New Roman" w:eastAsia="Times New Roman" w:hAnsi="Times New Roman" w:cs="Times New Roman"/>
        </w:rPr>
      </w:pPr>
    </w:p>
    <w:p w14:paraId="7570AE45" w14:textId="77777777" w:rsidR="00047E69" w:rsidRPr="00A71065" w:rsidRDefault="00C210A5" w:rsidP="007E67A5">
      <w:pPr>
        <w:widowControl/>
        <w:adjustRightInd w:val="0"/>
        <w:snapToGrid w:val="0"/>
        <w:rPr>
          <w:rFonts w:ascii="Times New Roman" w:eastAsia="Times New Roman" w:hAnsi="Times New Roman" w:cs="Times New Roman"/>
          <w:u w:val="single"/>
        </w:rPr>
      </w:pPr>
      <w:r w:rsidRPr="00A71065">
        <w:rPr>
          <w:rFonts w:ascii="Times New Roman"/>
          <w:i/>
          <w:u w:val="single"/>
        </w:rPr>
        <w:t>Renal impairment</w:t>
      </w:r>
    </w:p>
    <w:p w14:paraId="7EDA8699" w14:textId="77777777" w:rsidR="00047E69" w:rsidRPr="00A71065" w:rsidRDefault="00C210A5" w:rsidP="007E67A5">
      <w:pPr>
        <w:pStyle w:val="a5"/>
        <w:widowControl/>
        <w:adjustRightInd w:val="0"/>
        <w:snapToGrid w:val="0"/>
      </w:pPr>
      <w:r w:rsidRPr="00A71065">
        <w:t>No trials have been conducted to investigate the pharmacokinetics of bevacizumab in renally impaired patients since the kidneys are not a major organ for bevacizumab metabolism or excretion.</w:t>
      </w:r>
    </w:p>
    <w:p w14:paraId="206A8D66" w14:textId="77777777" w:rsidR="00047E69" w:rsidRPr="00A71065" w:rsidRDefault="00047E69" w:rsidP="007E67A5">
      <w:pPr>
        <w:widowControl/>
        <w:adjustRightInd w:val="0"/>
        <w:snapToGrid w:val="0"/>
        <w:rPr>
          <w:rFonts w:ascii="Times New Roman" w:eastAsia="Times New Roman" w:hAnsi="Times New Roman" w:cs="Times New Roman"/>
        </w:rPr>
      </w:pPr>
    </w:p>
    <w:p w14:paraId="32BF5899" w14:textId="77777777" w:rsidR="00047E69" w:rsidRPr="00A71065" w:rsidRDefault="00C210A5" w:rsidP="007E67A5">
      <w:pPr>
        <w:widowControl/>
        <w:adjustRightInd w:val="0"/>
        <w:snapToGrid w:val="0"/>
        <w:rPr>
          <w:rFonts w:ascii="Times New Roman" w:eastAsia="Times New Roman" w:hAnsi="Times New Roman" w:cs="Times New Roman"/>
          <w:u w:val="single"/>
        </w:rPr>
      </w:pPr>
      <w:r w:rsidRPr="00A71065">
        <w:rPr>
          <w:rFonts w:ascii="Times New Roman"/>
          <w:i/>
          <w:u w:val="single"/>
        </w:rPr>
        <w:t>Hepatic impairment</w:t>
      </w:r>
    </w:p>
    <w:p w14:paraId="71B6B78D" w14:textId="77777777" w:rsidR="00047E69" w:rsidRPr="00A71065" w:rsidRDefault="00C210A5" w:rsidP="007E67A5">
      <w:pPr>
        <w:pStyle w:val="a5"/>
        <w:widowControl/>
        <w:adjustRightInd w:val="0"/>
        <w:snapToGrid w:val="0"/>
      </w:pPr>
      <w:r w:rsidRPr="00A71065">
        <w:t>No trials have been conducted to investigate the pharmacokinetics of bevacizumab in patients with hepatic impairment since the liver is not a major organ for bevacizumab metabolism or excretion.</w:t>
      </w:r>
    </w:p>
    <w:p w14:paraId="09AC917D"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3C56263A" w14:textId="77777777" w:rsidR="00047E69" w:rsidRPr="00A71065" w:rsidRDefault="00C210A5" w:rsidP="007E67A5">
      <w:pPr>
        <w:widowControl/>
        <w:adjustRightInd w:val="0"/>
        <w:snapToGrid w:val="0"/>
        <w:rPr>
          <w:rFonts w:ascii="Times New Roman" w:eastAsia="Times New Roman" w:hAnsi="Times New Roman" w:cs="Times New Roman"/>
          <w:u w:val="single"/>
        </w:rPr>
      </w:pPr>
      <w:r w:rsidRPr="00A71065">
        <w:rPr>
          <w:rFonts w:ascii="Times New Roman"/>
          <w:i/>
          <w:u w:val="single"/>
        </w:rPr>
        <w:t>Paediatric population</w:t>
      </w:r>
    </w:p>
    <w:p w14:paraId="5005534A" w14:textId="67854ACD" w:rsidR="00047E69" w:rsidRPr="00A71065" w:rsidRDefault="00C210A5" w:rsidP="007E67A5">
      <w:pPr>
        <w:pStyle w:val="a5"/>
        <w:widowControl/>
        <w:adjustRightInd w:val="0"/>
        <w:snapToGrid w:val="0"/>
      </w:pPr>
      <w:r w:rsidRPr="00A71065">
        <w:t xml:space="preserve">The pharmacokinetics of bevacizumab were evaluated in 152 children, adolescents and young adults (7 months to 21 years, 5.9 to 125 kg) across 4 clinical studies using a population pharmacokinetic model. The pharmacokinetic results show that the clearance and volume of distribution of bevacizumab were comparable between paediatric and young adult patients when </w:t>
      </w:r>
      <w:r w:rsidR="00D06B0B" w:rsidRPr="00A71065">
        <w:t>n</w:t>
      </w:r>
      <w:r w:rsidR="00E67ADA" w:rsidRPr="00A71065">
        <w:t>ormalized</w:t>
      </w:r>
      <w:r w:rsidRPr="00A71065">
        <w:t xml:space="preserve"> by body weight, with exposure trending lower as body weight decreased. Age was not associated with the pharmacokinetics of bevacizumab when body weight was taken into account.</w:t>
      </w:r>
    </w:p>
    <w:p w14:paraId="77591E03"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30E15B04" w14:textId="77777777" w:rsidR="00047E69" w:rsidRPr="00A71065" w:rsidRDefault="00C210A5" w:rsidP="007E67A5">
      <w:pPr>
        <w:pStyle w:val="a5"/>
        <w:widowControl/>
        <w:adjustRightInd w:val="0"/>
        <w:snapToGrid w:val="0"/>
      </w:pPr>
      <w:r w:rsidRPr="00A71065">
        <w:t>The pharmacokinetics of bevacizumab was well characterized by the paediatric population PK model for 70 patients in Study BO20924 (1.4 to 17.6 years; 11.6 to 77.5 kg) and 59 patients in Study BO25041 (1 to 17 years; 11.2 to 82.3 kg). In Study BO20924, bevacizumab exposure was generally lower compared to a typical adult patient at the same dose. In Study BO25041, bevacizumab exposure was similar compared to a typical adult at the same dose. In both studies, bevacizumab exposure trended lower as body weight decreased.</w:t>
      </w:r>
    </w:p>
    <w:p w14:paraId="506D8118" w14:textId="77777777" w:rsidR="00047E69" w:rsidRPr="00A71065" w:rsidRDefault="00047E69" w:rsidP="007E67A5">
      <w:pPr>
        <w:widowControl/>
        <w:adjustRightInd w:val="0"/>
        <w:snapToGrid w:val="0"/>
        <w:rPr>
          <w:rFonts w:ascii="Times New Roman" w:eastAsia="Times New Roman" w:hAnsi="Times New Roman" w:cs="Times New Roman"/>
        </w:rPr>
      </w:pPr>
    </w:p>
    <w:p w14:paraId="13FE4AFD" w14:textId="77777777" w:rsidR="00047E69" w:rsidRPr="00A71065" w:rsidRDefault="00C210A5" w:rsidP="007E67A5">
      <w:pPr>
        <w:pStyle w:val="1"/>
        <w:widowControl/>
        <w:numPr>
          <w:ilvl w:val="1"/>
          <w:numId w:val="6"/>
        </w:numPr>
        <w:tabs>
          <w:tab w:val="left" w:pos="683"/>
        </w:tabs>
        <w:ind w:left="0" w:firstLine="0"/>
        <w:rPr>
          <w:b w:val="0"/>
          <w:bCs w:val="0"/>
        </w:rPr>
      </w:pPr>
      <w:r w:rsidRPr="00A71065">
        <w:t>Preclinical safety data</w:t>
      </w:r>
    </w:p>
    <w:p w14:paraId="1D8F9A83"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29275BD3" w14:textId="77777777" w:rsidR="00047E69" w:rsidRPr="00A71065" w:rsidRDefault="00C210A5" w:rsidP="007E67A5">
      <w:pPr>
        <w:pStyle w:val="a5"/>
        <w:widowControl/>
        <w:adjustRightInd w:val="0"/>
        <w:snapToGrid w:val="0"/>
      </w:pPr>
      <w:r w:rsidRPr="00A71065">
        <w:t>In studies of up to 26 weeks duration in cynomolgus monkeys, physeal dysplasia was observed in young animals with open growth plates, at bevacizumab average serum concentrations below the expected human therapeutic average serum concentrations. In rabbits, bevacizumab was shown to inhibit wound healing at doses below the proposed clinical dose. Effects on wound healing were shown to be fully reversible.</w:t>
      </w:r>
    </w:p>
    <w:p w14:paraId="520279EF" w14:textId="77777777" w:rsidR="00047E69" w:rsidRPr="00A71065" w:rsidRDefault="00C210A5" w:rsidP="007E67A5">
      <w:pPr>
        <w:pStyle w:val="a5"/>
        <w:widowControl/>
        <w:adjustRightInd w:val="0"/>
        <w:snapToGrid w:val="0"/>
      </w:pPr>
      <w:r w:rsidRPr="00A71065">
        <w:lastRenderedPageBreak/>
        <w:t>Studies to evaluate the mutagenic and carcinogenic potential of bevacizumab have not been performed.</w:t>
      </w:r>
    </w:p>
    <w:p w14:paraId="440CAF19" w14:textId="77777777" w:rsidR="00EF068E" w:rsidRPr="00A71065" w:rsidRDefault="00EF068E" w:rsidP="007E67A5">
      <w:pPr>
        <w:pStyle w:val="a5"/>
        <w:widowControl/>
        <w:adjustRightInd w:val="0"/>
        <w:snapToGrid w:val="0"/>
      </w:pPr>
    </w:p>
    <w:p w14:paraId="35A633CA" w14:textId="77777777" w:rsidR="00047E69" w:rsidRPr="00A71065" w:rsidRDefault="00C210A5" w:rsidP="007E67A5">
      <w:pPr>
        <w:pStyle w:val="a5"/>
        <w:widowControl/>
        <w:adjustRightInd w:val="0"/>
        <w:snapToGrid w:val="0"/>
      </w:pPr>
      <w:r w:rsidRPr="00A71065">
        <w:t>No specific studies in animals have been conducted to evaluate the effect on fertility. An adverse effect on female fertility can however be expected as repeat dose toxicity studies in animals have shown inhibition of the maturation of ovarian follicles and a decrease/absence of corpora lutea and associated decrease in ovarian and uterus weight as well as a decrease in the number of menstrual cycles.</w:t>
      </w:r>
    </w:p>
    <w:p w14:paraId="441DA0D4" w14:textId="77777777" w:rsidR="00047E69" w:rsidRPr="00A71065" w:rsidRDefault="00047E69" w:rsidP="007E67A5">
      <w:pPr>
        <w:widowControl/>
        <w:adjustRightInd w:val="0"/>
        <w:snapToGrid w:val="0"/>
        <w:rPr>
          <w:rFonts w:ascii="Times New Roman" w:eastAsia="Times New Roman" w:hAnsi="Times New Roman" w:cs="Times New Roman"/>
        </w:rPr>
      </w:pPr>
    </w:p>
    <w:p w14:paraId="3FAFB3B1" w14:textId="77777777" w:rsidR="00047E69" w:rsidRPr="00A71065" w:rsidRDefault="00C210A5" w:rsidP="007E67A5">
      <w:pPr>
        <w:pStyle w:val="a5"/>
        <w:widowControl/>
        <w:adjustRightInd w:val="0"/>
        <w:snapToGrid w:val="0"/>
      </w:pPr>
      <w:r w:rsidRPr="00A71065">
        <w:t>Bevacizumab has been shown to be embryotoxic and teratogenic when administered to rabbits. Observed effects included decreases in maternal and foetal body weights, an increased number of foetal resorptions and an increased incidence of specific gross and skeletal foetal malformations. Adverse foetal outcomes were observed at all tested doses, of which the lowest dose resulted in average serum concentrations approximately 3 times larger than in humans receiving 5 mg/kg every 2 weeks. Information on foetal malformations observed in the post marketing setting are provided in section 4.6 Fertility, Pregnancy and Lactation and 4.8 Undesirable Effects.</w:t>
      </w:r>
    </w:p>
    <w:p w14:paraId="528D5C80" w14:textId="4A4C6D93" w:rsidR="00047E69" w:rsidRPr="00A71065" w:rsidRDefault="00047E69" w:rsidP="007E67A5">
      <w:pPr>
        <w:widowControl/>
        <w:adjustRightInd w:val="0"/>
        <w:snapToGrid w:val="0"/>
        <w:rPr>
          <w:rFonts w:ascii="Times New Roman" w:eastAsia="Times New Roman" w:hAnsi="Times New Roman" w:cs="Times New Roman"/>
        </w:rPr>
      </w:pPr>
    </w:p>
    <w:p w14:paraId="71148361" w14:textId="77777777" w:rsidR="00A135EE" w:rsidRPr="00A71065" w:rsidRDefault="00A135EE" w:rsidP="007E67A5">
      <w:pPr>
        <w:widowControl/>
        <w:adjustRightInd w:val="0"/>
        <w:snapToGrid w:val="0"/>
        <w:rPr>
          <w:rFonts w:ascii="Times New Roman" w:eastAsia="Times New Roman" w:hAnsi="Times New Roman" w:cs="Times New Roman"/>
        </w:rPr>
      </w:pPr>
    </w:p>
    <w:p w14:paraId="1422741E" w14:textId="77777777" w:rsidR="00047E69" w:rsidRPr="00A71065" w:rsidRDefault="00C210A5" w:rsidP="007E67A5">
      <w:pPr>
        <w:pStyle w:val="1"/>
        <w:widowControl/>
        <w:numPr>
          <w:ilvl w:val="0"/>
          <w:numId w:val="12"/>
        </w:numPr>
        <w:tabs>
          <w:tab w:val="left" w:pos="683"/>
        </w:tabs>
        <w:ind w:left="0" w:firstLine="0"/>
        <w:rPr>
          <w:b w:val="0"/>
          <w:bCs w:val="0"/>
        </w:rPr>
      </w:pPr>
      <w:r w:rsidRPr="00A71065">
        <w:t>PHARMACEUTICAL PARTICULARS</w:t>
      </w:r>
    </w:p>
    <w:p w14:paraId="08CD5FAB" w14:textId="77777777" w:rsidR="00047E69" w:rsidRPr="00A71065" w:rsidRDefault="00047E69" w:rsidP="007E67A5">
      <w:pPr>
        <w:widowControl/>
        <w:adjustRightInd w:val="0"/>
        <w:snapToGrid w:val="0"/>
        <w:rPr>
          <w:rFonts w:ascii="Times New Roman" w:eastAsia="Times New Roman" w:hAnsi="Times New Roman" w:cs="Times New Roman"/>
          <w:b/>
          <w:bCs/>
        </w:rPr>
      </w:pPr>
    </w:p>
    <w:p w14:paraId="49DBE283" w14:textId="77777777" w:rsidR="00047E69" w:rsidRPr="00A71065" w:rsidRDefault="00C210A5" w:rsidP="007E67A5">
      <w:pPr>
        <w:pStyle w:val="1"/>
        <w:widowControl/>
        <w:numPr>
          <w:ilvl w:val="1"/>
          <w:numId w:val="12"/>
        </w:numPr>
        <w:tabs>
          <w:tab w:val="left" w:pos="683"/>
        </w:tabs>
        <w:ind w:left="0" w:firstLine="0"/>
        <w:rPr>
          <w:rFonts w:cs="Times New Roman"/>
        </w:rPr>
      </w:pPr>
      <w:r w:rsidRPr="00A71065">
        <w:t>List of excipients</w:t>
      </w:r>
    </w:p>
    <w:p w14:paraId="138D88B2"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73F024D0" w14:textId="77777777" w:rsidR="00CC27BC" w:rsidRPr="00A71065" w:rsidRDefault="00C210A5" w:rsidP="007E67A5">
      <w:pPr>
        <w:pStyle w:val="a5"/>
        <w:widowControl/>
        <w:adjustRightInd w:val="0"/>
        <w:snapToGrid w:val="0"/>
      </w:pPr>
      <w:r w:rsidRPr="00A71065">
        <w:t>Trehalose dihydrate</w:t>
      </w:r>
    </w:p>
    <w:p w14:paraId="60D72216" w14:textId="754A31B9" w:rsidR="00CC27BC" w:rsidRPr="00A71065" w:rsidRDefault="00C210A5" w:rsidP="007E67A5">
      <w:pPr>
        <w:pStyle w:val="a5"/>
        <w:widowControl/>
        <w:adjustRightInd w:val="0"/>
        <w:snapToGrid w:val="0"/>
      </w:pPr>
      <w:r w:rsidRPr="00A71065">
        <w:t>Sodium phosphate</w:t>
      </w:r>
    </w:p>
    <w:p w14:paraId="0FFBB0B8" w14:textId="3A627208" w:rsidR="00CC27BC" w:rsidRPr="00A71065" w:rsidRDefault="00C210A5" w:rsidP="007E67A5">
      <w:pPr>
        <w:pStyle w:val="a5"/>
        <w:widowControl/>
        <w:adjustRightInd w:val="0"/>
        <w:snapToGrid w:val="0"/>
      </w:pPr>
      <w:r w:rsidRPr="00A71065">
        <w:t>Polysorbate 20</w:t>
      </w:r>
    </w:p>
    <w:p w14:paraId="37C1C49E" w14:textId="6DBD5F11" w:rsidR="00047E69" w:rsidRPr="00A71065" w:rsidRDefault="00C210A5" w:rsidP="007E67A5">
      <w:pPr>
        <w:pStyle w:val="a5"/>
        <w:widowControl/>
        <w:adjustRightInd w:val="0"/>
        <w:snapToGrid w:val="0"/>
      </w:pPr>
      <w:r w:rsidRPr="00A71065">
        <w:t>Water for injections</w:t>
      </w:r>
    </w:p>
    <w:p w14:paraId="1FA0C4D5" w14:textId="77777777" w:rsidR="00047E69" w:rsidRPr="00A71065" w:rsidRDefault="00047E69" w:rsidP="007E67A5">
      <w:pPr>
        <w:widowControl/>
        <w:adjustRightInd w:val="0"/>
        <w:snapToGrid w:val="0"/>
        <w:rPr>
          <w:rFonts w:ascii="Times New Roman" w:eastAsia="Times New Roman" w:hAnsi="Times New Roman" w:cs="Times New Roman"/>
        </w:rPr>
      </w:pPr>
    </w:p>
    <w:p w14:paraId="75ABD446" w14:textId="77777777" w:rsidR="00047E69" w:rsidRPr="00A71065" w:rsidRDefault="00C210A5" w:rsidP="007E67A5">
      <w:pPr>
        <w:pStyle w:val="1"/>
        <w:widowControl/>
        <w:numPr>
          <w:ilvl w:val="1"/>
          <w:numId w:val="12"/>
        </w:numPr>
        <w:tabs>
          <w:tab w:val="left" w:pos="683"/>
        </w:tabs>
        <w:ind w:left="0" w:firstLine="0"/>
      </w:pPr>
      <w:r w:rsidRPr="00A71065">
        <w:t>Incompatibilities</w:t>
      </w:r>
    </w:p>
    <w:p w14:paraId="5BFB8AC6"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5C07A5D2" w14:textId="77777777" w:rsidR="00047E69" w:rsidRPr="00A71065" w:rsidRDefault="00C210A5" w:rsidP="007E67A5">
      <w:pPr>
        <w:pStyle w:val="a5"/>
        <w:widowControl/>
        <w:adjustRightInd w:val="0"/>
        <w:snapToGrid w:val="0"/>
      </w:pPr>
      <w:r w:rsidRPr="00A71065">
        <w:t>This medicinal product must not be mixed with other medicinal products except those mentioned in section 6.6.</w:t>
      </w:r>
    </w:p>
    <w:p w14:paraId="2C71459A"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1087F665" w14:textId="77777777" w:rsidR="00047E69" w:rsidRPr="00A71065" w:rsidRDefault="00C210A5" w:rsidP="007E67A5">
      <w:pPr>
        <w:pStyle w:val="a5"/>
        <w:widowControl/>
        <w:adjustRightInd w:val="0"/>
        <w:snapToGrid w:val="0"/>
      </w:pPr>
      <w:r w:rsidRPr="00A71065">
        <w:t>A concentration dependent degradation profile of bevacizumab was observed when diluted with glucose solutions (5%).</w:t>
      </w:r>
    </w:p>
    <w:p w14:paraId="4B04452D" w14:textId="77777777" w:rsidR="00047E69" w:rsidRPr="00A71065" w:rsidRDefault="00047E69" w:rsidP="007E67A5">
      <w:pPr>
        <w:widowControl/>
        <w:adjustRightInd w:val="0"/>
        <w:snapToGrid w:val="0"/>
        <w:rPr>
          <w:rFonts w:ascii="Times New Roman" w:eastAsia="Times New Roman" w:hAnsi="Times New Roman" w:cs="Times New Roman"/>
        </w:rPr>
      </w:pPr>
    </w:p>
    <w:p w14:paraId="7DDEA9EF" w14:textId="77777777" w:rsidR="00047E69" w:rsidRPr="00A71065" w:rsidRDefault="00C210A5" w:rsidP="007E67A5">
      <w:pPr>
        <w:pStyle w:val="1"/>
        <w:widowControl/>
        <w:numPr>
          <w:ilvl w:val="1"/>
          <w:numId w:val="12"/>
        </w:numPr>
        <w:tabs>
          <w:tab w:val="left" w:pos="683"/>
        </w:tabs>
        <w:ind w:left="0" w:firstLine="0"/>
      </w:pPr>
      <w:r w:rsidRPr="00A71065">
        <w:t>Shelf life</w:t>
      </w:r>
    </w:p>
    <w:p w14:paraId="622A26D0" w14:textId="77777777" w:rsidR="00131FCB" w:rsidRPr="00A71065" w:rsidRDefault="00131FCB" w:rsidP="007E67A5">
      <w:pPr>
        <w:widowControl/>
        <w:adjustRightInd w:val="0"/>
        <w:snapToGrid w:val="0"/>
      </w:pPr>
    </w:p>
    <w:p w14:paraId="061FF679" w14:textId="14D8168B" w:rsidR="00083D76" w:rsidRPr="00A71065" w:rsidRDefault="00C210A5" w:rsidP="007E67A5">
      <w:pPr>
        <w:pStyle w:val="a5"/>
        <w:widowControl/>
        <w:adjustRightInd w:val="0"/>
        <w:snapToGrid w:val="0"/>
        <w:jc w:val="both"/>
        <w:rPr>
          <w:u w:val="single"/>
        </w:rPr>
      </w:pPr>
      <w:r w:rsidRPr="00A71065">
        <w:rPr>
          <w:u w:val="single"/>
        </w:rPr>
        <w:t>Unopened v</w:t>
      </w:r>
      <w:r w:rsidR="00A62E81" w:rsidRPr="00A71065">
        <w:rPr>
          <w:u w:val="single"/>
        </w:rPr>
        <w:t xml:space="preserve">ial </w:t>
      </w:r>
    </w:p>
    <w:p w14:paraId="133F2B92" w14:textId="77777777" w:rsidR="00083D76" w:rsidRPr="00A71065" w:rsidRDefault="00083D76" w:rsidP="007E67A5">
      <w:pPr>
        <w:pStyle w:val="a5"/>
        <w:widowControl/>
        <w:adjustRightInd w:val="0"/>
        <w:snapToGrid w:val="0"/>
        <w:jc w:val="both"/>
        <w:rPr>
          <w:u w:val="single"/>
        </w:rPr>
      </w:pPr>
    </w:p>
    <w:p w14:paraId="79772892" w14:textId="1113F9DA" w:rsidR="00FF3FEE" w:rsidRPr="00A71065" w:rsidRDefault="009C7E07" w:rsidP="007E67A5">
      <w:pPr>
        <w:pStyle w:val="a5"/>
        <w:widowControl/>
        <w:adjustRightInd w:val="0"/>
        <w:snapToGrid w:val="0"/>
        <w:jc w:val="both"/>
      </w:pPr>
      <w:r w:rsidRPr="00A71065">
        <w:rPr>
          <w:rFonts w:eastAsiaTheme="minorEastAsia" w:hint="eastAsia"/>
          <w:lang w:eastAsia="ko-KR"/>
        </w:rPr>
        <w:t>4</w:t>
      </w:r>
      <w:r w:rsidR="00B414DB" w:rsidRPr="00A71065">
        <w:t xml:space="preserve"> </w:t>
      </w:r>
      <w:r w:rsidR="00FC471F" w:rsidRPr="00A71065">
        <w:t>years</w:t>
      </w:r>
      <w:r w:rsidR="0031151E" w:rsidRPr="00A71065">
        <w:t xml:space="preserve"> (100 mg/ 4 mL).</w:t>
      </w:r>
    </w:p>
    <w:p w14:paraId="6B5C7381" w14:textId="762731CC" w:rsidR="00083D76" w:rsidRPr="00A71065" w:rsidRDefault="00C210A5" w:rsidP="007E67A5">
      <w:pPr>
        <w:pStyle w:val="a5"/>
        <w:widowControl/>
        <w:adjustRightInd w:val="0"/>
        <w:snapToGrid w:val="0"/>
        <w:jc w:val="both"/>
      </w:pPr>
      <w:r w:rsidRPr="00A71065">
        <w:t>4</w:t>
      </w:r>
      <w:r w:rsidR="00FC471F" w:rsidRPr="00A71065">
        <w:t xml:space="preserve"> years</w:t>
      </w:r>
      <w:r w:rsidR="002B7F2F" w:rsidRPr="00A71065">
        <w:t xml:space="preserve"> </w:t>
      </w:r>
      <w:r w:rsidR="00FF3FEE" w:rsidRPr="00A71065">
        <w:t>(400 mg/ 16 mL).</w:t>
      </w:r>
    </w:p>
    <w:p w14:paraId="54C80F7A" w14:textId="77777777" w:rsidR="00083D76" w:rsidRPr="00A71065" w:rsidRDefault="00083D76" w:rsidP="007E67A5">
      <w:pPr>
        <w:pStyle w:val="a5"/>
        <w:widowControl/>
        <w:adjustRightInd w:val="0"/>
        <w:snapToGrid w:val="0"/>
        <w:jc w:val="both"/>
      </w:pPr>
    </w:p>
    <w:p w14:paraId="1A069FA7" w14:textId="77777777" w:rsidR="00083D76" w:rsidRPr="00A71065" w:rsidRDefault="00C210A5" w:rsidP="007E67A5">
      <w:pPr>
        <w:pStyle w:val="a5"/>
        <w:widowControl/>
        <w:adjustRightInd w:val="0"/>
        <w:snapToGrid w:val="0"/>
        <w:jc w:val="both"/>
        <w:rPr>
          <w:u w:val="single"/>
        </w:rPr>
      </w:pPr>
      <w:r w:rsidRPr="00A71065">
        <w:rPr>
          <w:u w:val="single"/>
        </w:rPr>
        <w:t>Diluted medicinal product</w:t>
      </w:r>
    </w:p>
    <w:p w14:paraId="0B278577" w14:textId="77777777" w:rsidR="00083D76" w:rsidRPr="00A71065" w:rsidRDefault="00083D76" w:rsidP="007E67A5">
      <w:pPr>
        <w:pStyle w:val="a5"/>
        <w:widowControl/>
        <w:adjustRightInd w:val="0"/>
        <w:snapToGrid w:val="0"/>
        <w:jc w:val="both"/>
        <w:rPr>
          <w:u w:val="single"/>
        </w:rPr>
      </w:pPr>
    </w:p>
    <w:p w14:paraId="0637D7C3" w14:textId="3212EE43" w:rsidR="00083D76" w:rsidRPr="00A71065" w:rsidRDefault="00C210A5" w:rsidP="007E67A5">
      <w:pPr>
        <w:pStyle w:val="a5"/>
        <w:widowControl/>
        <w:adjustRightInd w:val="0"/>
        <w:snapToGrid w:val="0"/>
        <w:jc w:val="both"/>
      </w:pPr>
      <w:r w:rsidRPr="00A71065">
        <w:t>Chemical and physical in</w:t>
      </w:r>
      <w:r w:rsidR="00FD0731" w:rsidRPr="00A71065">
        <w:noBreakHyphen/>
      </w:r>
      <w:r w:rsidRPr="00A71065">
        <w:t>use stability has been demonstrated for a period of up to 60 days at 2°C to 8°C after dilution and a period of up to 7 days at temperatures not exceeding 30°C in sodium chloride 9 mg/</w:t>
      </w:r>
      <w:r w:rsidR="00487693" w:rsidRPr="00A71065">
        <w:t>mL</w:t>
      </w:r>
      <w:r w:rsidRPr="00A71065">
        <w:t xml:space="preserve"> (0.9%) solution for injection. From a microbiological point of view, the product should be used immediately. If not used immediately, in</w:t>
      </w:r>
      <w:r w:rsidR="00FD0731" w:rsidRPr="00A71065">
        <w:noBreakHyphen/>
      </w:r>
      <w:r w:rsidRPr="00A71065">
        <w:t>use storage times and conditions are the responsibility of the user and would normally not be longer than 24 hours at 2°C to 8°C, unless dilution has taken place in controlled and validated aseptic conditions.</w:t>
      </w:r>
    </w:p>
    <w:p w14:paraId="275D09CA" w14:textId="77777777" w:rsidR="00047E69" w:rsidRPr="00A71065" w:rsidRDefault="00047E69" w:rsidP="007E67A5">
      <w:pPr>
        <w:widowControl/>
        <w:adjustRightInd w:val="0"/>
        <w:snapToGrid w:val="0"/>
        <w:rPr>
          <w:rFonts w:ascii="Times New Roman" w:eastAsia="Times New Roman" w:hAnsi="Times New Roman" w:cs="Times New Roman"/>
        </w:rPr>
      </w:pPr>
    </w:p>
    <w:p w14:paraId="374D5BD5" w14:textId="77777777" w:rsidR="00047E69" w:rsidRPr="00A71065" w:rsidRDefault="00C210A5" w:rsidP="007E67A5">
      <w:pPr>
        <w:pStyle w:val="1"/>
        <w:widowControl/>
        <w:numPr>
          <w:ilvl w:val="1"/>
          <w:numId w:val="12"/>
        </w:numPr>
        <w:tabs>
          <w:tab w:val="left" w:pos="683"/>
        </w:tabs>
        <w:ind w:left="0" w:firstLine="0"/>
      </w:pPr>
      <w:r w:rsidRPr="00A71065">
        <w:t>Special precautions for storage</w:t>
      </w:r>
    </w:p>
    <w:p w14:paraId="2DC8BEDD"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74B71DDC" w14:textId="77777777" w:rsidR="00FC471F" w:rsidRPr="00A71065" w:rsidRDefault="00C210A5" w:rsidP="007E67A5">
      <w:pPr>
        <w:pStyle w:val="a5"/>
        <w:widowControl/>
        <w:adjustRightInd w:val="0"/>
        <w:snapToGrid w:val="0"/>
      </w:pPr>
      <w:r w:rsidRPr="00A71065">
        <w:t>Store in a refrigerator (2°C-8°C).</w:t>
      </w:r>
    </w:p>
    <w:p w14:paraId="094EFEE1" w14:textId="1B4B529D" w:rsidR="00047E69" w:rsidRPr="00A71065" w:rsidRDefault="00C210A5" w:rsidP="007E67A5">
      <w:pPr>
        <w:pStyle w:val="a5"/>
        <w:widowControl/>
        <w:adjustRightInd w:val="0"/>
        <w:snapToGrid w:val="0"/>
      </w:pPr>
      <w:r w:rsidRPr="00A71065">
        <w:t>Do not freeze.</w:t>
      </w:r>
    </w:p>
    <w:p w14:paraId="3694A201" w14:textId="77777777" w:rsidR="00047E69" w:rsidRPr="00A71065" w:rsidRDefault="00C210A5" w:rsidP="007E67A5">
      <w:pPr>
        <w:pStyle w:val="a5"/>
        <w:widowControl/>
        <w:adjustRightInd w:val="0"/>
        <w:snapToGrid w:val="0"/>
      </w:pPr>
      <w:r w:rsidRPr="00A71065">
        <w:t>Keep the vial in the outer carton in order to protect from light.</w:t>
      </w:r>
    </w:p>
    <w:p w14:paraId="7F17D6E7"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509C5441" w14:textId="77777777" w:rsidR="00047E69" w:rsidRPr="00A71065" w:rsidRDefault="00C210A5" w:rsidP="007E67A5">
      <w:pPr>
        <w:pStyle w:val="a5"/>
        <w:widowControl/>
        <w:adjustRightInd w:val="0"/>
        <w:snapToGrid w:val="0"/>
      </w:pPr>
      <w:r w:rsidRPr="00A71065">
        <w:lastRenderedPageBreak/>
        <w:t>For storage conditions after dilution of the medicinal product, see section 6.3.</w:t>
      </w:r>
    </w:p>
    <w:p w14:paraId="185910AA" w14:textId="77777777" w:rsidR="00EF068E" w:rsidRPr="00A71065" w:rsidRDefault="00EF068E" w:rsidP="00C32D39">
      <w:pPr>
        <w:rPr>
          <w:b/>
          <w:bCs/>
        </w:rPr>
      </w:pPr>
    </w:p>
    <w:p w14:paraId="2BE11570" w14:textId="77777777" w:rsidR="00047E69" w:rsidRPr="00A71065" w:rsidRDefault="00C210A5" w:rsidP="007E67A5">
      <w:pPr>
        <w:pStyle w:val="1"/>
        <w:widowControl/>
        <w:numPr>
          <w:ilvl w:val="1"/>
          <w:numId w:val="12"/>
        </w:numPr>
        <w:tabs>
          <w:tab w:val="left" w:pos="683"/>
        </w:tabs>
        <w:ind w:left="0" w:firstLine="0"/>
      </w:pPr>
      <w:r w:rsidRPr="00A71065">
        <w:t>Nature and contents of container</w:t>
      </w:r>
    </w:p>
    <w:p w14:paraId="75002EB2"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230C47AB" w14:textId="77777777" w:rsidR="00047E69" w:rsidRDefault="00C210A5" w:rsidP="007E67A5">
      <w:pPr>
        <w:pStyle w:val="a5"/>
        <w:widowControl/>
        <w:adjustRightInd w:val="0"/>
        <w:snapToGrid w:val="0"/>
        <w:rPr>
          <w:rFonts w:eastAsiaTheme="minorEastAsia"/>
          <w:lang w:eastAsia="ko-KR"/>
        </w:rPr>
      </w:pPr>
      <w:r w:rsidRPr="00A71065">
        <w:t xml:space="preserve">4 </w:t>
      </w:r>
      <w:r w:rsidR="00FE1D69" w:rsidRPr="00A71065">
        <w:t>m</w:t>
      </w:r>
      <w:r w:rsidR="00487693" w:rsidRPr="00A71065">
        <w:t>L</w:t>
      </w:r>
      <w:r w:rsidRPr="00A71065">
        <w:t xml:space="preserve"> solution in a vial (Type I glass) with a stopper (</w:t>
      </w:r>
      <w:r w:rsidR="000E4CE5" w:rsidRPr="00A71065">
        <w:rPr>
          <w:rFonts w:eastAsiaTheme="minorEastAsia" w:cs="Times New Roman"/>
          <w:lang w:eastAsia="ko-KR"/>
        </w:rPr>
        <w:t>chloro</w:t>
      </w:r>
      <w:r w:rsidRPr="00A71065">
        <w:t>butyl rubber) containing 100 mg of bevacizumab.</w:t>
      </w:r>
    </w:p>
    <w:p w14:paraId="413FDF78" w14:textId="77777777" w:rsidR="00806ABE" w:rsidRPr="00A71065" w:rsidRDefault="00806ABE" w:rsidP="00806ABE">
      <w:pPr>
        <w:pStyle w:val="a5"/>
        <w:widowControl/>
        <w:adjustRightInd w:val="0"/>
        <w:snapToGrid w:val="0"/>
      </w:pPr>
      <w:r w:rsidRPr="00A71065">
        <w:t xml:space="preserve">Pack sizes of 1 and 10 vials. </w:t>
      </w:r>
    </w:p>
    <w:p w14:paraId="2EF49A51" w14:textId="77777777" w:rsidR="00806ABE" w:rsidRPr="00281B12" w:rsidRDefault="00806ABE" w:rsidP="007E67A5">
      <w:pPr>
        <w:pStyle w:val="a5"/>
        <w:widowControl/>
        <w:adjustRightInd w:val="0"/>
        <w:snapToGrid w:val="0"/>
        <w:rPr>
          <w:rFonts w:eastAsiaTheme="minorEastAsia"/>
          <w:lang w:eastAsia="ko-KR"/>
        </w:rPr>
      </w:pPr>
    </w:p>
    <w:p w14:paraId="29263F44" w14:textId="77777777" w:rsidR="00047E69" w:rsidRPr="00A71065" w:rsidRDefault="00C210A5" w:rsidP="007E67A5">
      <w:pPr>
        <w:pStyle w:val="a5"/>
        <w:widowControl/>
        <w:adjustRightInd w:val="0"/>
        <w:snapToGrid w:val="0"/>
      </w:pPr>
      <w:r w:rsidRPr="00A71065">
        <w:t>16 m</w:t>
      </w:r>
      <w:r w:rsidR="00487693" w:rsidRPr="00A71065">
        <w:t>L</w:t>
      </w:r>
      <w:r w:rsidRPr="00A71065">
        <w:t xml:space="preserve"> solution in a vial (Type I glass) with a stopper (</w:t>
      </w:r>
      <w:r w:rsidR="000E4CE5" w:rsidRPr="00A71065">
        <w:t>chloro</w:t>
      </w:r>
      <w:r w:rsidRPr="00A71065">
        <w:t>butyl rubber) containing 400 mg of bevacizumab.</w:t>
      </w:r>
    </w:p>
    <w:p w14:paraId="6A6CE054" w14:textId="3249E5D3" w:rsidR="00047E69" w:rsidRPr="00A71065" w:rsidRDefault="00C210A5" w:rsidP="007E67A5">
      <w:pPr>
        <w:pStyle w:val="a5"/>
        <w:widowControl/>
        <w:adjustRightInd w:val="0"/>
        <w:snapToGrid w:val="0"/>
      </w:pPr>
      <w:r w:rsidRPr="00A71065">
        <w:t xml:space="preserve">Pack </w:t>
      </w:r>
      <w:r w:rsidR="006E6A51" w:rsidRPr="00A71065">
        <w:t>sizes of 1</w:t>
      </w:r>
      <w:r w:rsidR="00281B12">
        <w:rPr>
          <w:rFonts w:eastAsiaTheme="minorEastAsia" w:hint="eastAsia"/>
          <w:lang w:eastAsia="ko-KR"/>
        </w:rPr>
        <w:t>, 2</w:t>
      </w:r>
      <w:r w:rsidR="006E6A51" w:rsidRPr="00A71065">
        <w:t xml:space="preserve"> and 10 vials. </w:t>
      </w:r>
    </w:p>
    <w:p w14:paraId="2B58D447" w14:textId="77777777" w:rsidR="00281B12" w:rsidRDefault="00281B12" w:rsidP="007E67A5">
      <w:pPr>
        <w:pStyle w:val="a5"/>
        <w:widowControl/>
        <w:adjustRightInd w:val="0"/>
        <w:snapToGrid w:val="0"/>
        <w:rPr>
          <w:rFonts w:eastAsiaTheme="minorEastAsia"/>
          <w:lang w:eastAsia="ko-KR"/>
        </w:rPr>
      </w:pPr>
    </w:p>
    <w:p w14:paraId="6DE6F4FE" w14:textId="481A1307" w:rsidR="00CC5F76" w:rsidRPr="00A71065" w:rsidRDefault="00C210A5" w:rsidP="007E67A5">
      <w:pPr>
        <w:pStyle w:val="a5"/>
        <w:widowControl/>
        <w:adjustRightInd w:val="0"/>
        <w:snapToGrid w:val="0"/>
      </w:pPr>
      <w:r w:rsidRPr="00A71065">
        <w:t>Not all pack sizes may be marketed.</w:t>
      </w:r>
    </w:p>
    <w:p w14:paraId="5051A57D" w14:textId="77777777" w:rsidR="00047E69" w:rsidRPr="00A71065" w:rsidRDefault="00047E69" w:rsidP="007E67A5">
      <w:pPr>
        <w:widowControl/>
        <w:adjustRightInd w:val="0"/>
        <w:snapToGrid w:val="0"/>
        <w:rPr>
          <w:rFonts w:ascii="Times New Roman" w:eastAsia="Times New Roman" w:hAnsi="Times New Roman" w:cs="Times New Roman"/>
        </w:rPr>
      </w:pPr>
    </w:p>
    <w:p w14:paraId="674697EE" w14:textId="77777777" w:rsidR="00047E69" w:rsidRPr="00A71065" w:rsidRDefault="00C210A5" w:rsidP="007E67A5">
      <w:pPr>
        <w:pStyle w:val="1"/>
        <w:widowControl/>
        <w:numPr>
          <w:ilvl w:val="1"/>
          <w:numId w:val="12"/>
        </w:numPr>
        <w:tabs>
          <w:tab w:val="left" w:pos="683"/>
        </w:tabs>
        <w:ind w:left="0" w:firstLine="0"/>
      </w:pPr>
      <w:r w:rsidRPr="00A71065">
        <w:t>Special precautions for disposal and other handling</w:t>
      </w:r>
    </w:p>
    <w:p w14:paraId="1A3F7867"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0FFAD353" w14:textId="5ED1CF0D" w:rsidR="00047E69" w:rsidRPr="00A71065" w:rsidRDefault="00A32819" w:rsidP="007E67A5">
      <w:pPr>
        <w:pStyle w:val="a5"/>
        <w:widowControl/>
        <w:adjustRightInd w:val="0"/>
        <w:snapToGrid w:val="0"/>
      </w:pPr>
      <w:r>
        <w:rPr>
          <w:rFonts w:eastAsiaTheme="minorEastAsia" w:cs="Times New Roman"/>
          <w:lang w:eastAsia="ko-KR"/>
        </w:rPr>
        <w:t>Vegzelma</w:t>
      </w:r>
      <w:r w:rsidR="00C210A5" w:rsidRPr="00A71065">
        <w:t xml:space="preserve"> should be prepared by a healthcare professional using aseptic technique to ensure the sterility</w:t>
      </w:r>
      <w:r w:rsidR="00CB6AA9" w:rsidRPr="00A71065">
        <w:t xml:space="preserve"> </w:t>
      </w:r>
      <w:r w:rsidR="00C210A5" w:rsidRPr="00A71065">
        <w:t xml:space="preserve">of the prepared solution. A sterile needle and syringe should be used to prepare </w:t>
      </w:r>
      <w:r>
        <w:t>Vegzelma</w:t>
      </w:r>
      <w:r w:rsidR="00C210A5" w:rsidRPr="00A71065">
        <w:t>.</w:t>
      </w:r>
    </w:p>
    <w:p w14:paraId="2489CAB4"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55323408" w14:textId="3201046F" w:rsidR="00047E69" w:rsidRPr="00A71065" w:rsidRDefault="00C210A5" w:rsidP="007E67A5">
      <w:pPr>
        <w:pStyle w:val="a5"/>
        <w:widowControl/>
        <w:adjustRightInd w:val="0"/>
        <w:snapToGrid w:val="0"/>
      </w:pPr>
      <w:r w:rsidRPr="00A71065">
        <w:t>The necessary amount of bevacizumab should be withdrawn and diluted to the required administration volume with sodium chloride 9 mg/</w:t>
      </w:r>
      <w:r w:rsidR="00487693" w:rsidRPr="00A71065">
        <w:t>mL</w:t>
      </w:r>
      <w:r w:rsidRPr="00A71065">
        <w:t xml:space="preserve"> (0.9%) solution for injection. The concentration of the final bevacizumab solution should be kept within the range of 1.4 mg/</w:t>
      </w:r>
      <w:r w:rsidR="00487693" w:rsidRPr="00A71065">
        <w:t>mL</w:t>
      </w:r>
      <w:r w:rsidRPr="00A71065">
        <w:t xml:space="preserve"> to 16.5 mg/</w:t>
      </w:r>
      <w:r w:rsidR="00487693" w:rsidRPr="00A71065">
        <w:t>mL</w:t>
      </w:r>
      <w:r w:rsidRPr="00A71065">
        <w:t xml:space="preserve">. In the majority of the occasions the necessary amount of </w:t>
      </w:r>
      <w:r w:rsidR="00A32819">
        <w:t>Vegzelma</w:t>
      </w:r>
      <w:r w:rsidRPr="00A71065">
        <w:t xml:space="preserve"> can be diluted with 0.9 % sodium chloride solution for injection to a total volume of 100 mL.</w:t>
      </w:r>
    </w:p>
    <w:p w14:paraId="0202EC2E"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452B48F3" w14:textId="77777777" w:rsidR="00047E69" w:rsidRPr="00A71065" w:rsidRDefault="00C210A5" w:rsidP="007E67A5">
      <w:pPr>
        <w:pStyle w:val="a5"/>
        <w:widowControl/>
        <w:adjustRightInd w:val="0"/>
        <w:snapToGrid w:val="0"/>
      </w:pPr>
      <w:r w:rsidRPr="00A71065">
        <w:t>Parenteral medicinal products should be inspected visually for particulate matter and discolouration prior to administration.</w:t>
      </w:r>
    </w:p>
    <w:p w14:paraId="289A5A83" w14:textId="77777777" w:rsidR="00047E69" w:rsidRPr="00A71065" w:rsidRDefault="00047E69" w:rsidP="007E67A5">
      <w:pPr>
        <w:widowControl/>
        <w:adjustRightInd w:val="0"/>
        <w:snapToGrid w:val="0"/>
        <w:rPr>
          <w:rFonts w:ascii="Times New Roman" w:eastAsia="Times New Roman" w:hAnsi="Times New Roman" w:cs="Times New Roman"/>
          <w:sz w:val="21"/>
          <w:szCs w:val="21"/>
        </w:rPr>
      </w:pPr>
    </w:p>
    <w:p w14:paraId="448F21F7" w14:textId="6C13E093" w:rsidR="00047E69" w:rsidRPr="00A71065" w:rsidRDefault="00C210A5" w:rsidP="007E67A5">
      <w:pPr>
        <w:widowControl/>
        <w:adjustRightInd w:val="0"/>
        <w:snapToGrid w:val="0"/>
        <w:rPr>
          <w:rFonts w:ascii="Times New Roman" w:eastAsia="Times New Roman" w:hAnsi="Times New Roman"/>
        </w:rPr>
      </w:pPr>
      <w:r w:rsidRPr="00A71065">
        <w:rPr>
          <w:rFonts w:ascii="Times New Roman" w:eastAsia="Times New Roman" w:hAnsi="Times New Roman"/>
        </w:rPr>
        <w:t xml:space="preserve">No incompatibilities between </w:t>
      </w:r>
      <w:r w:rsidR="00A32819">
        <w:rPr>
          <w:rFonts w:ascii="Times New Roman" w:eastAsia="Times New Roman" w:hAnsi="Times New Roman"/>
        </w:rPr>
        <w:t>Vegzelma</w:t>
      </w:r>
      <w:r w:rsidRPr="00A71065">
        <w:rPr>
          <w:rFonts w:ascii="Times New Roman" w:eastAsia="Times New Roman" w:hAnsi="Times New Roman"/>
        </w:rPr>
        <w:t xml:space="preserve"> and polyolefine bags or infusion sets have been observed.</w:t>
      </w:r>
    </w:p>
    <w:p w14:paraId="4018F2E0" w14:textId="77777777" w:rsidR="0093187A" w:rsidRPr="00A71065" w:rsidRDefault="0093187A" w:rsidP="007E67A5">
      <w:pPr>
        <w:widowControl/>
        <w:adjustRightInd w:val="0"/>
        <w:snapToGrid w:val="0"/>
        <w:rPr>
          <w:rFonts w:ascii="Times New Roman" w:eastAsia="Times New Roman" w:hAnsi="Times New Roman"/>
        </w:rPr>
      </w:pPr>
    </w:p>
    <w:p w14:paraId="4216DA6B" w14:textId="519B67D4" w:rsidR="00047E69" w:rsidRPr="00A71065" w:rsidRDefault="00A32819" w:rsidP="007E67A5">
      <w:pPr>
        <w:pStyle w:val="a5"/>
        <w:widowControl/>
        <w:adjustRightInd w:val="0"/>
        <w:snapToGrid w:val="0"/>
      </w:pPr>
      <w:r>
        <w:t>Vegzelma</w:t>
      </w:r>
      <w:r w:rsidR="00C210A5" w:rsidRPr="00A71065">
        <w:t xml:space="preserve"> is for single</w:t>
      </w:r>
      <w:r w:rsidR="00FD0731" w:rsidRPr="00A71065">
        <w:noBreakHyphen/>
      </w:r>
      <w:r w:rsidR="00C210A5" w:rsidRPr="00A71065">
        <w:t>use only, as the product contains no preservatives. Any unused medicinal product or waste material should be disposed in accordance with local requirements.</w:t>
      </w:r>
    </w:p>
    <w:p w14:paraId="01C624F9" w14:textId="4F714622" w:rsidR="00047E69" w:rsidRPr="00A71065" w:rsidRDefault="00047E69" w:rsidP="007E67A5">
      <w:pPr>
        <w:widowControl/>
        <w:adjustRightInd w:val="0"/>
        <w:snapToGrid w:val="0"/>
        <w:rPr>
          <w:rFonts w:ascii="Times New Roman" w:eastAsia="Times New Roman" w:hAnsi="Times New Roman" w:cs="Times New Roman"/>
        </w:rPr>
      </w:pPr>
    </w:p>
    <w:p w14:paraId="479C613D" w14:textId="77777777" w:rsidR="0079332C" w:rsidRPr="00A71065" w:rsidRDefault="0079332C" w:rsidP="007E67A5">
      <w:pPr>
        <w:widowControl/>
        <w:adjustRightInd w:val="0"/>
        <w:snapToGrid w:val="0"/>
        <w:rPr>
          <w:rFonts w:ascii="Times New Roman" w:eastAsia="Times New Roman" w:hAnsi="Times New Roman" w:cs="Times New Roman"/>
        </w:rPr>
      </w:pPr>
    </w:p>
    <w:p w14:paraId="29851FBA" w14:textId="77777777" w:rsidR="00047E69" w:rsidRPr="00A71065" w:rsidRDefault="00C210A5" w:rsidP="007E67A5">
      <w:pPr>
        <w:pStyle w:val="1"/>
        <w:widowControl/>
        <w:numPr>
          <w:ilvl w:val="0"/>
          <w:numId w:val="12"/>
        </w:numPr>
        <w:tabs>
          <w:tab w:val="left" w:pos="683"/>
        </w:tabs>
        <w:ind w:left="0" w:firstLine="0"/>
        <w:rPr>
          <w:b w:val="0"/>
          <w:bCs w:val="0"/>
        </w:rPr>
      </w:pPr>
      <w:r w:rsidRPr="00A71065">
        <w:t>MARKETING AUTHORISATION HOLDER</w:t>
      </w:r>
    </w:p>
    <w:p w14:paraId="731EF00C" w14:textId="77777777" w:rsidR="00047E69" w:rsidRPr="00A71065" w:rsidRDefault="00047E69" w:rsidP="007E67A5">
      <w:pPr>
        <w:widowControl/>
        <w:adjustRightInd w:val="0"/>
        <w:snapToGrid w:val="0"/>
        <w:rPr>
          <w:rFonts w:ascii="Times New Roman" w:eastAsia="Times New Roman" w:hAnsi="Times New Roman" w:cs="Times New Roman"/>
          <w:b/>
          <w:bCs/>
        </w:rPr>
      </w:pPr>
    </w:p>
    <w:p w14:paraId="04EBE629" w14:textId="77777777" w:rsidR="00047E69" w:rsidRPr="00A71065" w:rsidRDefault="00C210A5" w:rsidP="007E67A5">
      <w:pPr>
        <w:pStyle w:val="a5"/>
        <w:widowControl/>
        <w:kinsoku w:val="0"/>
        <w:overflowPunct w:val="0"/>
        <w:adjustRightInd w:val="0"/>
        <w:snapToGrid w:val="0"/>
      </w:pPr>
      <w:r w:rsidRPr="00A71065">
        <w:t>Celltrion Healthcare Hungary Kft.</w:t>
      </w:r>
    </w:p>
    <w:p w14:paraId="68E978A7" w14:textId="77777777" w:rsidR="00047E69" w:rsidRPr="00A71065" w:rsidRDefault="00C210A5" w:rsidP="007E67A5">
      <w:pPr>
        <w:pStyle w:val="a5"/>
        <w:widowControl/>
        <w:kinsoku w:val="0"/>
        <w:overflowPunct w:val="0"/>
        <w:adjustRightInd w:val="0"/>
        <w:snapToGrid w:val="0"/>
      </w:pPr>
      <w:r w:rsidRPr="00A71065">
        <w:t>1062 Budapest</w:t>
      </w:r>
    </w:p>
    <w:p w14:paraId="5FC67CA0" w14:textId="77777777" w:rsidR="00047E69" w:rsidRPr="00A71065" w:rsidRDefault="00C210A5" w:rsidP="007E67A5">
      <w:pPr>
        <w:pStyle w:val="a5"/>
        <w:widowControl/>
        <w:kinsoku w:val="0"/>
        <w:overflowPunct w:val="0"/>
        <w:adjustRightInd w:val="0"/>
        <w:snapToGrid w:val="0"/>
      </w:pPr>
      <w:r w:rsidRPr="00A71065">
        <w:t>Váci út 1-3. WestEnd Office Building B torony</w:t>
      </w:r>
    </w:p>
    <w:p w14:paraId="5CA7FDC9" w14:textId="77777777" w:rsidR="00047E69" w:rsidRPr="00A71065" w:rsidRDefault="00C210A5" w:rsidP="007E67A5">
      <w:pPr>
        <w:pStyle w:val="a5"/>
        <w:widowControl/>
        <w:adjustRightInd w:val="0"/>
        <w:snapToGrid w:val="0"/>
        <w:rPr>
          <w:rFonts w:cs="Times New Roman"/>
        </w:rPr>
      </w:pPr>
      <w:r w:rsidRPr="00A71065">
        <w:t>Hungary</w:t>
      </w:r>
    </w:p>
    <w:p w14:paraId="33BFE4EF" w14:textId="03150956" w:rsidR="00047E69" w:rsidRPr="00A71065" w:rsidRDefault="00047E69" w:rsidP="007E67A5">
      <w:pPr>
        <w:widowControl/>
        <w:adjustRightInd w:val="0"/>
        <w:snapToGrid w:val="0"/>
        <w:rPr>
          <w:rFonts w:ascii="Times New Roman" w:eastAsia="Times New Roman" w:hAnsi="Times New Roman" w:cs="Times New Roman"/>
        </w:rPr>
      </w:pPr>
    </w:p>
    <w:p w14:paraId="5913EC33" w14:textId="77777777" w:rsidR="0079332C" w:rsidRPr="00A71065" w:rsidRDefault="0079332C" w:rsidP="007E67A5">
      <w:pPr>
        <w:widowControl/>
        <w:adjustRightInd w:val="0"/>
        <w:snapToGrid w:val="0"/>
        <w:rPr>
          <w:rFonts w:ascii="Times New Roman" w:eastAsia="Times New Roman" w:hAnsi="Times New Roman" w:cs="Times New Roman"/>
        </w:rPr>
      </w:pPr>
    </w:p>
    <w:p w14:paraId="63BE614A" w14:textId="77777777" w:rsidR="00047E69" w:rsidRPr="00A71065" w:rsidRDefault="00C210A5" w:rsidP="007E67A5">
      <w:pPr>
        <w:pStyle w:val="1"/>
        <w:widowControl/>
        <w:numPr>
          <w:ilvl w:val="0"/>
          <w:numId w:val="12"/>
        </w:numPr>
        <w:tabs>
          <w:tab w:val="left" w:pos="682"/>
        </w:tabs>
        <w:ind w:left="0" w:firstLine="0"/>
      </w:pPr>
      <w:r w:rsidRPr="00A71065">
        <w:t>MARKETING AUTHORISATION NUMBER(S)</w:t>
      </w:r>
    </w:p>
    <w:p w14:paraId="19A74421" w14:textId="77777777" w:rsidR="00047E69" w:rsidRPr="00A71065" w:rsidRDefault="00047E69" w:rsidP="007E67A5">
      <w:pPr>
        <w:widowControl/>
        <w:adjustRightInd w:val="0"/>
        <w:snapToGrid w:val="0"/>
        <w:rPr>
          <w:rFonts w:ascii="Times New Roman" w:hAnsi="Times New Roman" w:cs="Times New Roman"/>
          <w:b/>
          <w:bCs/>
          <w:sz w:val="21"/>
          <w:szCs w:val="21"/>
          <w:lang w:eastAsia="ko-KR"/>
        </w:rPr>
      </w:pPr>
    </w:p>
    <w:p w14:paraId="40ED5D36" w14:textId="51EB16BE" w:rsidR="00047E69" w:rsidRPr="00A71065" w:rsidRDefault="00A32819" w:rsidP="007E67A5">
      <w:pPr>
        <w:widowControl/>
        <w:adjustRightInd w:val="0"/>
        <w:snapToGrid w:val="0"/>
        <w:rPr>
          <w:rFonts w:ascii="Times New Roman" w:hAnsi="Times New Roman" w:cs="Times New Roman"/>
          <w:u w:val="single"/>
          <w:lang w:val="fr-CA" w:eastAsia="ko-KR"/>
        </w:rPr>
      </w:pPr>
      <w:r>
        <w:rPr>
          <w:rFonts w:ascii="Times New Roman" w:hAnsi="Times New Roman" w:cs="Times New Roman"/>
          <w:u w:val="single"/>
          <w:lang w:val="fr-CA" w:eastAsia="ko-KR"/>
        </w:rPr>
        <w:t>Vegzelma</w:t>
      </w:r>
      <w:r w:rsidR="00C210A5" w:rsidRPr="00A71065">
        <w:rPr>
          <w:rFonts w:ascii="Times New Roman" w:hAnsi="Times New Roman" w:cs="Times New Roman"/>
          <w:u w:val="single"/>
          <w:lang w:val="fr-CA" w:eastAsia="ko-KR"/>
        </w:rPr>
        <w:t xml:space="preserve"> 100</w:t>
      </w:r>
      <w:r w:rsidR="000871AA">
        <w:rPr>
          <w:rFonts w:ascii="Times New Roman" w:hAnsi="Times New Roman" w:cs="Times New Roman" w:hint="eastAsia"/>
          <w:u w:val="single"/>
          <w:lang w:val="fr-CA" w:eastAsia="ko-KR"/>
        </w:rPr>
        <w:t xml:space="preserve"> </w:t>
      </w:r>
      <w:r w:rsidR="00C210A5" w:rsidRPr="00A71065">
        <w:rPr>
          <w:rFonts w:ascii="Times New Roman" w:hAnsi="Times New Roman" w:cs="Times New Roman"/>
          <w:u w:val="single"/>
          <w:lang w:val="fr-CA" w:eastAsia="ko-KR"/>
        </w:rPr>
        <w:t>mg</w:t>
      </w:r>
    </w:p>
    <w:p w14:paraId="6D1DB56F" w14:textId="6BE84A04" w:rsidR="00047E69" w:rsidRPr="00A71065" w:rsidRDefault="004A14D4" w:rsidP="007E67A5">
      <w:pPr>
        <w:widowControl/>
        <w:adjustRightInd w:val="0"/>
        <w:snapToGrid w:val="0"/>
        <w:rPr>
          <w:rFonts w:ascii="Times New Roman" w:hAnsi="Times New Roman" w:cs="Times New Roman"/>
          <w:lang w:val="fr-CA" w:eastAsia="ko-KR"/>
        </w:rPr>
      </w:pPr>
      <w:bookmarkStart w:id="10" w:name="_Hlk107293836"/>
      <w:bookmarkStart w:id="11" w:name="_Hlk107231018"/>
      <w:bookmarkStart w:id="12" w:name="_Hlk107293797"/>
      <w:bookmarkStart w:id="13" w:name="_Hlk107293071"/>
      <w:r w:rsidRPr="00A71065">
        <w:rPr>
          <w:rFonts w:ascii="Times New Roman" w:hAnsi="Times New Roman" w:cs="Times New Roman"/>
          <w:lang w:val="fr-CA" w:eastAsia="ko-KR"/>
        </w:rPr>
        <w:t>EU/1/22/1667/001</w:t>
      </w:r>
    </w:p>
    <w:bookmarkEnd w:id="10"/>
    <w:p w14:paraId="7BD7A275" w14:textId="0C505FBB" w:rsidR="004A14D4" w:rsidRPr="00A71065" w:rsidRDefault="004A14D4" w:rsidP="007E67A5">
      <w:pPr>
        <w:widowControl/>
        <w:adjustRightInd w:val="0"/>
        <w:snapToGrid w:val="0"/>
        <w:rPr>
          <w:rFonts w:ascii="Times New Roman" w:hAnsi="Times New Roman" w:cs="Times New Roman"/>
          <w:lang w:val="fr-CA" w:eastAsia="ko-KR"/>
        </w:rPr>
      </w:pPr>
      <w:r w:rsidRPr="00A71065">
        <w:rPr>
          <w:rFonts w:ascii="Times New Roman" w:hAnsi="Times New Roman" w:cs="Times New Roman"/>
          <w:lang w:val="fr-CA" w:eastAsia="ko-KR"/>
        </w:rPr>
        <w:t>EU/1/22/1667/003</w:t>
      </w:r>
      <w:bookmarkEnd w:id="11"/>
      <w:bookmarkEnd w:id="12"/>
    </w:p>
    <w:bookmarkEnd w:id="13"/>
    <w:p w14:paraId="7EB19D22" w14:textId="77777777" w:rsidR="00CC5F76" w:rsidRPr="00A71065" w:rsidRDefault="00CC5F76" w:rsidP="007E67A5">
      <w:pPr>
        <w:widowControl/>
        <w:adjustRightInd w:val="0"/>
        <w:snapToGrid w:val="0"/>
        <w:rPr>
          <w:rFonts w:ascii="Times New Roman" w:hAnsi="Times New Roman" w:cs="Times New Roman"/>
          <w:lang w:val="fr-CA" w:eastAsia="ko-KR"/>
        </w:rPr>
      </w:pPr>
    </w:p>
    <w:p w14:paraId="7EE62A2B" w14:textId="42D451FD" w:rsidR="00047E69" w:rsidRPr="00A71065" w:rsidRDefault="00A32819" w:rsidP="007E67A5">
      <w:pPr>
        <w:widowControl/>
        <w:adjustRightInd w:val="0"/>
        <w:snapToGrid w:val="0"/>
        <w:rPr>
          <w:rFonts w:ascii="Times New Roman" w:hAnsi="Times New Roman" w:cs="Times New Roman"/>
          <w:u w:val="single"/>
          <w:lang w:val="fr-CA" w:eastAsia="ko-KR"/>
        </w:rPr>
      </w:pPr>
      <w:r>
        <w:rPr>
          <w:rFonts w:ascii="Times New Roman" w:hAnsi="Times New Roman" w:cs="Times New Roman"/>
          <w:u w:val="single"/>
          <w:lang w:val="fr-CA" w:eastAsia="ko-KR"/>
        </w:rPr>
        <w:t>Vegzelma</w:t>
      </w:r>
      <w:r w:rsidR="00C210A5" w:rsidRPr="00A71065">
        <w:rPr>
          <w:rFonts w:ascii="Times New Roman" w:hAnsi="Times New Roman" w:cs="Times New Roman"/>
          <w:u w:val="single"/>
          <w:lang w:val="fr-CA" w:eastAsia="ko-KR"/>
        </w:rPr>
        <w:t xml:space="preserve"> 400</w:t>
      </w:r>
      <w:r w:rsidR="000871AA">
        <w:rPr>
          <w:rFonts w:ascii="Times New Roman" w:hAnsi="Times New Roman" w:cs="Times New Roman" w:hint="eastAsia"/>
          <w:u w:val="single"/>
          <w:lang w:val="fr-CA" w:eastAsia="ko-KR"/>
        </w:rPr>
        <w:t xml:space="preserve"> </w:t>
      </w:r>
      <w:r w:rsidR="00C210A5" w:rsidRPr="00A71065">
        <w:rPr>
          <w:rFonts w:ascii="Times New Roman" w:hAnsi="Times New Roman" w:cs="Times New Roman"/>
          <w:u w:val="single"/>
          <w:lang w:val="fr-CA" w:eastAsia="ko-KR"/>
        </w:rPr>
        <w:t>mg</w:t>
      </w:r>
    </w:p>
    <w:p w14:paraId="0F0558CC" w14:textId="0CE71F57" w:rsidR="004A14D4" w:rsidRPr="00A71065" w:rsidRDefault="004A14D4" w:rsidP="007E67A5">
      <w:pPr>
        <w:widowControl/>
        <w:adjustRightInd w:val="0"/>
        <w:snapToGrid w:val="0"/>
        <w:rPr>
          <w:rFonts w:ascii="Times New Roman" w:hAnsi="Times New Roman" w:cs="Times New Roman"/>
          <w:lang w:val="fr-CA" w:eastAsia="ko-KR"/>
        </w:rPr>
      </w:pPr>
      <w:bookmarkStart w:id="14" w:name="_Hlk107293943"/>
      <w:bookmarkStart w:id="15" w:name="_Hlk107231025"/>
      <w:bookmarkStart w:id="16" w:name="_Hlk107293088"/>
      <w:bookmarkStart w:id="17" w:name="_Hlk107299081"/>
      <w:r w:rsidRPr="00A71065">
        <w:rPr>
          <w:rFonts w:ascii="Times New Roman" w:hAnsi="Times New Roman" w:cs="Times New Roman"/>
          <w:lang w:val="fr-CA" w:eastAsia="ko-KR"/>
        </w:rPr>
        <w:t>EU/1/22/1667/002</w:t>
      </w:r>
      <w:bookmarkEnd w:id="14"/>
    </w:p>
    <w:p w14:paraId="42C48E58" w14:textId="7649E74F" w:rsidR="00047E69" w:rsidRDefault="004A14D4" w:rsidP="007E67A5">
      <w:pPr>
        <w:widowControl/>
        <w:adjustRightInd w:val="0"/>
        <w:snapToGrid w:val="0"/>
        <w:rPr>
          <w:rFonts w:ascii="Times New Roman" w:hAnsi="Times New Roman" w:cs="Times New Roman"/>
          <w:lang w:val="fr-CA" w:eastAsia="ko-KR"/>
        </w:rPr>
      </w:pPr>
      <w:r w:rsidRPr="00A71065">
        <w:rPr>
          <w:rFonts w:ascii="Times New Roman" w:hAnsi="Times New Roman" w:cs="Times New Roman"/>
          <w:lang w:val="fr-CA" w:eastAsia="ko-KR"/>
        </w:rPr>
        <w:t>EU/1/22/1667/004</w:t>
      </w:r>
      <w:bookmarkEnd w:id="15"/>
      <w:bookmarkEnd w:id="16"/>
    </w:p>
    <w:p w14:paraId="54D06AD0" w14:textId="597C4053" w:rsidR="00C539F5" w:rsidRPr="00A71065" w:rsidRDefault="00C539F5" w:rsidP="007E67A5">
      <w:pPr>
        <w:widowControl/>
        <w:adjustRightInd w:val="0"/>
        <w:snapToGrid w:val="0"/>
        <w:rPr>
          <w:rFonts w:ascii="Times New Roman" w:hAnsi="Times New Roman" w:cs="Times New Roman"/>
          <w:lang w:val="fr-CA" w:eastAsia="ko-KR"/>
        </w:rPr>
      </w:pPr>
      <w:r>
        <w:rPr>
          <w:rFonts w:ascii="Times New Roman" w:hAnsi="Times New Roman" w:cs="Times New Roman" w:hint="eastAsia"/>
          <w:lang w:val="fr-CA" w:eastAsia="ko-KR"/>
        </w:rPr>
        <w:t>EU/1/22/1667/005</w:t>
      </w:r>
    </w:p>
    <w:bookmarkEnd w:id="17"/>
    <w:p w14:paraId="2D3A661D" w14:textId="1C9B930F" w:rsidR="0079332C" w:rsidRPr="00A71065" w:rsidRDefault="0079332C" w:rsidP="007E67A5">
      <w:pPr>
        <w:widowControl/>
        <w:adjustRightInd w:val="0"/>
        <w:snapToGrid w:val="0"/>
        <w:rPr>
          <w:rFonts w:ascii="Times New Roman" w:hAnsi="Times New Roman" w:cs="Times New Roman"/>
          <w:lang w:val="fr-CA" w:eastAsia="ko-KR"/>
        </w:rPr>
      </w:pPr>
    </w:p>
    <w:p w14:paraId="1765549C" w14:textId="77777777" w:rsidR="004A14D4" w:rsidRPr="00A71065" w:rsidRDefault="004A14D4" w:rsidP="007E67A5">
      <w:pPr>
        <w:widowControl/>
        <w:adjustRightInd w:val="0"/>
        <w:snapToGrid w:val="0"/>
        <w:rPr>
          <w:rFonts w:ascii="Times New Roman" w:hAnsi="Times New Roman" w:cs="Times New Roman"/>
          <w:lang w:val="fr-CA" w:eastAsia="ko-KR"/>
        </w:rPr>
      </w:pPr>
    </w:p>
    <w:p w14:paraId="09959F5D" w14:textId="77777777" w:rsidR="00047E69" w:rsidRPr="00A71065" w:rsidRDefault="00C210A5" w:rsidP="00F27253">
      <w:pPr>
        <w:pStyle w:val="1"/>
        <w:keepNext/>
        <w:keepLines/>
        <w:widowControl/>
        <w:numPr>
          <w:ilvl w:val="0"/>
          <w:numId w:val="12"/>
        </w:numPr>
        <w:tabs>
          <w:tab w:val="left" w:pos="683"/>
        </w:tabs>
        <w:ind w:left="0" w:firstLine="0"/>
      </w:pPr>
      <w:r w:rsidRPr="00A71065">
        <w:lastRenderedPageBreak/>
        <w:t>DATE OF FIRST AUTHORISATION/RENEWAL OF THE AUTHORISATION</w:t>
      </w:r>
    </w:p>
    <w:p w14:paraId="6F53F3C7" w14:textId="77777777" w:rsidR="000871AA" w:rsidRDefault="000871AA" w:rsidP="00F27253">
      <w:pPr>
        <w:keepNext/>
        <w:keepLines/>
        <w:widowControl/>
        <w:adjustRightInd w:val="0"/>
        <w:snapToGrid w:val="0"/>
        <w:rPr>
          <w:rFonts w:ascii="Times New Roman" w:hAnsi="Times New Roman" w:cs="Times New Roman"/>
          <w:lang w:eastAsia="ko-KR"/>
        </w:rPr>
      </w:pPr>
    </w:p>
    <w:p w14:paraId="4C0F5AA6" w14:textId="6009B43A" w:rsidR="00047E69" w:rsidRPr="00A71065" w:rsidRDefault="00205EF7" w:rsidP="00F27253">
      <w:pPr>
        <w:keepNext/>
        <w:keepLines/>
        <w:widowControl/>
        <w:adjustRightInd w:val="0"/>
        <w:snapToGrid w:val="0"/>
        <w:rPr>
          <w:rFonts w:ascii="Times New Roman" w:hAnsi="Times New Roman" w:cs="Times New Roman"/>
          <w:lang w:eastAsia="ko-KR"/>
        </w:rPr>
      </w:pPr>
      <w:r w:rsidRPr="00A71065">
        <w:rPr>
          <w:rFonts w:ascii="Times New Roman" w:hAnsi="Times New Roman" w:cs="Times New Roman" w:hint="eastAsia"/>
          <w:lang w:eastAsia="ko-KR"/>
        </w:rPr>
        <w:t>D</w:t>
      </w:r>
      <w:r w:rsidRPr="00A71065">
        <w:rPr>
          <w:rFonts w:ascii="Times New Roman" w:hAnsi="Times New Roman" w:cs="Times New Roman"/>
          <w:lang w:eastAsia="ko-KR"/>
        </w:rPr>
        <w:t>ate of first authorization: 17 August 2022</w:t>
      </w:r>
    </w:p>
    <w:p w14:paraId="0E8F168D" w14:textId="07C097F4" w:rsidR="00205EF7" w:rsidRPr="00A71065" w:rsidRDefault="00205EF7" w:rsidP="00F27253">
      <w:pPr>
        <w:keepNext/>
        <w:keepLines/>
        <w:widowControl/>
        <w:adjustRightInd w:val="0"/>
        <w:snapToGrid w:val="0"/>
        <w:rPr>
          <w:rFonts w:ascii="Times New Roman" w:hAnsi="Times New Roman" w:cs="Times New Roman"/>
          <w:lang w:eastAsia="ko-KR"/>
        </w:rPr>
      </w:pPr>
      <w:r w:rsidRPr="00A71065">
        <w:rPr>
          <w:rFonts w:ascii="Times New Roman" w:hAnsi="Times New Roman" w:cs="Times New Roman" w:hint="eastAsia"/>
          <w:lang w:eastAsia="ko-KR"/>
        </w:rPr>
        <w:t>D</w:t>
      </w:r>
      <w:r w:rsidRPr="00A71065">
        <w:rPr>
          <w:rFonts w:ascii="Times New Roman" w:hAnsi="Times New Roman" w:cs="Times New Roman"/>
          <w:lang w:eastAsia="ko-KR"/>
        </w:rPr>
        <w:t>ate of latest renewal:</w:t>
      </w:r>
    </w:p>
    <w:p w14:paraId="55B00D27" w14:textId="77777777" w:rsidR="0079332C" w:rsidRPr="00A71065" w:rsidRDefault="0079332C" w:rsidP="007E67A5">
      <w:pPr>
        <w:widowControl/>
        <w:adjustRightInd w:val="0"/>
        <w:snapToGrid w:val="0"/>
        <w:rPr>
          <w:rFonts w:ascii="Times New Roman" w:eastAsia="Times New Roman" w:hAnsi="Times New Roman" w:cs="Times New Roman"/>
          <w:b/>
          <w:bCs/>
        </w:rPr>
      </w:pPr>
    </w:p>
    <w:p w14:paraId="04155E10" w14:textId="77777777" w:rsidR="00047E69" w:rsidRPr="00A71065" w:rsidRDefault="00C210A5" w:rsidP="007E67A5">
      <w:pPr>
        <w:pStyle w:val="1"/>
        <w:widowControl/>
        <w:numPr>
          <w:ilvl w:val="0"/>
          <w:numId w:val="12"/>
        </w:numPr>
        <w:tabs>
          <w:tab w:val="left" w:pos="683"/>
        </w:tabs>
        <w:ind w:left="0" w:firstLine="0"/>
      </w:pPr>
      <w:r w:rsidRPr="00A71065">
        <w:t>DATE OF REVISION OF THE TEXT</w:t>
      </w:r>
    </w:p>
    <w:p w14:paraId="42C6316D" w14:textId="77777777" w:rsidR="00047E69" w:rsidRPr="00A71065" w:rsidRDefault="00047E69" w:rsidP="007E67A5">
      <w:pPr>
        <w:widowControl/>
        <w:adjustRightInd w:val="0"/>
        <w:snapToGrid w:val="0"/>
        <w:rPr>
          <w:rFonts w:ascii="Times New Roman" w:eastAsia="Times New Roman" w:hAnsi="Times New Roman" w:cs="Times New Roman"/>
          <w:b/>
          <w:bCs/>
          <w:sz w:val="21"/>
          <w:szCs w:val="21"/>
        </w:rPr>
      </w:pPr>
    </w:p>
    <w:p w14:paraId="4863037B" w14:textId="665A1E04" w:rsidR="00047E69" w:rsidRPr="00B210B0" w:rsidRDefault="00C210A5" w:rsidP="007E67A5">
      <w:pPr>
        <w:pStyle w:val="a5"/>
        <w:widowControl/>
        <w:adjustRightInd w:val="0"/>
        <w:snapToGrid w:val="0"/>
        <w:rPr>
          <w:rFonts w:eastAsiaTheme="minorEastAsia"/>
          <w:u w:val="single" w:color="0000FF"/>
          <w:lang w:eastAsia="ko-KR"/>
        </w:rPr>
      </w:pPr>
      <w:r w:rsidRPr="00A71065">
        <w:t xml:space="preserve">Detailed information on this medicinal product is available on the website of the European Medicines Agency (EMA): </w:t>
      </w:r>
      <w:hyperlink w:history="1">
        <w:r w:rsidR="00391FC8" w:rsidRPr="00A71065">
          <w:rPr>
            <w:rStyle w:val="a9"/>
            <w:snapToGrid w:val="0"/>
            <w:lang w:val="de-DE"/>
          </w:rPr>
          <w:t>https://www.ema.europa.eu</w:t>
        </w:r>
      </w:hyperlink>
      <w:r w:rsidR="00B210B0" w:rsidRPr="00B210B0">
        <w:rPr>
          <w:rFonts w:eastAsiaTheme="minorEastAsia" w:cs="Times New Roman" w:hint="eastAsia"/>
          <w:snapToGrid w:val="0"/>
          <w:lang w:val="de-DE" w:eastAsia="ko-KR"/>
        </w:rPr>
        <w:t>.</w:t>
      </w:r>
    </w:p>
    <w:p w14:paraId="19895A35" w14:textId="77777777" w:rsidR="00047E69" w:rsidRDefault="00047E69" w:rsidP="007E67A5">
      <w:pPr>
        <w:widowControl/>
        <w:adjustRightInd w:val="0"/>
        <w:snapToGrid w:val="0"/>
        <w:rPr>
          <w:rFonts w:ascii="Times New Roman" w:eastAsia="Times New Roman" w:hAnsi="Times New Roman"/>
          <w:color w:val="0000FF"/>
          <w:spacing w:val="-1"/>
          <w:u w:val="single" w:color="0000FF"/>
        </w:rPr>
      </w:pPr>
    </w:p>
    <w:p w14:paraId="45565289" w14:textId="77777777" w:rsidR="00EF068E" w:rsidRDefault="00C210A5" w:rsidP="004228B0">
      <w:pPr>
        <w:adjustRightInd w:val="0"/>
        <w:snapToGrid w:val="0"/>
        <w:rPr>
          <w:rFonts w:ascii="Times New Roman" w:eastAsia="Times New Roman" w:hAnsi="Times New Roman"/>
        </w:rPr>
      </w:pPr>
      <w:r>
        <w:br w:type="page"/>
      </w:r>
    </w:p>
    <w:p w14:paraId="1BA91CDA" w14:textId="77777777" w:rsidR="00047E69" w:rsidRDefault="00047E69">
      <w:pPr>
        <w:pStyle w:val="a5"/>
        <w:ind w:right="163"/>
      </w:pPr>
    </w:p>
    <w:p w14:paraId="41C48AD2"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2C0E79E6"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42673DB4"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0DB6F15E"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3E5667DC"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13DB2C0E"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5A35D35A"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5DF9FB5C"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5A2CE631" w14:textId="77777777" w:rsidR="00047E69" w:rsidRDefault="00C210A5">
      <w:pPr>
        <w:autoSpaceDE w:val="0"/>
        <w:autoSpaceDN w:val="0"/>
        <w:adjustRightInd w:val="0"/>
        <w:spacing w:before="240" w:after="240"/>
        <w:jc w:val="center"/>
        <w:rPr>
          <w:rFonts w:ascii="Times New Roman" w:eastAsia="TimesNewRomanPS-BoldMT" w:hAnsi="Times New Roman" w:cs="Times New Roman"/>
          <w:b/>
          <w:bCs/>
        </w:rPr>
      </w:pPr>
      <w:r>
        <w:rPr>
          <w:rFonts w:ascii="Times New Roman" w:eastAsia="TimesNewRomanPS-BoldMT" w:hAnsi="Times New Roman" w:cs="Times New Roman"/>
          <w:b/>
          <w:bCs/>
        </w:rPr>
        <w:t>ANNEX II</w:t>
      </w:r>
    </w:p>
    <w:p w14:paraId="0787C39D" w14:textId="77777777" w:rsidR="00047E69" w:rsidRDefault="00047E69">
      <w:pPr>
        <w:autoSpaceDE w:val="0"/>
        <w:autoSpaceDN w:val="0"/>
        <w:adjustRightInd w:val="0"/>
        <w:spacing w:before="240" w:after="240"/>
        <w:jc w:val="center"/>
        <w:rPr>
          <w:rFonts w:ascii="Times New Roman" w:eastAsia="TimesNewRomanPS-BoldMT" w:hAnsi="Times New Roman" w:cs="Times New Roman"/>
          <w:b/>
          <w:bCs/>
        </w:rPr>
      </w:pPr>
    </w:p>
    <w:p w14:paraId="7E682164" w14:textId="77777777" w:rsidR="00047E69" w:rsidRDefault="00C210A5">
      <w:pPr>
        <w:keepNext/>
        <w:autoSpaceDE w:val="0"/>
        <w:autoSpaceDN w:val="0"/>
        <w:adjustRightInd w:val="0"/>
        <w:spacing w:before="280"/>
        <w:ind w:left="847" w:right="120" w:hanging="720"/>
        <w:rPr>
          <w:rFonts w:ascii="Times New Roman" w:eastAsia="SimSun" w:hAnsi="Times New Roman" w:cs="Times New Roman"/>
          <w:b/>
          <w:bCs/>
          <w:color w:val="000000"/>
          <w:lang w:val="en-GB" w:eastAsia="en-GB"/>
        </w:rPr>
      </w:pPr>
      <w:r>
        <w:rPr>
          <w:rFonts w:ascii="Times New Roman" w:eastAsia="TimesNewRomanPS-BoldMT" w:hAnsi="Times New Roman" w:cs="Times New Roman"/>
          <w:b/>
          <w:bCs/>
        </w:rPr>
        <w:t>A</w:t>
      </w:r>
      <w:r>
        <w:rPr>
          <w:rFonts w:ascii="Times New Roman" w:eastAsia="SimSun" w:hAnsi="Times New Roman" w:cs="Times New Roman"/>
          <w:b/>
          <w:bCs/>
          <w:color w:val="000000"/>
          <w:lang w:val="en-GB" w:eastAsia="en-GB"/>
        </w:rPr>
        <w:t xml:space="preserve">. </w:t>
      </w:r>
      <w:r>
        <w:rPr>
          <w:rFonts w:ascii="Times New Roman" w:eastAsia="SimSun" w:hAnsi="Times New Roman" w:cs="Times New Roman"/>
          <w:b/>
          <w:bCs/>
          <w:color w:val="000000"/>
          <w:lang w:val="en-GB" w:eastAsia="en-GB"/>
        </w:rPr>
        <w:tab/>
        <w:t>MANUFACTURERS OF THE BIOLOGICAL ACTIVE SUBSTANCE AND</w:t>
      </w:r>
      <w:r>
        <w:rPr>
          <w:rFonts w:ascii="Times New Roman" w:eastAsia="SimSun" w:hAnsi="Times New Roman" w:cs="Times New Roman" w:hint="eastAsia"/>
          <w:b/>
          <w:bCs/>
          <w:color w:val="000000"/>
          <w:lang w:val="en-GB" w:eastAsia="en-GB"/>
        </w:rPr>
        <w:t xml:space="preserve"> </w:t>
      </w:r>
      <w:r>
        <w:rPr>
          <w:rFonts w:ascii="Times New Roman" w:eastAsia="SimSun" w:hAnsi="Times New Roman" w:cs="Times New Roman"/>
          <w:b/>
          <w:bCs/>
          <w:color w:val="000000"/>
          <w:lang w:val="en-GB" w:eastAsia="en-GB"/>
        </w:rPr>
        <w:t>MANUFACTURERS RESPONSIBLE FOR BATCH RELEASE</w:t>
      </w:r>
    </w:p>
    <w:p w14:paraId="7BD604D7" w14:textId="77777777" w:rsidR="00047E69" w:rsidRDefault="00C210A5">
      <w:pPr>
        <w:keepNext/>
        <w:autoSpaceDE w:val="0"/>
        <w:autoSpaceDN w:val="0"/>
        <w:adjustRightInd w:val="0"/>
        <w:spacing w:before="280"/>
        <w:ind w:left="847" w:right="120" w:hanging="720"/>
        <w:rPr>
          <w:rFonts w:ascii="Times New Roman" w:eastAsia="SimSun" w:hAnsi="Times New Roman" w:cs="Times New Roman"/>
          <w:b/>
          <w:bCs/>
          <w:color w:val="000000"/>
          <w:lang w:val="en-GB" w:eastAsia="en-GB"/>
        </w:rPr>
      </w:pPr>
      <w:r>
        <w:rPr>
          <w:rFonts w:ascii="Times New Roman" w:eastAsia="SimSun" w:hAnsi="Times New Roman" w:cs="Times New Roman"/>
          <w:b/>
          <w:bCs/>
          <w:color w:val="000000"/>
          <w:lang w:val="en-GB" w:eastAsia="en-GB"/>
        </w:rPr>
        <w:t>B.</w:t>
      </w:r>
      <w:r>
        <w:rPr>
          <w:rFonts w:ascii="Times New Roman" w:eastAsia="SimSun" w:hAnsi="Times New Roman" w:cs="Times New Roman"/>
          <w:b/>
          <w:bCs/>
          <w:color w:val="000000"/>
          <w:lang w:val="en-GB" w:eastAsia="en-GB"/>
        </w:rPr>
        <w:tab/>
        <w:t>CONDITIONS OR RESTRICTIONS REGARDING SUPPLY AND USE</w:t>
      </w:r>
    </w:p>
    <w:p w14:paraId="5C84B4B3" w14:textId="77777777" w:rsidR="00047E69" w:rsidRDefault="00C210A5">
      <w:pPr>
        <w:keepNext/>
        <w:autoSpaceDE w:val="0"/>
        <w:autoSpaceDN w:val="0"/>
        <w:adjustRightInd w:val="0"/>
        <w:spacing w:before="280"/>
        <w:ind w:left="847" w:right="120" w:hanging="720"/>
        <w:rPr>
          <w:rFonts w:ascii="Times New Roman" w:eastAsia="SimSun" w:hAnsi="Times New Roman" w:cs="Times New Roman"/>
          <w:b/>
          <w:bCs/>
          <w:color w:val="000000"/>
          <w:lang w:val="en-GB" w:eastAsia="en-GB"/>
        </w:rPr>
      </w:pPr>
      <w:r>
        <w:rPr>
          <w:rFonts w:ascii="Times New Roman" w:eastAsia="SimSun" w:hAnsi="Times New Roman" w:cs="Times New Roman"/>
          <w:b/>
          <w:bCs/>
          <w:color w:val="000000"/>
          <w:lang w:val="en-GB" w:eastAsia="en-GB"/>
        </w:rPr>
        <w:t>C.</w:t>
      </w:r>
      <w:r>
        <w:rPr>
          <w:rFonts w:ascii="Times New Roman" w:eastAsia="SimSun" w:hAnsi="Times New Roman" w:cs="Times New Roman"/>
          <w:b/>
          <w:bCs/>
          <w:color w:val="000000"/>
          <w:lang w:val="en-GB" w:eastAsia="en-GB"/>
        </w:rPr>
        <w:tab/>
        <w:t>OTHER CONDITIONS AND REQUIREMENTS OF THE MARKETING</w:t>
      </w:r>
      <w:r>
        <w:rPr>
          <w:rFonts w:ascii="Times New Roman" w:eastAsia="SimSun" w:hAnsi="Times New Roman" w:cs="Times New Roman" w:hint="eastAsia"/>
          <w:b/>
          <w:bCs/>
          <w:color w:val="000000"/>
          <w:lang w:val="en-GB" w:eastAsia="en-GB"/>
        </w:rPr>
        <w:t xml:space="preserve"> </w:t>
      </w:r>
      <w:r>
        <w:rPr>
          <w:rFonts w:ascii="Times New Roman" w:eastAsia="SimSun" w:hAnsi="Times New Roman" w:cs="Times New Roman"/>
          <w:b/>
          <w:bCs/>
          <w:color w:val="000000"/>
          <w:lang w:val="en-GB" w:eastAsia="en-GB"/>
        </w:rPr>
        <w:t>AUTHORISATION</w:t>
      </w:r>
    </w:p>
    <w:p w14:paraId="6A1515F6" w14:textId="77777777" w:rsidR="00047E69" w:rsidRDefault="00C210A5">
      <w:pPr>
        <w:keepNext/>
        <w:autoSpaceDE w:val="0"/>
        <w:autoSpaceDN w:val="0"/>
        <w:adjustRightInd w:val="0"/>
        <w:spacing w:before="280"/>
        <w:ind w:left="847" w:right="120" w:hanging="720"/>
        <w:rPr>
          <w:rFonts w:ascii="Times New Roman" w:eastAsia="SimSun" w:hAnsi="Times New Roman" w:cs="Times New Roman"/>
          <w:b/>
          <w:bCs/>
          <w:color w:val="000000"/>
          <w:lang w:val="en-GB" w:eastAsia="en-GB"/>
        </w:rPr>
        <w:sectPr w:rsidR="00047E69" w:rsidSect="0060266A">
          <w:pgSz w:w="11910" w:h="16840" w:code="9"/>
          <w:pgMar w:top="1134" w:right="1418" w:bottom="1134" w:left="1418" w:header="0" w:footer="701" w:gutter="0"/>
          <w:cols w:space="720"/>
        </w:sectPr>
      </w:pPr>
      <w:r>
        <w:rPr>
          <w:rFonts w:ascii="Times New Roman" w:eastAsia="SimSun" w:hAnsi="Times New Roman" w:cs="Times New Roman"/>
          <w:b/>
          <w:bCs/>
          <w:color w:val="000000"/>
          <w:lang w:val="en-GB" w:eastAsia="en-GB"/>
        </w:rPr>
        <w:t xml:space="preserve">D. </w:t>
      </w:r>
      <w:r>
        <w:rPr>
          <w:rFonts w:ascii="Times New Roman" w:eastAsia="SimSun" w:hAnsi="Times New Roman" w:cs="Times New Roman"/>
          <w:b/>
          <w:bCs/>
          <w:color w:val="000000"/>
          <w:lang w:val="en-GB" w:eastAsia="en-GB"/>
        </w:rPr>
        <w:tab/>
        <w:t>CONDITIONS OR RESTRICTIONS WITH REGARD TO THE SAFE AND</w:t>
      </w:r>
      <w:r>
        <w:rPr>
          <w:rFonts w:ascii="Times New Roman" w:eastAsia="SimSun" w:hAnsi="Times New Roman" w:cs="Times New Roman" w:hint="eastAsia"/>
          <w:b/>
          <w:bCs/>
          <w:color w:val="000000"/>
          <w:lang w:val="en-GB" w:eastAsia="en-GB"/>
        </w:rPr>
        <w:t xml:space="preserve"> </w:t>
      </w:r>
      <w:r>
        <w:rPr>
          <w:rFonts w:ascii="Times New Roman" w:eastAsia="SimSun" w:hAnsi="Times New Roman" w:cs="Times New Roman"/>
          <w:b/>
          <w:bCs/>
          <w:color w:val="000000"/>
          <w:lang w:val="en-GB" w:eastAsia="en-GB"/>
        </w:rPr>
        <w:t>EFFECTIVE USE OF THE MEDICINAL PRODUCT</w:t>
      </w:r>
    </w:p>
    <w:p w14:paraId="45F85D87" w14:textId="77777777" w:rsidR="00047E69" w:rsidRDefault="00C210A5">
      <w:pPr>
        <w:ind w:left="696" w:hangingChars="315" w:hanging="696"/>
        <w:outlineLvl w:val="0"/>
        <w:rPr>
          <w:rFonts w:ascii="Times New Roman" w:eastAsia="SimSun" w:hAnsi="Times New Roman" w:cs="Times New Roman"/>
          <w:b/>
          <w:bCs/>
          <w:color w:val="000000"/>
          <w:lang w:eastAsia="en-GB"/>
        </w:rPr>
      </w:pPr>
      <w:r>
        <w:rPr>
          <w:rFonts w:ascii="Times New Roman" w:eastAsia="SimSun" w:hAnsi="Times New Roman" w:cs="Times New Roman"/>
          <w:b/>
          <w:bCs/>
          <w:color w:val="000000"/>
          <w:lang w:eastAsia="en-GB"/>
        </w:rPr>
        <w:lastRenderedPageBreak/>
        <w:t>A.</w:t>
      </w:r>
      <w:r>
        <w:rPr>
          <w:rFonts w:eastAsia="SimSun"/>
          <w:b/>
          <w:bCs/>
          <w:color w:val="000000"/>
          <w:lang w:eastAsia="en-GB"/>
        </w:rPr>
        <w:tab/>
      </w:r>
      <w:bookmarkStart w:id="18" w:name="a_manufacturer"/>
      <w:r>
        <w:rPr>
          <w:rFonts w:ascii="Times New Roman" w:eastAsia="SimSun" w:hAnsi="Times New Roman" w:cs="Times New Roman"/>
          <w:b/>
          <w:bCs/>
          <w:color w:val="000000"/>
          <w:lang w:eastAsia="en-GB"/>
        </w:rPr>
        <w:t xml:space="preserve">MANUFACTURER </w:t>
      </w:r>
      <w:bookmarkEnd w:id="18"/>
      <w:r>
        <w:rPr>
          <w:rFonts w:ascii="Times New Roman" w:eastAsia="SimSun" w:hAnsi="Times New Roman" w:cs="Times New Roman"/>
          <w:b/>
          <w:bCs/>
          <w:color w:val="000000"/>
          <w:lang w:eastAsia="en-GB"/>
        </w:rPr>
        <w:t>OF THE BIOLOGICAL ACTIVE SUBSTANCE AND MANUFACTURER RESPONSIBLE FOR BATCH RELEASE</w:t>
      </w:r>
    </w:p>
    <w:p w14:paraId="6428D1BE" w14:textId="77777777" w:rsidR="00047E69" w:rsidRDefault="00047E69" w:rsidP="000C5183">
      <w:pPr>
        <w:autoSpaceDE w:val="0"/>
        <w:autoSpaceDN w:val="0"/>
        <w:adjustRightInd w:val="0"/>
        <w:ind w:left="113" w:right="120"/>
        <w:rPr>
          <w:rFonts w:ascii="Times New Roman" w:eastAsia="SimSun" w:hAnsi="Times New Roman" w:cs="Times New Roman"/>
          <w:color w:val="000000"/>
          <w:u w:val="single"/>
          <w:lang w:eastAsia="en-GB"/>
        </w:rPr>
      </w:pPr>
    </w:p>
    <w:p w14:paraId="0D034DBA" w14:textId="77777777" w:rsidR="00047E69" w:rsidRDefault="00C210A5" w:rsidP="000C5183">
      <w:pPr>
        <w:autoSpaceDE w:val="0"/>
        <w:autoSpaceDN w:val="0"/>
        <w:adjustRightInd w:val="0"/>
        <w:rPr>
          <w:rFonts w:ascii="Times New Roman" w:eastAsia="SimSun" w:hAnsi="Times New Roman" w:cs="Times New Roman"/>
          <w:i/>
          <w:iCs/>
          <w:color w:val="339966"/>
          <w:lang w:eastAsia="en-GB"/>
        </w:rPr>
      </w:pPr>
      <w:r>
        <w:rPr>
          <w:rFonts w:ascii="Times New Roman" w:eastAsia="SimSun" w:hAnsi="Times New Roman" w:cs="Times New Roman"/>
          <w:color w:val="000000"/>
          <w:u w:val="single"/>
          <w:lang w:eastAsia="en-GB"/>
        </w:rPr>
        <w:t>Name and address of the manufacturer of the biological active substance</w:t>
      </w:r>
    </w:p>
    <w:p w14:paraId="7925204F" w14:textId="77777777" w:rsidR="00EC2F90" w:rsidRDefault="00EC2F90" w:rsidP="000C5183">
      <w:pPr>
        <w:autoSpaceDE w:val="0"/>
        <w:autoSpaceDN w:val="0"/>
        <w:adjustRightInd w:val="0"/>
        <w:rPr>
          <w:rFonts w:ascii="Times New Roman" w:hAnsi="Times New Roman" w:cs="Times New Roman"/>
          <w:color w:val="000000"/>
          <w:lang w:eastAsia="ko-KR"/>
        </w:rPr>
      </w:pPr>
    </w:p>
    <w:p w14:paraId="52C99B08" w14:textId="592B9CA4" w:rsidR="00047E69" w:rsidRDefault="00C210A5" w:rsidP="000C5183">
      <w:pPr>
        <w:autoSpaceDE w:val="0"/>
        <w:autoSpaceDN w:val="0"/>
        <w:adjustRightInd w:val="0"/>
        <w:rPr>
          <w:rFonts w:ascii="Times New Roman" w:eastAsia="SimSun" w:hAnsi="Times New Roman" w:cs="Times New Roman"/>
          <w:color w:val="000000"/>
          <w:lang w:eastAsia="en-GB"/>
        </w:rPr>
      </w:pPr>
      <w:r>
        <w:rPr>
          <w:rFonts w:ascii="Times New Roman" w:eastAsia="SimSun" w:hAnsi="Times New Roman" w:cs="Times New Roman"/>
          <w:color w:val="000000"/>
          <w:lang w:eastAsia="en-GB"/>
        </w:rPr>
        <w:t>CELLTRION INC.</w:t>
      </w:r>
      <w:r>
        <w:rPr>
          <w:rFonts w:ascii="Times New Roman" w:eastAsia="SimSun" w:hAnsi="Times New Roman" w:cs="Times New Roman"/>
          <w:color w:val="000000"/>
          <w:lang w:eastAsia="en-GB"/>
        </w:rPr>
        <w:br/>
        <w:t>20 Academy -ro 51 beon-gil</w:t>
      </w:r>
      <w:r>
        <w:rPr>
          <w:rFonts w:ascii="Times New Roman" w:eastAsia="SimSun" w:hAnsi="Times New Roman" w:cs="Times New Roman"/>
          <w:color w:val="000000"/>
          <w:lang w:eastAsia="en-GB"/>
        </w:rPr>
        <w:br/>
        <w:t>Yeonsu-gu</w:t>
      </w:r>
      <w:r>
        <w:rPr>
          <w:rFonts w:ascii="Times New Roman" w:eastAsia="SimSun" w:hAnsi="Times New Roman" w:cs="Times New Roman"/>
          <w:color w:val="000000"/>
          <w:lang w:eastAsia="en-GB"/>
        </w:rPr>
        <w:br/>
        <w:t>22014 Incheon</w:t>
      </w:r>
      <w:r>
        <w:rPr>
          <w:rFonts w:ascii="Times New Roman" w:eastAsia="SimSun" w:hAnsi="Times New Roman" w:cs="Times New Roman"/>
          <w:color w:val="000000"/>
          <w:lang w:eastAsia="en-GB"/>
        </w:rPr>
        <w:br/>
        <w:t>R</w:t>
      </w:r>
      <w:r w:rsidR="00C01B64">
        <w:rPr>
          <w:rFonts w:ascii="Times New Roman" w:eastAsia="SimSun" w:hAnsi="Times New Roman" w:cs="Times New Roman"/>
          <w:color w:val="000000"/>
          <w:lang w:eastAsia="en-GB"/>
        </w:rPr>
        <w:t>epublic of Korea</w:t>
      </w:r>
    </w:p>
    <w:p w14:paraId="1B4D602B" w14:textId="77777777" w:rsidR="00047E69" w:rsidRPr="00AE0B87" w:rsidRDefault="00047E69" w:rsidP="000C5183">
      <w:pPr>
        <w:autoSpaceDE w:val="0"/>
        <w:autoSpaceDN w:val="0"/>
        <w:adjustRightInd w:val="0"/>
        <w:rPr>
          <w:rFonts w:ascii="Times New Roman" w:eastAsia="SimSun" w:hAnsi="Times New Roman" w:cs="Times New Roman"/>
          <w:color w:val="000000"/>
          <w:u w:val="single"/>
          <w:lang w:eastAsia="en-GB"/>
        </w:rPr>
      </w:pPr>
    </w:p>
    <w:p w14:paraId="026F186F" w14:textId="77777777" w:rsidR="00047E69" w:rsidRPr="00AE0B87" w:rsidRDefault="00C210A5" w:rsidP="000C5183">
      <w:pPr>
        <w:autoSpaceDE w:val="0"/>
        <w:autoSpaceDN w:val="0"/>
        <w:adjustRightInd w:val="0"/>
        <w:rPr>
          <w:rFonts w:ascii="Times New Roman" w:eastAsia="SimSun" w:hAnsi="Times New Roman" w:cs="Times New Roman"/>
          <w:color w:val="000000"/>
          <w:u w:val="single"/>
          <w:lang w:eastAsia="en-GB"/>
        </w:rPr>
      </w:pPr>
      <w:r w:rsidRPr="00AE0B87">
        <w:rPr>
          <w:rFonts w:ascii="Times New Roman" w:eastAsia="SimSun" w:hAnsi="Times New Roman" w:cs="Times New Roman"/>
          <w:color w:val="000000"/>
          <w:u w:val="single"/>
          <w:lang w:eastAsia="en-GB"/>
        </w:rPr>
        <w:t>Name and address of the manufacturer responsible for batch release</w:t>
      </w:r>
    </w:p>
    <w:p w14:paraId="06DC8EFB" w14:textId="77777777" w:rsidR="00EC2F90" w:rsidRDefault="00EC2F90" w:rsidP="000C5183">
      <w:pPr>
        <w:rPr>
          <w:rFonts w:ascii="Times New Roman" w:hAnsi="Times New Roman" w:cs="Times New Roman"/>
        </w:rPr>
      </w:pPr>
    </w:p>
    <w:p w14:paraId="75CCE766" w14:textId="205563A6" w:rsidR="00C01B64" w:rsidRPr="00AE0B87" w:rsidRDefault="00C210A5" w:rsidP="000C5183">
      <w:r w:rsidRPr="00AE0B87">
        <w:rPr>
          <w:rFonts w:ascii="Times New Roman" w:hAnsi="Times New Roman" w:cs="Times New Roman"/>
        </w:rPr>
        <w:t>Nuvisan GmbH</w:t>
      </w:r>
    </w:p>
    <w:p w14:paraId="50D62169" w14:textId="77777777" w:rsidR="00C01B64" w:rsidRPr="00AE0B87" w:rsidRDefault="00C210A5" w:rsidP="000C5183">
      <w:r w:rsidRPr="00AE0B87">
        <w:rPr>
          <w:rFonts w:ascii="Times New Roman" w:hAnsi="Times New Roman" w:cs="Times New Roman"/>
        </w:rPr>
        <w:t>Wegenerstraße 13</w:t>
      </w:r>
    </w:p>
    <w:p w14:paraId="41CCAA36" w14:textId="371F2AF5" w:rsidR="00E26694" w:rsidRPr="00481633" w:rsidRDefault="00C210A5" w:rsidP="000C5183">
      <w:pPr>
        <w:rPr>
          <w:rFonts w:ascii="Times New Roman" w:hAnsi="Times New Roman" w:cs="Times New Roman"/>
        </w:rPr>
      </w:pPr>
      <w:r w:rsidRPr="00481633">
        <w:rPr>
          <w:rFonts w:ascii="Times New Roman" w:hAnsi="Times New Roman" w:cs="Times New Roman"/>
        </w:rPr>
        <w:t>89231 Neu</w:t>
      </w:r>
      <w:r w:rsidR="00C47C79" w:rsidRPr="00481633">
        <w:rPr>
          <w:rFonts w:ascii="Times New Roman" w:hAnsi="Times New Roman" w:cs="Times New Roman"/>
          <w:lang w:eastAsia="ko-KR"/>
        </w:rPr>
        <w:t>-</w:t>
      </w:r>
      <w:r w:rsidRPr="00481633">
        <w:rPr>
          <w:rFonts w:ascii="Times New Roman" w:hAnsi="Times New Roman" w:cs="Times New Roman"/>
        </w:rPr>
        <w:t>Ul</w:t>
      </w:r>
      <w:r w:rsidR="00011ED7" w:rsidRPr="00481633">
        <w:rPr>
          <w:rFonts w:ascii="Times New Roman" w:hAnsi="Times New Roman" w:cs="Times New Roman"/>
        </w:rPr>
        <w:t>m</w:t>
      </w:r>
    </w:p>
    <w:p w14:paraId="63AAB720" w14:textId="77777777" w:rsidR="00C01B64" w:rsidRPr="00481633" w:rsidRDefault="00C210A5" w:rsidP="000C5183">
      <w:pPr>
        <w:rPr>
          <w:rFonts w:ascii="Times New Roman" w:hAnsi="Times New Roman" w:cs="Times New Roman"/>
        </w:rPr>
      </w:pPr>
      <w:r w:rsidRPr="00481633">
        <w:rPr>
          <w:rFonts w:ascii="Times New Roman" w:hAnsi="Times New Roman" w:cs="Times New Roman"/>
        </w:rPr>
        <w:t>Germany</w:t>
      </w:r>
    </w:p>
    <w:p w14:paraId="27403AD7" w14:textId="77777777" w:rsidR="00C01B64" w:rsidRPr="00481633" w:rsidRDefault="00C01B64" w:rsidP="000C5183">
      <w:pPr>
        <w:rPr>
          <w:rFonts w:ascii="Times New Roman" w:hAnsi="Times New Roman" w:cs="Times New Roman"/>
        </w:rPr>
      </w:pPr>
    </w:p>
    <w:p w14:paraId="661E1961" w14:textId="0C3BAB47" w:rsidR="00C01B64" w:rsidRPr="00AE0B87" w:rsidRDefault="00C210A5" w:rsidP="000C5183">
      <w:pPr>
        <w:rPr>
          <w:lang w:val="fr-CA"/>
        </w:rPr>
      </w:pPr>
      <w:r w:rsidRPr="00AE0B87">
        <w:rPr>
          <w:rFonts w:ascii="Times New Roman" w:hAnsi="Times New Roman" w:cs="Times New Roman"/>
          <w:lang w:val="fr-CA"/>
        </w:rPr>
        <w:t xml:space="preserve">Nuvisan </w:t>
      </w:r>
      <w:r w:rsidR="00E67ADA" w:rsidRPr="00AE0B87">
        <w:rPr>
          <w:rFonts w:ascii="Times New Roman" w:hAnsi="Times New Roman" w:cs="Times New Roman"/>
          <w:lang w:val="fr-CA"/>
        </w:rPr>
        <w:t>France</w:t>
      </w:r>
      <w:r w:rsidRPr="00AE0B87">
        <w:rPr>
          <w:rFonts w:ascii="Times New Roman" w:hAnsi="Times New Roman" w:cs="Times New Roman"/>
          <w:lang w:val="fr-CA"/>
        </w:rPr>
        <w:t xml:space="preserve"> SARL</w:t>
      </w:r>
    </w:p>
    <w:p w14:paraId="2BC07ED3" w14:textId="77777777" w:rsidR="00C01B64" w:rsidRPr="00AE0B87" w:rsidRDefault="00C210A5" w:rsidP="000C5183">
      <w:pPr>
        <w:rPr>
          <w:lang w:val="fr-CA"/>
        </w:rPr>
      </w:pPr>
      <w:r w:rsidRPr="00AE0B87">
        <w:rPr>
          <w:rFonts w:ascii="Times New Roman" w:hAnsi="Times New Roman" w:cs="Times New Roman"/>
          <w:lang w:val="fr-CA"/>
        </w:rPr>
        <w:t>2400, Route des Colles</w:t>
      </w:r>
    </w:p>
    <w:p w14:paraId="12CE1D4D" w14:textId="41BFDCA9" w:rsidR="00E26694" w:rsidRPr="00EC2F90" w:rsidRDefault="00C210A5" w:rsidP="000C5183">
      <w:pPr>
        <w:rPr>
          <w:rFonts w:ascii="Times New Roman" w:hAnsi="Times New Roman" w:cs="Times New Roman"/>
          <w:lang w:val="fr-CA" w:eastAsia="ko-KR"/>
        </w:rPr>
      </w:pPr>
      <w:r w:rsidRPr="00EC2F90">
        <w:rPr>
          <w:rFonts w:ascii="Times New Roman" w:hAnsi="Times New Roman" w:cs="Times New Roman"/>
          <w:lang w:val="fr-CA"/>
        </w:rPr>
        <w:t xml:space="preserve">06410, </w:t>
      </w:r>
      <w:r w:rsidR="00C023FD" w:rsidRPr="00EC2F90">
        <w:rPr>
          <w:rFonts w:ascii="Times New Roman" w:hAnsi="Times New Roman" w:cs="Times New Roman" w:hint="eastAsia"/>
          <w:lang w:val="fr-CA" w:eastAsia="ko-KR"/>
        </w:rPr>
        <w:t>Biot</w:t>
      </w:r>
    </w:p>
    <w:p w14:paraId="0846D2BE" w14:textId="7FF19374" w:rsidR="00C01B64" w:rsidRPr="00EC2F90" w:rsidRDefault="00C210A5" w:rsidP="000C5183">
      <w:pPr>
        <w:rPr>
          <w:rFonts w:ascii="Times New Roman" w:hAnsi="Times New Roman" w:cs="Times New Roman"/>
          <w:lang w:val="fr-CA"/>
        </w:rPr>
      </w:pPr>
      <w:r w:rsidRPr="00EC2F90">
        <w:rPr>
          <w:rFonts w:ascii="Times New Roman" w:hAnsi="Times New Roman" w:cs="Times New Roman"/>
          <w:lang w:val="fr-CA"/>
        </w:rPr>
        <w:t>France</w:t>
      </w:r>
    </w:p>
    <w:p w14:paraId="1DCDF917" w14:textId="77777777" w:rsidR="009E3C3C" w:rsidRPr="00EC2F90" w:rsidRDefault="009E3C3C" w:rsidP="000C5183">
      <w:pPr>
        <w:rPr>
          <w:rFonts w:ascii="Times New Roman" w:hAnsi="Times New Roman" w:cs="Times New Roman"/>
          <w:lang w:val="fr-CA"/>
        </w:rPr>
      </w:pPr>
    </w:p>
    <w:p w14:paraId="41664D25" w14:textId="77777777" w:rsidR="00762FF2" w:rsidRPr="00AE0B87" w:rsidRDefault="00762FF2" w:rsidP="000C5183">
      <w:pPr>
        <w:rPr>
          <w:rFonts w:ascii="Times New Roman" w:hAnsi="Times New Roman" w:cs="Times New Roman"/>
          <w:lang w:val="fr-CA"/>
        </w:rPr>
      </w:pPr>
      <w:r w:rsidRPr="00AE0B87">
        <w:rPr>
          <w:rFonts w:ascii="Times New Roman" w:hAnsi="Times New Roman" w:cs="Times New Roman"/>
          <w:lang w:val="fr-CA"/>
        </w:rPr>
        <w:t>Kymos S.L.</w:t>
      </w:r>
    </w:p>
    <w:p w14:paraId="12B6C710" w14:textId="77777777" w:rsidR="00FC500F" w:rsidRPr="00AE0B87" w:rsidRDefault="00FC500F" w:rsidP="000C5183">
      <w:pPr>
        <w:numPr>
          <w:ilvl w:val="12"/>
          <w:numId w:val="0"/>
        </w:numPr>
        <w:rPr>
          <w:rFonts w:ascii="Times New Roman" w:hAnsi="Times New Roman" w:cs="Times New Roman"/>
          <w:lang w:val="fr-CA"/>
        </w:rPr>
      </w:pPr>
      <w:r w:rsidRPr="00AE0B87">
        <w:rPr>
          <w:rFonts w:ascii="Times New Roman" w:hAnsi="Times New Roman" w:cs="Times New Roman"/>
          <w:lang w:val="fr-CA"/>
        </w:rPr>
        <w:t>Ronda Can Fatjó 7B</w:t>
      </w:r>
    </w:p>
    <w:p w14:paraId="08FF6770" w14:textId="081213CF" w:rsidR="00FC500F" w:rsidRPr="00AE0B87" w:rsidRDefault="00FC500F" w:rsidP="000C5183">
      <w:pPr>
        <w:numPr>
          <w:ilvl w:val="12"/>
          <w:numId w:val="0"/>
        </w:numPr>
        <w:rPr>
          <w:rFonts w:ascii="Times New Roman" w:hAnsi="Times New Roman" w:cs="Times New Roman"/>
          <w:lang w:val="fr-CA"/>
        </w:rPr>
      </w:pPr>
      <w:r w:rsidRPr="00AE0B87">
        <w:rPr>
          <w:rFonts w:ascii="Times New Roman" w:hAnsi="Times New Roman" w:cs="Times New Roman"/>
          <w:lang w:val="fr-CA"/>
        </w:rPr>
        <w:t>(Parque Tecnológico del Vallès) Cerdanyola del Vallès</w:t>
      </w:r>
    </w:p>
    <w:p w14:paraId="492FF71F" w14:textId="388EA5AC" w:rsidR="00FC500F" w:rsidRPr="00EC2F90" w:rsidRDefault="00FC500F" w:rsidP="000C5183">
      <w:pPr>
        <w:numPr>
          <w:ilvl w:val="12"/>
          <w:numId w:val="0"/>
        </w:numPr>
        <w:rPr>
          <w:rFonts w:ascii="Times New Roman" w:hAnsi="Times New Roman" w:cs="Times New Roman"/>
        </w:rPr>
      </w:pPr>
      <w:r w:rsidRPr="00EC2F90">
        <w:rPr>
          <w:rFonts w:ascii="Times New Roman" w:hAnsi="Times New Roman" w:cs="Times New Roman"/>
        </w:rPr>
        <w:t>08290 Barcelona</w:t>
      </w:r>
    </w:p>
    <w:p w14:paraId="00D36B48" w14:textId="77777777" w:rsidR="009E3C3C" w:rsidRPr="00EC2F90" w:rsidRDefault="009E3C3C" w:rsidP="000C5183">
      <w:pPr>
        <w:rPr>
          <w:rFonts w:ascii="Times New Roman" w:hAnsi="Times New Roman" w:cs="Times New Roman"/>
        </w:rPr>
      </w:pPr>
      <w:r w:rsidRPr="00EC2F90">
        <w:rPr>
          <w:rFonts w:ascii="Times New Roman" w:hAnsi="Times New Roman" w:cs="Times New Roman"/>
        </w:rPr>
        <w:t>Spain</w:t>
      </w:r>
    </w:p>
    <w:p w14:paraId="0DEAE323" w14:textId="77777777" w:rsidR="009E3C3C" w:rsidRPr="00AE0B87" w:rsidRDefault="009E3C3C" w:rsidP="000C5183">
      <w:pPr>
        <w:rPr>
          <w:rFonts w:ascii="Times New Roman" w:hAnsi="Times New Roman" w:cs="Times New Roman"/>
        </w:rPr>
      </w:pPr>
    </w:p>
    <w:p w14:paraId="7E940DD4" w14:textId="77777777" w:rsidR="003D1038" w:rsidRPr="00AE0B87" w:rsidRDefault="003D1038" w:rsidP="000C5183">
      <w:pPr>
        <w:rPr>
          <w:rFonts w:ascii="Times New Roman" w:hAnsi="Times New Roman" w:cs="Times New Roman"/>
        </w:rPr>
      </w:pPr>
      <w:r w:rsidRPr="00AE0B87">
        <w:rPr>
          <w:rFonts w:ascii="Times New Roman" w:hAnsi="Times New Roman" w:cs="Times New Roman"/>
        </w:rPr>
        <w:t>Midas Pharma GmbH</w:t>
      </w:r>
    </w:p>
    <w:p w14:paraId="10E389FC" w14:textId="77777777" w:rsidR="003D1038" w:rsidRPr="00AE0B87" w:rsidRDefault="003D1038" w:rsidP="000C5183">
      <w:pPr>
        <w:rPr>
          <w:rFonts w:ascii="Times New Roman" w:hAnsi="Times New Roman" w:cs="Times New Roman"/>
        </w:rPr>
      </w:pPr>
      <w:r w:rsidRPr="00AE0B87">
        <w:rPr>
          <w:rFonts w:ascii="Times New Roman" w:hAnsi="Times New Roman" w:cs="Times New Roman"/>
        </w:rPr>
        <w:t>Rheinstraße 49</w:t>
      </w:r>
    </w:p>
    <w:p w14:paraId="043147B7" w14:textId="77777777" w:rsidR="003D1038" w:rsidRPr="00AE0B87" w:rsidRDefault="003D1038" w:rsidP="000C5183">
      <w:pPr>
        <w:rPr>
          <w:rFonts w:ascii="Times New Roman" w:hAnsi="Times New Roman" w:cs="Times New Roman"/>
        </w:rPr>
      </w:pPr>
      <w:r w:rsidRPr="00AE0B87">
        <w:rPr>
          <w:rFonts w:ascii="Times New Roman" w:hAnsi="Times New Roman" w:cs="Times New Roman"/>
        </w:rPr>
        <w:t>55218 Ingelheim am Rhein</w:t>
      </w:r>
    </w:p>
    <w:p w14:paraId="7A560B6F" w14:textId="7198EFAD" w:rsidR="003D1038" w:rsidRPr="00AE0B87" w:rsidRDefault="003D1038" w:rsidP="000C5183">
      <w:pPr>
        <w:rPr>
          <w:rFonts w:ascii="Times New Roman" w:hAnsi="Times New Roman" w:cs="Times New Roman"/>
        </w:rPr>
      </w:pPr>
      <w:r w:rsidRPr="00AE0B87">
        <w:rPr>
          <w:rFonts w:ascii="Times New Roman" w:hAnsi="Times New Roman" w:cs="Times New Roman"/>
        </w:rPr>
        <w:t>Germany</w:t>
      </w:r>
    </w:p>
    <w:p w14:paraId="71B2CB83" w14:textId="02783A52" w:rsidR="00FC471F" w:rsidRPr="00AE0B87" w:rsidRDefault="00C210A5" w:rsidP="000C5183">
      <w:pPr>
        <w:ind w:left="113"/>
        <w:rPr>
          <w:rFonts w:ascii="Times New Roman" w:hAnsi="Times New Roman" w:cs="Times New Roman"/>
        </w:rPr>
      </w:pPr>
      <w:r w:rsidRPr="00AE0B87">
        <w:rPr>
          <w:rFonts w:ascii="Times New Roman" w:hAnsi="Times New Roman" w:cs="Times New Roman"/>
        </w:rPr>
        <w:t xml:space="preserve"> </w:t>
      </w:r>
    </w:p>
    <w:p w14:paraId="12BF326B" w14:textId="77777777" w:rsidR="0079332C" w:rsidRPr="00AE0B87" w:rsidRDefault="00C210A5" w:rsidP="000C5183">
      <w:pPr>
        <w:widowControl/>
        <w:adjustRightInd w:val="0"/>
        <w:snapToGrid w:val="0"/>
        <w:rPr>
          <w:rFonts w:ascii="Times New Roman" w:hAnsi="Times New Roman" w:cs="Times New Roman"/>
          <w:color w:val="000000"/>
          <w:lang w:val="en-GB"/>
        </w:rPr>
      </w:pPr>
      <w:r w:rsidRPr="00AE0B87">
        <w:rPr>
          <w:rFonts w:ascii="Times New Roman" w:hAnsi="Times New Roman" w:cs="Times New Roman"/>
          <w:color w:val="000000"/>
          <w:lang w:val="en-GB"/>
        </w:rPr>
        <w:t>The printed package leaflet of the medicinal product must state the name and address of the manufacturer responsible for the release of the concerned batch.</w:t>
      </w:r>
    </w:p>
    <w:p w14:paraId="59621CC0" w14:textId="77777777" w:rsidR="0079332C" w:rsidRPr="00AE0B87" w:rsidRDefault="0079332C" w:rsidP="000C5183">
      <w:pPr>
        <w:ind w:left="113"/>
        <w:rPr>
          <w:rFonts w:ascii="Times New Roman" w:hAnsi="Times New Roman" w:cs="Times New Roman"/>
          <w:lang w:eastAsia="ko-KR"/>
        </w:rPr>
      </w:pPr>
    </w:p>
    <w:p w14:paraId="7A649A9B" w14:textId="77777777" w:rsidR="00A60095" w:rsidRPr="00AE0B87" w:rsidRDefault="00A60095" w:rsidP="000C5183">
      <w:pPr>
        <w:ind w:left="113"/>
        <w:rPr>
          <w:rFonts w:ascii="Times New Roman" w:hAnsi="Times New Roman" w:cs="Times New Roman"/>
          <w:lang w:eastAsia="ko-KR"/>
        </w:rPr>
      </w:pPr>
    </w:p>
    <w:p w14:paraId="200F663E" w14:textId="77777777" w:rsidR="00047E69" w:rsidRPr="00AE0B87" w:rsidRDefault="00C210A5" w:rsidP="000C5183">
      <w:pPr>
        <w:ind w:left="696" w:hangingChars="315" w:hanging="696"/>
        <w:outlineLvl w:val="0"/>
        <w:rPr>
          <w:rFonts w:ascii="Times New Roman" w:eastAsia="SimSun" w:hAnsi="Times New Roman" w:cs="Times New Roman"/>
          <w:b/>
          <w:bCs/>
          <w:color w:val="000000"/>
          <w:lang w:eastAsia="en-GB"/>
        </w:rPr>
      </w:pPr>
      <w:r w:rsidRPr="00AE0B87">
        <w:rPr>
          <w:rFonts w:ascii="Times New Roman" w:eastAsia="SimSun" w:hAnsi="Times New Roman" w:cs="Times New Roman"/>
          <w:b/>
          <w:bCs/>
          <w:color w:val="000000"/>
          <w:lang w:eastAsia="en-GB"/>
        </w:rPr>
        <w:t>B.</w:t>
      </w:r>
      <w:r w:rsidRPr="00AE0B87">
        <w:rPr>
          <w:rFonts w:ascii="Times New Roman" w:eastAsia="SimSun" w:hAnsi="Times New Roman" w:cs="Times New Roman"/>
          <w:b/>
          <w:bCs/>
          <w:color w:val="000000"/>
          <w:lang w:eastAsia="en-GB"/>
        </w:rPr>
        <w:tab/>
      </w:r>
      <w:bookmarkStart w:id="19" w:name="b_conditions"/>
      <w:r w:rsidRPr="00AE0B87">
        <w:rPr>
          <w:rFonts w:ascii="Times New Roman" w:eastAsia="SimSun" w:hAnsi="Times New Roman" w:cs="Times New Roman"/>
          <w:b/>
          <w:bCs/>
          <w:color w:val="000000"/>
          <w:lang w:eastAsia="en-GB"/>
        </w:rPr>
        <w:t xml:space="preserve">CONDITIONS </w:t>
      </w:r>
      <w:bookmarkEnd w:id="19"/>
      <w:r w:rsidRPr="00AE0B87">
        <w:rPr>
          <w:rFonts w:ascii="Times New Roman" w:eastAsia="SimSun" w:hAnsi="Times New Roman" w:cs="Times New Roman"/>
          <w:b/>
          <w:bCs/>
          <w:color w:val="000000"/>
          <w:lang w:eastAsia="en-GB"/>
        </w:rPr>
        <w:t>OR RESTRICTIONS REGARDING SUPPLY AND USE</w:t>
      </w:r>
    </w:p>
    <w:p w14:paraId="50738E79" w14:textId="77777777" w:rsidR="00A60095" w:rsidRPr="00AE0B87" w:rsidRDefault="00A60095" w:rsidP="000C5183">
      <w:pPr>
        <w:autoSpaceDE w:val="0"/>
        <w:autoSpaceDN w:val="0"/>
        <w:adjustRightInd w:val="0"/>
        <w:rPr>
          <w:rFonts w:ascii="Times New Roman" w:hAnsi="Times New Roman" w:cs="Times New Roman"/>
          <w:color w:val="000000"/>
          <w:lang w:eastAsia="ko-KR"/>
        </w:rPr>
      </w:pPr>
    </w:p>
    <w:p w14:paraId="09D21A3D" w14:textId="72DAD6E9" w:rsidR="00047E69" w:rsidRPr="00AE0B87" w:rsidRDefault="00C210A5" w:rsidP="000C5183">
      <w:pPr>
        <w:autoSpaceDE w:val="0"/>
        <w:autoSpaceDN w:val="0"/>
        <w:adjustRightInd w:val="0"/>
        <w:rPr>
          <w:rFonts w:ascii="Times New Roman" w:eastAsia="SimSun" w:hAnsi="Times New Roman" w:cs="Times New Roman"/>
          <w:color w:val="000000"/>
          <w:lang w:eastAsia="en-GB"/>
        </w:rPr>
      </w:pPr>
      <w:r w:rsidRPr="00AE0B87">
        <w:rPr>
          <w:rFonts w:ascii="Times New Roman" w:eastAsia="SimSun" w:hAnsi="Times New Roman" w:cs="Times New Roman"/>
          <w:color w:val="000000"/>
          <w:lang w:eastAsia="en-GB"/>
        </w:rPr>
        <w:t>Medicinal product subject to restricted medical prescription (see Annex I: Summary of Product Characteristics, section 4.2).</w:t>
      </w:r>
    </w:p>
    <w:p w14:paraId="5C455519" w14:textId="77777777" w:rsidR="00047E69" w:rsidRPr="00AE0B87" w:rsidRDefault="00047E69" w:rsidP="000C5183">
      <w:pPr>
        <w:autoSpaceDE w:val="0"/>
        <w:autoSpaceDN w:val="0"/>
        <w:adjustRightInd w:val="0"/>
        <w:ind w:left="113" w:right="120"/>
        <w:rPr>
          <w:rFonts w:ascii="Times New Roman" w:hAnsi="Times New Roman" w:cs="Times New Roman"/>
          <w:color w:val="000000"/>
          <w:lang w:eastAsia="ko-KR"/>
        </w:rPr>
      </w:pPr>
    </w:p>
    <w:p w14:paraId="1D7A64FE" w14:textId="77777777" w:rsidR="00A60095" w:rsidRPr="00AE0B87" w:rsidRDefault="00A60095" w:rsidP="000C5183">
      <w:pPr>
        <w:autoSpaceDE w:val="0"/>
        <w:autoSpaceDN w:val="0"/>
        <w:adjustRightInd w:val="0"/>
        <w:ind w:left="113" w:right="120"/>
        <w:rPr>
          <w:rFonts w:ascii="Times New Roman" w:hAnsi="Times New Roman" w:cs="Times New Roman"/>
          <w:color w:val="000000"/>
          <w:lang w:eastAsia="ko-KR"/>
        </w:rPr>
      </w:pPr>
    </w:p>
    <w:p w14:paraId="6ADE9019" w14:textId="77777777" w:rsidR="00047E69" w:rsidRPr="00AE0B87" w:rsidRDefault="00C210A5" w:rsidP="000C5183">
      <w:pPr>
        <w:ind w:left="696" w:hangingChars="315" w:hanging="696"/>
        <w:outlineLvl w:val="0"/>
        <w:rPr>
          <w:rFonts w:ascii="Times New Roman" w:eastAsia="SimSun" w:hAnsi="Times New Roman" w:cs="Times New Roman"/>
          <w:b/>
          <w:bCs/>
          <w:color w:val="000000"/>
          <w:lang w:eastAsia="en-GB"/>
        </w:rPr>
      </w:pPr>
      <w:r w:rsidRPr="00AE0B87">
        <w:rPr>
          <w:rFonts w:ascii="Times New Roman" w:eastAsia="SimSun" w:hAnsi="Times New Roman" w:cs="Times New Roman"/>
          <w:b/>
          <w:bCs/>
          <w:color w:val="000000"/>
          <w:lang w:eastAsia="en-GB"/>
        </w:rPr>
        <w:t>C.</w:t>
      </w:r>
      <w:r w:rsidRPr="00AE0B87">
        <w:rPr>
          <w:rFonts w:ascii="Times New Roman" w:eastAsia="SimSun" w:hAnsi="Times New Roman" w:cs="Times New Roman"/>
          <w:b/>
          <w:bCs/>
          <w:color w:val="000000"/>
          <w:lang w:eastAsia="en-GB"/>
        </w:rPr>
        <w:tab/>
      </w:r>
      <w:bookmarkStart w:id="20" w:name="c_other"/>
      <w:r w:rsidRPr="00AE0B87">
        <w:rPr>
          <w:rFonts w:ascii="Times New Roman" w:eastAsia="SimSun" w:hAnsi="Times New Roman" w:cs="Times New Roman"/>
          <w:b/>
          <w:bCs/>
          <w:color w:val="000000"/>
          <w:lang w:eastAsia="en-GB"/>
        </w:rPr>
        <w:t xml:space="preserve">OTHER </w:t>
      </w:r>
      <w:bookmarkEnd w:id="20"/>
      <w:r w:rsidRPr="00AE0B87">
        <w:rPr>
          <w:rFonts w:ascii="Times New Roman" w:eastAsia="SimSun" w:hAnsi="Times New Roman" w:cs="Times New Roman"/>
          <w:b/>
          <w:bCs/>
          <w:color w:val="000000"/>
          <w:lang w:eastAsia="en-GB"/>
        </w:rPr>
        <w:t xml:space="preserve">CONDITIONS AND REQUIREMENTS OF THE MARKETING AUTHORISATION </w:t>
      </w:r>
    </w:p>
    <w:p w14:paraId="774AFE1F" w14:textId="77777777" w:rsidR="00047E69" w:rsidRPr="00AE0B87" w:rsidRDefault="00047E69" w:rsidP="000C5183">
      <w:pPr>
        <w:rPr>
          <w:lang w:eastAsia="en-GB"/>
        </w:rPr>
      </w:pPr>
    </w:p>
    <w:p w14:paraId="1303F2F6" w14:textId="052D6930" w:rsidR="00047E69" w:rsidRPr="00AE0B87" w:rsidRDefault="00C210A5" w:rsidP="000C5183">
      <w:pPr>
        <w:numPr>
          <w:ilvl w:val="0"/>
          <w:numId w:val="13"/>
        </w:numPr>
        <w:tabs>
          <w:tab w:val="clear" w:pos="510"/>
          <w:tab w:val="left" w:pos="709"/>
        </w:tabs>
        <w:autoSpaceDE w:val="0"/>
        <w:autoSpaceDN w:val="0"/>
        <w:adjustRightInd w:val="0"/>
        <w:ind w:left="709" w:hanging="709"/>
        <w:rPr>
          <w:rFonts w:ascii="Times New Roman" w:eastAsia="SimSun" w:hAnsi="Times New Roman" w:cs="Times New Roman"/>
          <w:color w:val="000000"/>
          <w:lang w:eastAsia="en-GB"/>
        </w:rPr>
      </w:pPr>
      <w:r w:rsidRPr="00AE0B87">
        <w:rPr>
          <w:rFonts w:ascii="Times New Roman" w:eastAsia="SimSun" w:hAnsi="Times New Roman" w:cs="Times New Roman"/>
          <w:b/>
          <w:bCs/>
          <w:color w:val="000000"/>
          <w:lang w:eastAsia="en-GB"/>
        </w:rPr>
        <w:t xml:space="preserve">Periodic safety update reports </w:t>
      </w:r>
      <w:r w:rsidR="0079332C" w:rsidRPr="00AE0B87">
        <w:rPr>
          <w:rFonts w:ascii="Times New Roman" w:eastAsia="SimSun" w:hAnsi="Times New Roman" w:cs="Times New Roman"/>
          <w:b/>
          <w:bCs/>
          <w:color w:val="000000"/>
          <w:lang w:eastAsia="en-GB"/>
        </w:rPr>
        <w:t>(PSURs)</w:t>
      </w:r>
    </w:p>
    <w:p w14:paraId="198C790C" w14:textId="77777777" w:rsidR="00047E69" w:rsidRPr="00AE0B87" w:rsidRDefault="00047E69" w:rsidP="000C5183">
      <w:pPr>
        <w:tabs>
          <w:tab w:val="left" w:pos="709"/>
        </w:tabs>
        <w:autoSpaceDE w:val="0"/>
        <w:autoSpaceDN w:val="0"/>
        <w:adjustRightInd w:val="0"/>
        <w:ind w:left="964"/>
        <w:jc w:val="both"/>
        <w:rPr>
          <w:rFonts w:ascii="Times New Roman" w:eastAsia="SimSun" w:hAnsi="Times New Roman" w:cs="Times New Roman"/>
          <w:color w:val="000000"/>
          <w:lang w:eastAsia="en-GB"/>
        </w:rPr>
      </w:pPr>
    </w:p>
    <w:p w14:paraId="3D0C853F" w14:textId="77777777" w:rsidR="00047E69" w:rsidRPr="00AE0B87" w:rsidRDefault="00C210A5" w:rsidP="000C5183">
      <w:pPr>
        <w:pStyle w:val="a6"/>
        <w:rPr>
          <w:rFonts w:ascii="Times New Roman" w:hAnsi="Times New Roman" w:cs="Times New Roman"/>
        </w:rPr>
      </w:pPr>
      <w:r w:rsidRPr="00AE0B87">
        <w:rPr>
          <w:rFonts w:ascii="Times New Roman" w:hAnsi="Times New Roman" w:cs="Times New Roman"/>
        </w:rPr>
        <w:t>The requirements for submission of PSURs for this medicinal product are set out in the list of Union reference dates (EURD list) provided for under Article 107c(7) of Directive 2001/83/EC and any subsequent updates published on the European medicines web-portal.</w:t>
      </w:r>
    </w:p>
    <w:p w14:paraId="24608B18" w14:textId="77777777" w:rsidR="00047E69" w:rsidRPr="00AE0B87" w:rsidRDefault="00047E69" w:rsidP="000C5183">
      <w:pPr>
        <w:pStyle w:val="a6"/>
        <w:ind w:left="113"/>
        <w:rPr>
          <w:rFonts w:ascii="Times New Roman" w:eastAsia="SimSun" w:hAnsi="Times New Roman" w:cs="Times New Roman"/>
          <w:color w:val="000000"/>
          <w:lang w:eastAsia="en-GB"/>
        </w:rPr>
      </w:pPr>
    </w:p>
    <w:p w14:paraId="26C4DCF4" w14:textId="77777777" w:rsidR="00047E69" w:rsidRPr="00AE0B87" w:rsidRDefault="00C210A5" w:rsidP="00814894">
      <w:pPr>
        <w:keepNext/>
        <w:keepLines/>
        <w:ind w:left="696" w:hangingChars="315" w:hanging="696"/>
        <w:outlineLvl w:val="0"/>
        <w:rPr>
          <w:rFonts w:ascii="Times New Roman" w:hAnsi="Times New Roman" w:cs="Times New Roman"/>
          <w:b/>
          <w:bCs/>
          <w:color w:val="000000"/>
          <w:lang w:eastAsia="ko-KR"/>
        </w:rPr>
      </w:pPr>
      <w:r w:rsidRPr="00AE0B87">
        <w:rPr>
          <w:rFonts w:ascii="Times New Roman" w:eastAsia="SimSun" w:hAnsi="Times New Roman" w:cs="Times New Roman"/>
          <w:b/>
          <w:bCs/>
          <w:color w:val="000000"/>
          <w:lang w:eastAsia="en-GB"/>
        </w:rPr>
        <w:t>D.</w:t>
      </w:r>
      <w:r w:rsidRPr="00AE0B87">
        <w:rPr>
          <w:rFonts w:ascii="Times New Roman" w:eastAsia="SimSun" w:hAnsi="Times New Roman" w:cs="Times New Roman"/>
          <w:b/>
          <w:bCs/>
          <w:color w:val="000000"/>
          <w:lang w:eastAsia="en-GB"/>
        </w:rPr>
        <w:tab/>
      </w:r>
      <w:bookmarkStart w:id="21" w:name="d_conditions"/>
      <w:r w:rsidRPr="00AE0B87">
        <w:rPr>
          <w:rFonts w:ascii="Times New Roman" w:eastAsia="SimSun" w:hAnsi="Times New Roman" w:cs="Times New Roman"/>
          <w:b/>
          <w:bCs/>
          <w:color w:val="000000"/>
          <w:lang w:eastAsia="en-GB"/>
        </w:rPr>
        <w:t xml:space="preserve">CONDITIONS </w:t>
      </w:r>
      <w:bookmarkEnd w:id="21"/>
      <w:r w:rsidRPr="00AE0B87">
        <w:rPr>
          <w:rFonts w:ascii="Times New Roman" w:eastAsia="SimSun" w:hAnsi="Times New Roman" w:cs="Times New Roman"/>
          <w:b/>
          <w:bCs/>
          <w:color w:val="000000"/>
          <w:lang w:eastAsia="en-GB"/>
        </w:rPr>
        <w:t>OR RESTRICTIONS WITH REGARD TO THE SAFE AND EFFECTIVE USE OF THE MEDICINAL PRODUCT</w:t>
      </w:r>
    </w:p>
    <w:p w14:paraId="7E924F94" w14:textId="77777777" w:rsidR="00A60095" w:rsidRPr="00AE0B87" w:rsidRDefault="00A60095" w:rsidP="005E4476">
      <w:pPr>
        <w:rPr>
          <w:rFonts w:ascii="Times New Roman" w:hAnsi="Times New Roman" w:cs="Times New Roman"/>
          <w:b/>
          <w:bCs/>
          <w:color w:val="000000"/>
          <w:lang w:eastAsia="ko-KR"/>
        </w:rPr>
      </w:pPr>
    </w:p>
    <w:p w14:paraId="695D502F" w14:textId="26324B23" w:rsidR="00047E69" w:rsidRPr="00AE0B87" w:rsidRDefault="00C210A5" w:rsidP="00814894">
      <w:pPr>
        <w:keepNext/>
        <w:keepLines/>
        <w:numPr>
          <w:ilvl w:val="0"/>
          <w:numId w:val="13"/>
        </w:numPr>
        <w:tabs>
          <w:tab w:val="clear" w:pos="510"/>
          <w:tab w:val="left" w:pos="709"/>
        </w:tabs>
        <w:autoSpaceDE w:val="0"/>
        <w:autoSpaceDN w:val="0"/>
        <w:adjustRightInd w:val="0"/>
        <w:ind w:left="709" w:hanging="709"/>
        <w:rPr>
          <w:rFonts w:ascii="Times New Roman" w:eastAsia="SimSun" w:hAnsi="Times New Roman" w:cs="Times New Roman"/>
          <w:b/>
          <w:bCs/>
          <w:color w:val="000000"/>
          <w:lang w:eastAsia="en-GB"/>
        </w:rPr>
      </w:pPr>
      <w:r w:rsidRPr="00AE0B87">
        <w:rPr>
          <w:rFonts w:ascii="Times New Roman" w:eastAsia="SimSun" w:hAnsi="Times New Roman" w:cs="Times New Roman"/>
          <w:b/>
          <w:bCs/>
          <w:color w:val="000000"/>
          <w:lang w:eastAsia="en-GB"/>
        </w:rPr>
        <w:lastRenderedPageBreak/>
        <w:t xml:space="preserve">Risk </w:t>
      </w:r>
      <w:r w:rsidR="008D2FE2" w:rsidRPr="00AE0B87">
        <w:rPr>
          <w:rFonts w:ascii="Times New Roman" w:eastAsia="SimSun" w:hAnsi="Times New Roman" w:cs="Times New Roman"/>
          <w:b/>
          <w:bCs/>
          <w:color w:val="000000"/>
          <w:lang w:eastAsia="en-GB"/>
        </w:rPr>
        <w:t>m</w:t>
      </w:r>
      <w:r w:rsidRPr="00AE0B87">
        <w:rPr>
          <w:rFonts w:ascii="Times New Roman" w:eastAsia="SimSun" w:hAnsi="Times New Roman" w:cs="Times New Roman"/>
          <w:b/>
          <w:bCs/>
          <w:color w:val="000000"/>
          <w:lang w:eastAsia="en-GB"/>
        </w:rPr>
        <w:t xml:space="preserve">anagement </w:t>
      </w:r>
      <w:r w:rsidR="008D2FE2" w:rsidRPr="00AE0B87">
        <w:rPr>
          <w:rFonts w:ascii="Times New Roman" w:eastAsia="SimSun" w:hAnsi="Times New Roman" w:cs="Times New Roman"/>
          <w:b/>
          <w:bCs/>
          <w:color w:val="000000"/>
          <w:lang w:eastAsia="en-GB"/>
        </w:rPr>
        <w:t>p</w:t>
      </w:r>
      <w:r w:rsidRPr="00AE0B87">
        <w:rPr>
          <w:rFonts w:ascii="Times New Roman" w:eastAsia="SimSun" w:hAnsi="Times New Roman" w:cs="Times New Roman"/>
          <w:b/>
          <w:bCs/>
          <w:color w:val="000000"/>
          <w:lang w:eastAsia="en-GB"/>
        </w:rPr>
        <w:t>lan (RMP)</w:t>
      </w:r>
    </w:p>
    <w:p w14:paraId="3BDA0938" w14:textId="77777777" w:rsidR="00047E69" w:rsidRPr="00AE0B87" w:rsidRDefault="00047E69" w:rsidP="00814894">
      <w:pPr>
        <w:keepNext/>
        <w:keepLines/>
        <w:tabs>
          <w:tab w:val="left" w:pos="709"/>
        </w:tabs>
        <w:autoSpaceDE w:val="0"/>
        <w:autoSpaceDN w:val="0"/>
        <w:adjustRightInd w:val="0"/>
        <w:ind w:left="964"/>
        <w:jc w:val="both"/>
        <w:rPr>
          <w:rFonts w:ascii="Times New Roman" w:eastAsia="SimSun" w:hAnsi="Times New Roman" w:cs="Times New Roman"/>
          <w:b/>
          <w:bCs/>
          <w:color w:val="000000"/>
          <w:lang w:eastAsia="en-GB"/>
        </w:rPr>
      </w:pPr>
    </w:p>
    <w:p w14:paraId="36A083A2" w14:textId="649EB58C" w:rsidR="00047E69" w:rsidRPr="00AE0B87" w:rsidRDefault="00C210A5" w:rsidP="00814894">
      <w:pPr>
        <w:keepNext/>
        <w:keepLines/>
        <w:autoSpaceDE w:val="0"/>
        <w:autoSpaceDN w:val="0"/>
        <w:adjustRightInd w:val="0"/>
        <w:rPr>
          <w:rFonts w:ascii="Times New Roman" w:eastAsia="SimSun" w:hAnsi="Times New Roman" w:cs="Times New Roman"/>
          <w:color w:val="000000"/>
          <w:lang w:eastAsia="en-GB"/>
        </w:rPr>
      </w:pPr>
      <w:r w:rsidRPr="00AE0B87">
        <w:rPr>
          <w:rFonts w:ascii="Times New Roman" w:eastAsia="SimSun" w:hAnsi="Times New Roman" w:cs="Times New Roman"/>
          <w:color w:val="000000"/>
          <w:lang w:eastAsia="en-GB"/>
        </w:rPr>
        <w:t xml:space="preserve">The </w:t>
      </w:r>
      <w:r w:rsidR="00E67ADA" w:rsidRPr="00AE0B87">
        <w:rPr>
          <w:rFonts w:ascii="Times New Roman" w:eastAsia="SimSun" w:hAnsi="Times New Roman" w:cs="Times New Roman"/>
          <w:color w:val="000000"/>
          <w:lang w:eastAsia="en-GB"/>
        </w:rPr>
        <w:t>marketing authorisation holder (</w:t>
      </w:r>
      <w:r w:rsidRPr="00AE0B87">
        <w:rPr>
          <w:rFonts w:ascii="Times New Roman" w:eastAsia="SimSun" w:hAnsi="Times New Roman" w:cs="Times New Roman"/>
          <w:color w:val="000000"/>
          <w:lang w:eastAsia="en-GB"/>
        </w:rPr>
        <w:t>MAH</w:t>
      </w:r>
      <w:r w:rsidR="00E67ADA" w:rsidRPr="00AE0B87">
        <w:rPr>
          <w:rFonts w:ascii="Times New Roman" w:eastAsia="SimSun" w:hAnsi="Times New Roman" w:cs="Times New Roman"/>
          <w:color w:val="000000"/>
          <w:lang w:eastAsia="en-GB"/>
        </w:rPr>
        <w:t>)</w:t>
      </w:r>
      <w:r w:rsidRPr="00AE0B87">
        <w:rPr>
          <w:rFonts w:ascii="Times New Roman" w:eastAsia="SimSun" w:hAnsi="Times New Roman" w:cs="Times New Roman"/>
          <w:color w:val="000000"/>
          <w:lang w:eastAsia="en-GB"/>
        </w:rPr>
        <w:t xml:space="preserve"> shall perform the required pharmacovigilance activities and interventions detailed in the agreed RMP presented in Module 1.8.2 of the marketing authorisation and any agreed subsequent updates of the RMP.</w:t>
      </w:r>
    </w:p>
    <w:p w14:paraId="46E6B2F8" w14:textId="77777777" w:rsidR="00047E69" w:rsidRPr="00AE0B87" w:rsidRDefault="00C210A5" w:rsidP="00814894">
      <w:pPr>
        <w:keepNext/>
        <w:keepLines/>
        <w:autoSpaceDE w:val="0"/>
        <w:autoSpaceDN w:val="0"/>
        <w:adjustRightInd w:val="0"/>
        <w:rPr>
          <w:rFonts w:ascii="Times New Roman" w:eastAsia="SimSun" w:hAnsi="Times New Roman" w:cs="Times New Roman"/>
          <w:color w:val="000000"/>
          <w:lang w:eastAsia="en-GB"/>
        </w:rPr>
      </w:pPr>
      <w:r w:rsidRPr="00AE0B87">
        <w:rPr>
          <w:rFonts w:ascii="Times New Roman" w:eastAsia="SimSun" w:hAnsi="Times New Roman" w:cs="Times New Roman"/>
          <w:color w:val="000000"/>
          <w:lang w:eastAsia="en-GB"/>
        </w:rPr>
        <w:t>An updated RMP should be submitted:</w:t>
      </w:r>
    </w:p>
    <w:p w14:paraId="1B6CBB1F" w14:textId="77777777" w:rsidR="00047E69" w:rsidRPr="00AE0B87" w:rsidRDefault="00C210A5" w:rsidP="000C5183">
      <w:pPr>
        <w:numPr>
          <w:ilvl w:val="0"/>
          <w:numId w:val="26"/>
        </w:numPr>
        <w:tabs>
          <w:tab w:val="clear" w:pos="468"/>
          <w:tab w:val="num" w:pos="1134"/>
        </w:tabs>
        <w:autoSpaceDE w:val="0"/>
        <w:autoSpaceDN w:val="0"/>
        <w:adjustRightInd w:val="0"/>
        <w:snapToGrid w:val="0"/>
        <w:ind w:left="426" w:hanging="426"/>
        <w:rPr>
          <w:rFonts w:ascii="Times New Roman" w:eastAsia="SimSun" w:hAnsi="Times New Roman" w:cs="Times New Roman"/>
          <w:color w:val="000000"/>
          <w:lang w:eastAsia="en-GB"/>
        </w:rPr>
      </w:pPr>
      <w:r w:rsidRPr="00AE0B87">
        <w:rPr>
          <w:rFonts w:ascii="Times New Roman" w:eastAsia="SimSun" w:hAnsi="Times New Roman" w:cs="Times New Roman"/>
          <w:color w:val="000000"/>
          <w:lang w:eastAsia="en-GB"/>
        </w:rPr>
        <w:t>At the request of the European Medicines Agency.</w:t>
      </w:r>
    </w:p>
    <w:p w14:paraId="355364BC" w14:textId="77777777" w:rsidR="00047E69" w:rsidRPr="00AE0B87" w:rsidRDefault="00C210A5" w:rsidP="000C5183">
      <w:pPr>
        <w:numPr>
          <w:ilvl w:val="0"/>
          <w:numId w:val="26"/>
        </w:numPr>
        <w:tabs>
          <w:tab w:val="clear" w:pos="468"/>
          <w:tab w:val="num" w:pos="1134"/>
        </w:tabs>
        <w:autoSpaceDE w:val="0"/>
        <w:autoSpaceDN w:val="0"/>
        <w:adjustRightInd w:val="0"/>
        <w:snapToGrid w:val="0"/>
        <w:ind w:left="426" w:hanging="426"/>
        <w:rPr>
          <w:rFonts w:ascii="Times New Roman" w:eastAsia="SimSun" w:hAnsi="Times New Roman" w:cs="Times New Roman"/>
          <w:color w:val="000000"/>
          <w:lang w:eastAsia="en-GB"/>
        </w:rPr>
      </w:pPr>
      <w:r w:rsidRPr="00AE0B87">
        <w:rPr>
          <w:rFonts w:ascii="Times New Roman" w:eastAsia="SimSun" w:hAnsi="Times New Roman" w:cs="Times New Roman"/>
          <w:color w:val="000000"/>
          <w:lang w:eastAsia="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B4C5D48" w14:textId="4FEDBBE7" w:rsidR="006532D6" w:rsidRDefault="006532D6" w:rsidP="000C5183">
      <w:pPr>
        <w:rPr>
          <w:rFonts w:ascii="Times New Roman" w:eastAsia="SimSun" w:hAnsi="Times New Roman" w:cs="Times New Roman"/>
          <w:color w:val="000000"/>
          <w:lang w:eastAsia="en-GB"/>
        </w:rPr>
      </w:pPr>
      <w:r>
        <w:rPr>
          <w:rFonts w:ascii="Times New Roman" w:eastAsia="SimSun" w:hAnsi="Times New Roman" w:cs="Times New Roman"/>
          <w:color w:val="000000"/>
          <w:lang w:eastAsia="en-GB"/>
        </w:rPr>
        <w:br w:type="page"/>
      </w:r>
    </w:p>
    <w:p w14:paraId="6E4E7704" w14:textId="77777777" w:rsidR="00047E69" w:rsidRDefault="00047E69">
      <w:pPr>
        <w:autoSpaceDE w:val="0"/>
        <w:autoSpaceDN w:val="0"/>
        <w:adjustRightInd w:val="0"/>
        <w:ind w:right="120"/>
        <w:rPr>
          <w:rFonts w:ascii="Times New Roman" w:eastAsia="SimSun" w:hAnsi="Times New Roman" w:cs="Times New Roman"/>
          <w:color w:val="000000"/>
          <w:lang w:eastAsia="en-GB"/>
        </w:rPr>
      </w:pPr>
    </w:p>
    <w:p w14:paraId="1BA37CF5" w14:textId="77777777" w:rsidR="00047E69" w:rsidRDefault="00047E69" w:rsidP="005E4476">
      <w:pPr>
        <w:rPr>
          <w:rFonts w:ascii="Times New Roman" w:eastAsia="SimSun" w:hAnsi="Times New Roman" w:cs="Times New Roman"/>
          <w:color w:val="000000"/>
          <w:lang w:eastAsia="en-GB"/>
        </w:rPr>
      </w:pPr>
    </w:p>
    <w:p w14:paraId="69FD88C3" w14:textId="77777777" w:rsidR="00047E69" w:rsidRDefault="00047E69">
      <w:pPr>
        <w:numPr>
          <w:ilvl w:val="12"/>
          <w:numId w:val="0"/>
        </w:numPr>
        <w:ind w:right="-2"/>
        <w:rPr>
          <w:rFonts w:ascii="Times New Roman" w:hAnsi="Times New Roman" w:cs="Times New Roman"/>
          <w:noProof/>
        </w:rPr>
      </w:pPr>
    </w:p>
    <w:p w14:paraId="3E747ECD" w14:textId="77777777" w:rsidR="00047E69" w:rsidRDefault="00047E69">
      <w:pPr>
        <w:rPr>
          <w:rFonts w:ascii="Times New Roman" w:hAnsi="Times New Roman" w:cs="Times New Roman"/>
          <w:noProof/>
        </w:rPr>
      </w:pPr>
    </w:p>
    <w:p w14:paraId="16314FC6" w14:textId="77777777" w:rsidR="00047E69" w:rsidRDefault="00047E69">
      <w:pPr>
        <w:rPr>
          <w:rFonts w:ascii="Times New Roman" w:hAnsi="Times New Roman" w:cs="Times New Roman"/>
          <w:noProof/>
        </w:rPr>
      </w:pPr>
    </w:p>
    <w:p w14:paraId="7CCE1579" w14:textId="77777777" w:rsidR="00047E69" w:rsidRDefault="00047E69">
      <w:pPr>
        <w:rPr>
          <w:rFonts w:ascii="Times New Roman" w:hAnsi="Times New Roman" w:cs="Times New Roman"/>
          <w:noProof/>
        </w:rPr>
      </w:pPr>
    </w:p>
    <w:p w14:paraId="091ACC28" w14:textId="77777777" w:rsidR="00047E69" w:rsidRDefault="00047E69">
      <w:pPr>
        <w:rPr>
          <w:rFonts w:ascii="Times New Roman" w:hAnsi="Times New Roman" w:cs="Times New Roman"/>
          <w:noProof/>
        </w:rPr>
      </w:pPr>
    </w:p>
    <w:p w14:paraId="6416BE1F" w14:textId="77777777" w:rsidR="00047E69" w:rsidRDefault="00047E69">
      <w:pPr>
        <w:rPr>
          <w:rFonts w:ascii="Times New Roman" w:hAnsi="Times New Roman" w:cs="Times New Roman"/>
          <w:noProof/>
        </w:rPr>
      </w:pPr>
    </w:p>
    <w:p w14:paraId="57888FD0" w14:textId="77777777" w:rsidR="00047E69" w:rsidRDefault="00047E69">
      <w:pPr>
        <w:rPr>
          <w:rFonts w:ascii="Times New Roman" w:hAnsi="Times New Roman" w:cs="Times New Roman"/>
          <w:noProof/>
        </w:rPr>
      </w:pPr>
    </w:p>
    <w:p w14:paraId="2D0215A0" w14:textId="77777777" w:rsidR="00047E69" w:rsidRDefault="00047E69">
      <w:pPr>
        <w:rPr>
          <w:rFonts w:ascii="Times New Roman" w:hAnsi="Times New Roman" w:cs="Times New Roman"/>
          <w:noProof/>
        </w:rPr>
      </w:pPr>
    </w:p>
    <w:p w14:paraId="440466A7" w14:textId="77777777" w:rsidR="00047E69" w:rsidRDefault="00047E69">
      <w:pPr>
        <w:rPr>
          <w:rFonts w:ascii="Times New Roman" w:hAnsi="Times New Roman" w:cs="Times New Roman"/>
          <w:noProof/>
        </w:rPr>
      </w:pPr>
    </w:p>
    <w:p w14:paraId="77E2F21A" w14:textId="77777777" w:rsidR="00047E69" w:rsidRDefault="00047E69">
      <w:pPr>
        <w:rPr>
          <w:rFonts w:ascii="Times New Roman" w:hAnsi="Times New Roman" w:cs="Times New Roman"/>
          <w:noProof/>
        </w:rPr>
      </w:pPr>
    </w:p>
    <w:p w14:paraId="586EBCB1" w14:textId="77777777" w:rsidR="00047E69" w:rsidRDefault="00047E69">
      <w:pPr>
        <w:rPr>
          <w:rFonts w:ascii="Times New Roman" w:hAnsi="Times New Roman" w:cs="Times New Roman"/>
          <w:noProof/>
        </w:rPr>
      </w:pPr>
    </w:p>
    <w:p w14:paraId="2B49A5D9" w14:textId="77777777" w:rsidR="00047E69" w:rsidRDefault="00047E69">
      <w:pPr>
        <w:rPr>
          <w:rFonts w:ascii="Times New Roman" w:hAnsi="Times New Roman" w:cs="Times New Roman"/>
          <w:noProof/>
        </w:rPr>
      </w:pPr>
    </w:p>
    <w:p w14:paraId="436C3D9D" w14:textId="77777777" w:rsidR="00047E69" w:rsidRDefault="00047E69">
      <w:pPr>
        <w:rPr>
          <w:rFonts w:ascii="Times New Roman" w:hAnsi="Times New Roman" w:cs="Times New Roman"/>
          <w:noProof/>
        </w:rPr>
      </w:pPr>
    </w:p>
    <w:p w14:paraId="2A848A53" w14:textId="77777777" w:rsidR="00047E69" w:rsidRDefault="00047E69">
      <w:pPr>
        <w:rPr>
          <w:rFonts w:ascii="Times New Roman" w:hAnsi="Times New Roman" w:cs="Times New Roman"/>
          <w:noProof/>
        </w:rPr>
      </w:pPr>
    </w:p>
    <w:p w14:paraId="39BB6746" w14:textId="77777777" w:rsidR="00047E69" w:rsidRDefault="00047E69">
      <w:pPr>
        <w:rPr>
          <w:rFonts w:ascii="Times New Roman" w:hAnsi="Times New Roman" w:cs="Times New Roman"/>
          <w:noProof/>
        </w:rPr>
      </w:pPr>
    </w:p>
    <w:p w14:paraId="6575A917" w14:textId="77777777" w:rsidR="00047E69" w:rsidRDefault="00047E69">
      <w:pPr>
        <w:rPr>
          <w:rFonts w:ascii="Times New Roman" w:hAnsi="Times New Roman" w:cs="Times New Roman"/>
          <w:noProof/>
        </w:rPr>
      </w:pPr>
    </w:p>
    <w:p w14:paraId="6DE4CE30" w14:textId="77777777" w:rsidR="00047E69" w:rsidRDefault="00047E69">
      <w:pPr>
        <w:rPr>
          <w:rFonts w:ascii="Times New Roman" w:hAnsi="Times New Roman" w:cs="Times New Roman"/>
          <w:noProof/>
        </w:rPr>
      </w:pPr>
    </w:p>
    <w:p w14:paraId="7DC70AC9" w14:textId="77777777" w:rsidR="00047E69" w:rsidRDefault="00047E69">
      <w:pPr>
        <w:rPr>
          <w:rFonts w:ascii="Times New Roman" w:hAnsi="Times New Roman" w:cs="Times New Roman"/>
          <w:noProof/>
        </w:rPr>
      </w:pPr>
    </w:p>
    <w:p w14:paraId="57F5AAE4" w14:textId="77777777" w:rsidR="00047E69" w:rsidRDefault="00047E69">
      <w:pPr>
        <w:rPr>
          <w:rFonts w:ascii="Times New Roman" w:hAnsi="Times New Roman" w:cs="Times New Roman"/>
          <w:noProof/>
        </w:rPr>
      </w:pPr>
    </w:p>
    <w:p w14:paraId="06A9DFFF" w14:textId="77777777" w:rsidR="00047E69" w:rsidRDefault="00047E69">
      <w:pPr>
        <w:rPr>
          <w:rFonts w:ascii="Times New Roman" w:hAnsi="Times New Roman" w:cs="Times New Roman"/>
          <w:noProof/>
        </w:rPr>
      </w:pPr>
    </w:p>
    <w:p w14:paraId="3E02F415" w14:textId="77777777" w:rsidR="00047E69" w:rsidRDefault="00047E69">
      <w:pPr>
        <w:rPr>
          <w:rFonts w:ascii="Times New Roman" w:hAnsi="Times New Roman" w:cs="Times New Roman"/>
          <w:noProof/>
        </w:rPr>
      </w:pPr>
    </w:p>
    <w:p w14:paraId="125A972F" w14:textId="77777777" w:rsidR="00047E69" w:rsidRPr="00AE0B87" w:rsidRDefault="00047E69">
      <w:pPr>
        <w:rPr>
          <w:rFonts w:ascii="Times New Roman" w:hAnsi="Times New Roman" w:cs="Times New Roman"/>
          <w:noProof/>
        </w:rPr>
      </w:pPr>
    </w:p>
    <w:p w14:paraId="3866997A" w14:textId="77777777" w:rsidR="00047E69" w:rsidRPr="00AE0B87" w:rsidRDefault="00047E69">
      <w:pPr>
        <w:rPr>
          <w:rFonts w:ascii="Times New Roman" w:hAnsi="Times New Roman" w:cs="Times New Roman"/>
        </w:rPr>
      </w:pPr>
    </w:p>
    <w:p w14:paraId="531AA806" w14:textId="77777777" w:rsidR="00047E69" w:rsidRPr="00AE0B87" w:rsidRDefault="00C210A5">
      <w:pPr>
        <w:jc w:val="center"/>
        <w:rPr>
          <w:rFonts w:ascii="Times New Roman" w:hAnsi="Times New Roman" w:cs="Times New Roman"/>
          <w:b/>
          <w:noProof/>
        </w:rPr>
      </w:pPr>
      <w:r w:rsidRPr="00AE0B87">
        <w:rPr>
          <w:rFonts w:ascii="Times New Roman" w:hAnsi="Times New Roman" w:cs="Times New Roman"/>
          <w:b/>
          <w:noProof/>
        </w:rPr>
        <w:t>ANNEX III</w:t>
      </w:r>
    </w:p>
    <w:p w14:paraId="40ACCBB1" w14:textId="77777777" w:rsidR="00047E69" w:rsidRPr="00AE0B87" w:rsidRDefault="00047E69">
      <w:pPr>
        <w:jc w:val="center"/>
        <w:rPr>
          <w:rFonts w:ascii="Times New Roman" w:hAnsi="Times New Roman" w:cs="Times New Roman"/>
          <w:b/>
          <w:noProof/>
        </w:rPr>
      </w:pPr>
    </w:p>
    <w:p w14:paraId="400F1327" w14:textId="77777777" w:rsidR="00047E69" w:rsidRPr="00AE0B87" w:rsidRDefault="00C210A5">
      <w:pPr>
        <w:jc w:val="center"/>
        <w:rPr>
          <w:rFonts w:ascii="Times New Roman" w:hAnsi="Times New Roman" w:cs="Times New Roman"/>
          <w:b/>
          <w:noProof/>
        </w:rPr>
      </w:pPr>
      <w:r w:rsidRPr="00AE0B87">
        <w:rPr>
          <w:rFonts w:ascii="Times New Roman" w:hAnsi="Times New Roman" w:cs="Times New Roman"/>
          <w:b/>
          <w:noProof/>
        </w:rPr>
        <w:t>LABELLING AND PACKAGE LEAFLET</w:t>
      </w:r>
    </w:p>
    <w:p w14:paraId="1D5E8E72" w14:textId="77777777" w:rsidR="00047E69" w:rsidRPr="00AE0B87" w:rsidRDefault="00C210A5">
      <w:pPr>
        <w:rPr>
          <w:rFonts w:ascii="Times New Roman" w:hAnsi="Times New Roman" w:cs="Times New Roman"/>
        </w:rPr>
      </w:pPr>
      <w:r w:rsidRPr="00AE0B87">
        <w:rPr>
          <w:rFonts w:ascii="Times New Roman" w:hAnsi="Times New Roman" w:cs="Times New Roman"/>
          <w:b/>
          <w:noProof/>
        </w:rPr>
        <w:br w:type="page"/>
      </w:r>
    </w:p>
    <w:p w14:paraId="4F8B65A2" w14:textId="77777777" w:rsidR="00047E69" w:rsidRPr="00AE0B87" w:rsidRDefault="00047E69">
      <w:pPr>
        <w:rPr>
          <w:rFonts w:ascii="Times New Roman" w:hAnsi="Times New Roman" w:cs="Times New Roman"/>
        </w:rPr>
      </w:pPr>
    </w:p>
    <w:p w14:paraId="31C6D6DD" w14:textId="77777777" w:rsidR="00047E69" w:rsidRPr="00AE0B87" w:rsidRDefault="00047E69">
      <w:pPr>
        <w:rPr>
          <w:rFonts w:ascii="Times New Roman" w:hAnsi="Times New Roman" w:cs="Times New Roman"/>
        </w:rPr>
      </w:pPr>
    </w:p>
    <w:p w14:paraId="342D9C0D" w14:textId="77777777" w:rsidR="00047E69" w:rsidRPr="00AE0B87" w:rsidRDefault="00047E69">
      <w:pPr>
        <w:rPr>
          <w:rFonts w:ascii="Times New Roman" w:hAnsi="Times New Roman" w:cs="Times New Roman"/>
        </w:rPr>
      </w:pPr>
    </w:p>
    <w:p w14:paraId="54C8684D" w14:textId="77777777" w:rsidR="00047E69" w:rsidRPr="00AE0B87" w:rsidRDefault="00047E69">
      <w:pPr>
        <w:rPr>
          <w:rFonts w:ascii="Times New Roman" w:hAnsi="Times New Roman" w:cs="Times New Roman"/>
        </w:rPr>
      </w:pPr>
    </w:p>
    <w:p w14:paraId="27563A0D" w14:textId="77777777" w:rsidR="00047E69" w:rsidRPr="00AE0B87" w:rsidRDefault="00047E69">
      <w:pPr>
        <w:rPr>
          <w:rFonts w:ascii="Times New Roman" w:hAnsi="Times New Roman" w:cs="Times New Roman"/>
        </w:rPr>
      </w:pPr>
    </w:p>
    <w:p w14:paraId="31FDC3AA" w14:textId="77777777" w:rsidR="00047E69" w:rsidRPr="00AE0B87" w:rsidRDefault="00047E69">
      <w:pPr>
        <w:rPr>
          <w:rFonts w:ascii="Times New Roman" w:hAnsi="Times New Roman" w:cs="Times New Roman"/>
        </w:rPr>
      </w:pPr>
    </w:p>
    <w:p w14:paraId="6F481A69" w14:textId="77777777" w:rsidR="00047E69" w:rsidRPr="00AE0B87" w:rsidRDefault="00047E69">
      <w:pPr>
        <w:rPr>
          <w:rFonts w:ascii="Times New Roman" w:hAnsi="Times New Roman" w:cs="Times New Roman"/>
        </w:rPr>
      </w:pPr>
    </w:p>
    <w:p w14:paraId="3C2A1D30" w14:textId="77777777" w:rsidR="00047E69" w:rsidRPr="00AE0B87" w:rsidRDefault="00047E69">
      <w:pPr>
        <w:rPr>
          <w:rFonts w:ascii="Times New Roman" w:hAnsi="Times New Roman" w:cs="Times New Roman"/>
        </w:rPr>
      </w:pPr>
    </w:p>
    <w:p w14:paraId="36AE9BC5" w14:textId="77777777" w:rsidR="00047E69" w:rsidRPr="00AE0B87" w:rsidRDefault="00047E69">
      <w:pPr>
        <w:rPr>
          <w:rFonts w:ascii="Times New Roman" w:hAnsi="Times New Roman" w:cs="Times New Roman"/>
        </w:rPr>
      </w:pPr>
    </w:p>
    <w:p w14:paraId="639AAC88" w14:textId="77777777" w:rsidR="00047E69" w:rsidRPr="00AE0B87" w:rsidRDefault="00047E69">
      <w:pPr>
        <w:rPr>
          <w:rFonts w:ascii="Times New Roman" w:hAnsi="Times New Roman" w:cs="Times New Roman"/>
        </w:rPr>
      </w:pPr>
    </w:p>
    <w:p w14:paraId="3FD9C0B0" w14:textId="77777777" w:rsidR="00047E69" w:rsidRPr="00AE0B87" w:rsidRDefault="00047E69">
      <w:pPr>
        <w:rPr>
          <w:rFonts w:ascii="Times New Roman" w:hAnsi="Times New Roman" w:cs="Times New Roman"/>
        </w:rPr>
      </w:pPr>
    </w:p>
    <w:p w14:paraId="1FC1ED44" w14:textId="77777777" w:rsidR="00047E69" w:rsidRPr="00AE0B87" w:rsidRDefault="00047E69">
      <w:pPr>
        <w:rPr>
          <w:rFonts w:ascii="Times New Roman" w:hAnsi="Times New Roman" w:cs="Times New Roman"/>
        </w:rPr>
      </w:pPr>
    </w:p>
    <w:p w14:paraId="6DB80E8F" w14:textId="77777777" w:rsidR="00047E69" w:rsidRPr="00AE0B87" w:rsidRDefault="00047E69">
      <w:pPr>
        <w:rPr>
          <w:rFonts w:ascii="Times New Roman" w:hAnsi="Times New Roman" w:cs="Times New Roman"/>
        </w:rPr>
      </w:pPr>
    </w:p>
    <w:p w14:paraId="49138161" w14:textId="77777777" w:rsidR="00047E69" w:rsidRPr="00AE0B87" w:rsidRDefault="00047E69">
      <w:pPr>
        <w:rPr>
          <w:rFonts w:ascii="Times New Roman" w:hAnsi="Times New Roman" w:cs="Times New Roman"/>
        </w:rPr>
      </w:pPr>
    </w:p>
    <w:p w14:paraId="0C5742C7" w14:textId="77777777" w:rsidR="00047E69" w:rsidRPr="00AE0B87" w:rsidRDefault="00047E69">
      <w:pPr>
        <w:rPr>
          <w:rFonts w:ascii="Times New Roman" w:hAnsi="Times New Roman" w:cs="Times New Roman"/>
        </w:rPr>
      </w:pPr>
    </w:p>
    <w:p w14:paraId="0AA98C49" w14:textId="77777777" w:rsidR="00047E69" w:rsidRPr="00AE0B87" w:rsidRDefault="00047E69">
      <w:pPr>
        <w:rPr>
          <w:rFonts w:ascii="Times New Roman" w:hAnsi="Times New Roman" w:cs="Times New Roman"/>
        </w:rPr>
      </w:pPr>
    </w:p>
    <w:p w14:paraId="257784A5" w14:textId="77777777" w:rsidR="00047E69" w:rsidRPr="00AE0B87" w:rsidRDefault="00047E69">
      <w:pPr>
        <w:rPr>
          <w:rFonts w:ascii="Times New Roman" w:hAnsi="Times New Roman" w:cs="Times New Roman"/>
        </w:rPr>
      </w:pPr>
    </w:p>
    <w:p w14:paraId="7528634A" w14:textId="77777777" w:rsidR="00047E69" w:rsidRPr="00AE0B87" w:rsidRDefault="00047E69">
      <w:pPr>
        <w:rPr>
          <w:rFonts w:ascii="Times New Roman" w:hAnsi="Times New Roman" w:cs="Times New Roman"/>
        </w:rPr>
      </w:pPr>
    </w:p>
    <w:p w14:paraId="2975F450" w14:textId="77777777" w:rsidR="00047E69" w:rsidRPr="00AE0B87" w:rsidRDefault="00047E69">
      <w:pPr>
        <w:rPr>
          <w:rFonts w:ascii="Times New Roman" w:hAnsi="Times New Roman" w:cs="Times New Roman"/>
        </w:rPr>
      </w:pPr>
    </w:p>
    <w:p w14:paraId="2D2A603B" w14:textId="77777777" w:rsidR="00047E69" w:rsidRPr="00AE0B87" w:rsidRDefault="00047E69">
      <w:pPr>
        <w:rPr>
          <w:rFonts w:ascii="Times New Roman" w:hAnsi="Times New Roman" w:cs="Times New Roman"/>
        </w:rPr>
      </w:pPr>
    </w:p>
    <w:p w14:paraId="4DBA6FA1" w14:textId="77777777" w:rsidR="00047E69" w:rsidRPr="00AE0B87" w:rsidRDefault="00047E69">
      <w:pPr>
        <w:rPr>
          <w:rFonts w:ascii="Times New Roman" w:hAnsi="Times New Roman" w:cs="Times New Roman"/>
        </w:rPr>
      </w:pPr>
    </w:p>
    <w:p w14:paraId="0459562C" w14:textId="77777777" w:rsidR="00047E69" w:rsidRPr="00AE0B87" w:rsidRDefault="00047E69">
      <w:pPr>
        <w:rPr>
          <w:rFonts w:ascii="Times New Roman" w:hAnsi="Times New Roman" w:cs="Times New Roman"/>
        </w:rPr>
      </w:pPr>
    </w:p>
    <w:p w14:paraId="724B91ED" w14:textId="77777777" w:rsidR="00047E69" w:rsidRPr="00AE0B87" w:rsidRDefault="00C210A5">
      <w:pPr>
        <w:jc w:val="center"/>
        <w:outlineLvl w:val="0"/>
        <w:rPr>
          <w:rFonts w:ascii="Times New Roman" w:hAnsi="Times New Roman" w:cs="Times New Roman"/>
          <w:noProof/>
        </w:rPr>
      </w:pPr>
      <w:r w:rsidRPr="00AE0B87">
        <w:rPr>
          <w:rFonts w:ascii="Times New Roman" w:hAnsi="Times New Roman" w:cs="Times New Roman"/>
          <w:b/>
          <w:noProof/>
        </w:rPr>
        <w:t xml:space="preserve">A. </w:t>
      </w:r>
      <w:bookmarkStart w:id="22" w:name="a_labelling"/>
      <w:r w:rsidRPr="00AE0B87">
        <w:rPr>
          <w:rFonts w:ascii="Times New Roman" w:hAnsi="Times New Roman" w:cs="Times New Roman"/>
          <w:b/>
          <w:noProof/>
        </w:rPr>
        <w:t>LABELLING</w:t>
      </w:r>
      <w:bookmarkEnd w:id="22"/>
    </w:p>
    <w:p w14:paraId="582A16ED" w14:textId="77777777" w:rsidR="00047E69" w:rsidRPr="00AE0B87" w:rsidRDefault="00C210A5">
      <w:pPr>
        <w:shd w:val="clear" w:color="auto" w:fill="FFFFFF"/>
        <w:rPr>
          <w:rFonts w:ascii="Times New Roman" w:hAnsi="Times New Roman" w:cs="Times New Roman"/>
          <w:noProof/>
        </w:rPr>
      </w:pPr>
      <w:r w:rsidRPr="00AE0B87">
        <w:rPr>
          <w:rFonts w:ascii="Times New Roman" w:hAnsi="Times New Roman" w:cs="Times New Roman"/>
          <w:noProof/>
        </w:rPr>
        <w:br w:type="page"/>
      </w:r>
    </w:p>
    <w:p w14:paraId="61BE563E"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680" w:right="113" w:hanging="567"/>
        <w:rPr>
          <w:rFonts w:ascii="Times New Roman" w:hAnsi="Times New Roman" w:cs="Times New Roman"/>
          <w:b/>
          <w:noProof/>
        </w:rPr>
      </w:pPr>
      <w:r w:rsidRPr="00AE0B87">
        <w:rPr>
          <w:rFonts w:ascii="Times New Roman" w:hAnsi="Times New Roman" w:cs="Times New Roman"/>
          <w:b/>
          <w:bCs/>
          <w:noProof/>
        </w:rPr>
        <w:lastRenderedPageBreak/>
        <w:t>PARTICULARS</w:t>
      </w:r>
      <w:r w:rsidRPr="00AE0B87">
        <w:rPr>
          <w:rFonts w:ascii="Times New Roman" w:hAnsi="Times New Roman" w:cs="Times New Roman"/>
          <w:b/>
          <w:noProof/>
        </w:rPr>
        <w:t xml:space="preserve"> TO APPEAR ON THE OUTER PACKAGING</w:t>
      </w:r>
    </w:p>
    <w:p w14:paraId="5DFF61B0" w14:textId="77777777" w:rsidR="00047E69" w:rsidRPr="00AE0B87" w:rsidRDefault="00047E69" w:rsidP="00B0734F">
      <w:pPr>
        <w:pBdr>
          <w:top w:val="single" w:sz="4" w:space="1" w:color="auto"/>
          <w:left w:val="single" w:sz="4" w:space="4" w:color="auto"/>
          <w:bottom w:val="single" w:sz="4" w:space="1" w:color="auto"/>
          <w:right w:val="single" w:sz="4" w:space="4" w:color="auto"/>
        </w:pBdr>
        <w:ind w:left="680" w:right="113" w:hanging="567"/>
        <w:rPr>
          <w:rFonts w:ascii="Times New Roman" w:hAnsi="Times New Roman" w:cs="Times New Roman"/>
          <w:b/>
          <w:noProof/>
        </w:rPr>
      </w:pPr>
    </w:p>
    <w:p w14:paraId="29537C9F"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680" w:right="113" w:hanging="567"/>
        <w:rPr>
          <w:rFonts w:ascii="Times New Roman" w:hAnsi="Times New Roman" w:cs="Times New Roman"/>
          <w:b/>
          <w:noProof/>
          <w:lang w:eastAsia="ko-KR"/>
        </w:rPr>
      </w:pPr>
      <w:r w:rsidRPr="00AE0B87">
        <w:rPr>
          <w:rFonts w:ascii="Times New Roman" w:hAnsi="Times New Roman" w:cs="Times New Roman" w:hint="eastAsia"/>
          <w:b/>
          <w:noProof/>
          <w:lang w:eastAsia="ko-KR"/>
        </w:rPr>
        <w:t>CAR</w:t>
      </w:r>
      <w:r w:rsidRPr="00AE0B87">
        <w:rPr>
          <w:rFonts w:ascii="Times New Roman" w:hAnsi="Times New Roman" w:cs="Times New Roman"/>
          <w:b/>
          <w:noProof/>
          <w:lang w:eastAsia="ko-KR"/>
        </w:rPr>
        <w:t>TON</w:t>
      </w:r>
    </w:p>
    <w:p w14:paraId="02E0B7E2" w14:textId="77777777" w:rsidR="00047E69" w:rsidRPr="00AE0B87" w:rsidRDefault="00047E69" w:rsidP="00B0734F">
      <w:pPr>
        <w:ind w:left="113" w:right="113"/>
        <w:rPr>
          <w:rFonts w:ascii="Times New Roman" w:hAnsi="Times New Roman" w:cs="Times New Roman"/>
          <w:noProof/>
        </w:rPr>
      </w:pPr>
    </w:p>
    <w:p w14:paraId="01FAFD99"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rPr>
      </w:pPr>
      <w:r w:rsidRPr="00AE0B87">
        <w:rPr>
          <w:rFonts w:ascii="Times New Roman" w:hAnsi="Times New Roman" w:cs="Times New Roman"/>
          <w:b/>
        </w:rPr>
        <w:t>1.</w:t>
      </w:r>
      <w:r w:rsidRPr="00AE0B87">
        <w:rPr>
          <w:rFonts w:ascii="Times New Roman" w:hAnsi="Times New Roman" w:cs="Times New Roman"/>
          <w:b/>
        </w:rPr>
        <w:tab/>
        <w:t>NAME OF THE MEDICINAL PRODUCT</w:t>
      </w:r>
    </w:p>
    <w:p w14:paraId="14DF754F" w14:textId="77777777" w:rsidR="00047E69" w:rsidRPr="00AE0B87" w:rsidRDefault="00047E69" w:rsidP="00B0734F">
      <w:pPr>
        <w:ind w:left="113" w:right="113"/>
        <w:rPr>
          <w:rFonts w:ascii="Times New Roman" w:hAnsi="Times New Roman" w:cs="Times New Roman"/>
          <w:noProof/>
        </w:rPr>
      </w:pPr>
    </w:p>
    <w:p w14:paraId="5BA40DF1" w14:textId="78810932" w:rsidR="00047E69" w:rsidRPr="00AE0B87" w:rsidRDefault="00A32819" w:rsidP="00B0734F">
      <w:pPr>
        <w:ind w:left="113" w:right="113"/>
        <w:rPr>
          <w:rFonts w:ascii="Times New Roman" w:eastAsia="맑은 고딕" w:hAnsi="Times New Roman" w:cs="Times New Roman"/>
          <w:lang w:eastAsia="ko-KR"/>
        </w:rPr>
      </w:pPr>
      <w:r>
        <w:rPr>
          <w:rFonts w:ascii="Times New Roman" w:eastAsia="맑은 고딕" w:hAnsi="Times New Roman" w:cs="Times New Roman" w:hint="eastAsia"/>
          <w:lang w:eastAsia="ko-KR"/>
        </w:rPr>
        <w:t xml:space="preserve">Vegzelma </w:t>
      </w:r>
      <w:r w:rsidR="00C210A5" w:rsidRPr="00AE0B87">
        <w:rPr>
          <w:rFonts w:ascii="Times New Roman" w:hAnsi="Times New Roman" w:cs="Times New Roman"/>
        </w:rPr>
        <w:t xml:space="preserve">25 mg/mL </w:t>
      </w:r>
      <w:r w:rsidR="00C210A5" w:rsidRPr="00AE0B87">
        <w:rPr>
          <w:rFonts w:ascii="Times New Roman" w:eastAsia="맑은 고딕" w:hAnsi="Times New Roman" w:cs="Times New Roman"/>
          <w:lang w:eastAsia="ko-KR"/>
        </w:rPr>
        <w:t>concentrate for solution for infusion</w:t>
      </w:r>
    </w:p>
    <w:p w14:paraId="3FB7BC3F"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bevacizumab</w:t>
      </w:r>
    </w:p>
    <w:p w14:paraId="06BDA185" w14:textId="77777777" w:rsidR="00047E69" w:rsidRPr="00AE0B87" w:rsidRDefault="00047E69" w:rsidP="00B0734F">
      <w:pPr>
        <w:ind w:left="113" w:right="113"/>
        <w:rPr>
          <w:rFonts w:ascii="Times New Roman" w:eastAsia="맑은 고딕" w:hAnsi="Times New Roman" w:cs="Times New Roman"/>
          <w:lang w:eastAsia="ko-KR"/>
        </w:rPr>
      </w:pPr>
    </w:p>
    <w:p w14:paraId="33EA1C9F" w14:textId="77777777" w:rsidR="00047E69" w:rsidRPr="00AE0B87" w:rsidRDefault="00047E69" w:rsidP="00B0734F">
      <w:pPr>
        <w:ind w:left="113" w:right="113"/>
        <w:rPr>
          <w:rFonts w:ascii="Times New Roman" w:hAnsi="Times New Roman" w:cs="Times New Roman"/>
          <w:noProof/>
        </w:rPr>
      </w:pPr>
    </w:p>
    <w:p w14:paraId="3758C72B"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2.</w:t>
      </w:r>
      <w:r w:rsidRPr="00AE0B87">
        <w:rPr>
          <w:rFonts w:ascii="Times New Roman" w:hAnsi="Times New Roman" w:cs="Times New Roman"/>
          <w:b/>
          <w:noProof/>
        </w:rPr>
        <w:tab/>
        <w:t>STATEMENT OF ACTIVE SUBSTANCE(S)</w:t>
      </w:r>
    </w:p>
    <w:p w14:paraId="63DD9A6E" w14:textId="77777777" w:rsidR="00047E69" w:rsidRPr="00AE0B87" w:rsidRDefault="00047E69" w:rsidP="00B0734F">
      <w:pPr>
        <w:ind w:left="113" w:right="113"/>
        <w:rPr>
          <w:rFonts w:ascii="Times New Roman" w:hAnsi="Times New Roman" w:cs="Times New Roman"/>
          <w:noProof/>
        </w:rPr>
      </w:pPr>
    </w:p>
    <w:p w14:paraId="477A57AF" w14:textId="77777777" w:rsidR="00047E69" w:rsidRPr="00AE0B87" w:rsidRDefault="00C210A5" w:rsidP="00B0734F">
      <w:pPr>
        <w:autoSpaceDE w:val="0"/>
        <w:autoSpaceDN w:val="0"/>
        <w:adjustRightInd w:val="0"/>
        <w:ind w:left="113" w:right="113"/>
        <w:rPr>
          <w:rFonts w:ascii="Times New Roman" w:hAnsi="Times New Roman" w:cs="Times New Roman"/>
        </w:rPr>
      </w:pPr>
      <w:r w:rsidRPr="00AE0B87">
        <w:rPr>
          <w:rFonts w:ascii="Times New Roman" w:hAnsi="Times New Roman" w:cs="Times New Roman"/>
        </w:rPr>
        <w:t xml:space="preserve">Each vial contains 100 mg </w:t>
      </w:r>
      <w:r w:rsidRPr="00AE0B87">
        <w:rPr>
          <w:rFonts w:ascii="Times New Roman" w:hAnsi="Times New Roman" w:cs="Times New Roman"/>
          <w:lang w:eastAsia="ko-KR"/>
        </w:rPr>
        <w:t>bevacizumab</w:t>
      </w:r>
      <w:r w:rsidR="00CC5F76" w:rsidRPr="00AE0B87">
        <w:rPr>
          <w:rFonts w:ascii="Times New Roman" w:hAnsi="Times New Roman" w:cs="Times New Roman"/>
          <w:lang w:eastAsia="ko-KR"/>
        </w:rPr>
        <w:t xml:space="preserve"> in 4 mL of concentrate.</w:t>
      </w:r>
    </w:p>
    <w:p w14:paraId="3B82B9BA" w14:textId="77777777" w:rsidR="00047E69" w:rsidRPr="00AE0B87" w:rsidRDefault="00047E69" w:rsidP="00B0734F">
      <w:pPr>
        <w:ind w:left="113" w:right="113"/>
        <w:rPr>
          <w:rFonts w:ascii="Times New Roman" w:hAnsi="Times New Roman" w:cs="Times New Roman"/>
          <w:noProof/>
        </w:rPr>
      </w:pPr>
    </w:p>
    <w:p w14:paraId="211BF6A7" w14:textId="77777777" w:rsidR="00047E69" w:rsidRPr="00AE0B87" w:rsidRDefault="00047E69" w:rsidP="00B0734F">
      <w:pPr>
        <w:ind w:left="113" w:right="113"/>
        <w:rPr>
          <w:rFonts w:ascii="Times New Roman" w:hAnsi="Times New Roman" w:cs="Times New Roman"/>
          <w:noProof/>
        </w:rPr>
      </w:pPr>
    </w:p>
    <w:p w14:paraId="48D23597"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3.</w:t>
      </w:r>
      <w:r w:rsidRPr="00AE0B87">
        <w:rPr>
          <w:rFonts w:ascii="Times New Roman" w:hAnsi="Times New Roman" w:cs="Times New Roman"/>
          <w:b/>
          <w:noProof/>
        </w:rPr>
        <w:tab/>
        <w:t>LIST OF EXCIPIENTS</w:t>
      </w:r>
    </w:p>
    <w:p w14:paraId="435EC24A" w14:textId="77777777" w:rsidR="00047E69" w:rsidRPr="00AE0B87" w:rsidRDefault="00047E69" w:rsidP="00B0734F">
      <w:pPr>
        <w:ind w:left="113" w:right="113"/>
        <w:rPr>
          <w:rFonts w:ascii="Times New Roman" w:eastAsia="맑은 고딕" w:hAnsi="Times New Roman" w:cs="Times New Roman"/>
          <w:noProof/>
          <w:lang w:eastAsia="ko-KR"/>
        </w:rPr>
      </w:pPr>
    </w:p>
    <w:p w14:paraId="255061F5"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Trehalose d</w:t>
      </w:r>
      <w:r w:rsidR="00975A2F" w:rsidRPr="00AE0B87">
        <w:rPr>
          <w:rFonts w:ascii="Times New Roman" w:hAnsi="Times New Roman" w:cs="Times New Roman"/>
        </w:rPr>
        <w:t>i</w:t>
      </w:r>
      <w:r w:rsidRPr="00AE0B87">
        <w:rPr>
          <w:rFonts w:ascii="Times New Roman" w:hAnsi="Times New Roman" w:cs="Times New Roman"/>
        </w:rPr>
        <w:t>hydrate, sodium phosphate, polysorbate 20, water for injections.</w:t>
      </w:r>
    </w:p>
    <w:p w14:paraId="17CABC03" w14:textId="77777777" w:rsidR="00047E69" w:rsidRPr="00AE0B87" w:rsidRDefault="00047E69" w:rsidP="00B0734F">
      <w:pPr>
        <w:ind w:left="113" w:right="113"/>
        <w:rPr>
          <w:rFonts w:ascii="Times New Roman" w:eastAsia="맑은 고딕" w:hAnsi="Times New Roman" w:cs="Times New Roman"/>
          <w:noProof/>
          <w:lang w:eastAsia="ko-KR"/>
        </w:rPr>
      </w:pPr>
    </w:p>
    <w:p w14:paraId="579B87EB" w14:textId="77777777" w:rsidR="00047E69" w:rsidRPr="00AE0B87" w:rsidRDefault="00047E69" w:rsidP="00B0734F">
      <w:pPr>
        <w:ind w:left="113" w:right="113"/>
        <w:rPr>
          <w:rFonts w:ascii="Times New Roman" w:hAnsi="Times New Roman" w:cs="Times New Roman"/>
          <w:noProof/>
        </w:rPr>
      </w:pPr>
    </w:p>
    <w:p w14:paraId="04BA317E"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4.</w:t>
      </w:r>
      <w:r w:rsidRPr="00AE0B87">
        <w:rPr>
          <w:rFonts w:ascii="Times New Roman" w:hAnsi="Times New Roman" w:cs="Times New Roman"/>
          <w:b/>
          <w:noProof/>
        </w:rPr>
        <w:tab/>
        <w:t>PHARMACEUTICAL FORM AND CONTENTS</w:t>
      </w:r>
    </w:p>
    <w:p w14:paraId="7609708F" w14:textId="77777777" w:rsidR="00047E69" w:rsidRPr="00AE0B87" w:rsidRDefault="00047E69" w:rsidP="00B0734F">
      <w:pPr>
        <w:ind w:left="113" w:right="113"/>
        <w:rPr>
          <w:rFonts w:ascii="Times New Roman" w:hAnsi="Times New Roman" w:cs="Times New Roman"/>
          <w:noProof/>
        </w:rPr>
      </w:pPr>
    </w:p>
    <w:p w14:paraId="63300A38" w14:textId="6D44832E" w:rsidR="00047E69" w:rsidRPr="00AE0B87" w:rsidRDefault="00C210A5" w:rsidP="00B0734F">
      <w:pPr>
        <w:ind w:left="113" w:right="113"/>
        <w:rPr>
          <w:rFonts w:ascii="Times New Roman" w:hAnsi="Times New Roman" w:cs="Times New Roman"/>
        </w:rPr>
      </w:pPr>
      <w:r w:rsidRPr="00AE0B87">
        <w:rPr>
          <w:rFonts w:ascii="Times New Roman" w:hAnsi="Times New Roman" w:cs="Times New Roman" w:hint="eastAsia"/>
          <w:highlight w:val="lightGray"/>
          <w:lang w:eastAsia="ko-KR"/>
        </w:rPr>
        <w:t>C</w:t>
      </w:r>
      <w:r w:rsidRPr="00AE0B87">
        <w:rPr>
          <w:rFonts w:ascii="Times New Roman" w:hAnsi="Times New Roman" w:cs="Times New Roman"/>
          <w:highlight w:val="lightGray"/>
        </w:rPr>
        <w:t>oncentrate for solution for infusion</w:t>
      </w:r>
    </w:p>
    <w:p w14:paraId="7869723F" w14:textId="77777777" w:rsidR="00B10158" w:rsidRPr="00AE0B87" w:rsidRDefault="00B10158" w:rsidP="00B0734F">
      <w:pPr>
        <w:ind w:left="113" w:right="113"/>
        <w:rPr>
          <w:rFonts w:ascii="Times New Roman" w:hAnsi="Times New Roman" w:cs="Times New Roman"/>
        </w:rPr>
      </w:pPr>
    </w:p>
    <w:p w14:paraId="4504F251" w14:textId="5F3F8217" w:rsidR="00CC5F76" w:rsidRPr="00AE0B87" w:rsidRDefault="00C210A5" w:rsidP="00B0734F">
      <w:pPr>
        <w:ind w:left="113" w:right="113"/>
        <w:rPr>
          <w:rFonts w:ascii="Times New Roman" w:hAnsi="Times New Roman" w:cs="Times New Roman"/>
          <w:highlight w:val="lightGray"/>
        </w:rPr>
      </w:pPr>
      <w:r w:rsidRPr="00AE0B87">
        <w:rPr>
          <w:rFonts w:ascii="Times New Roman" w:hAnsi="Times New Roman" w:cs="Times New Roman"/>
        </w:rPr>
        <w:t>1 vial</w:t>
      </w:r>
      <w:r w:rsidR="00E67ADA" w:rsidRPr="00AE0B87">
        <w:rPr>
          <w:rFonts w:ascii="Times New Roman" w:hAnsi="Times New Roman" w:cs="Times New Roman"/>
        </w:rPr>
        <w:t xml:space="preserve"> </w:t>
      </w:r>
      <w:r w:rsidR="00E67ADA" w:rsidRPr="00AE0B87">
        <w:rPr>
          <w:rFonts w:ascii="Times New Roman" w:hAnsi="Times New Roman" w:cs="Times New Roman"/>
          <w:highlight w:val="lightGray"/>
        </w:rPr>
        <w:t>of 4 mL</w:t>
      </w:r>
    </w:p>
    <w:p w14:paraId="69D0DD72" w14:textId="4F206639" w:rsidR="00047E69" w:rsidRPr="00AE0B87" w:rsidRDefault="00C210A5" w:rsidP="00B0734F">
      <w:pPr>
        <w:ind w:left="113" w:right="113"/>
        <w:rPr>
          <w:rFonts w:ascii="Times New Roman" w:hAnsi="Times New Roman" w:cs="Times New Roman"/>
        </w:rPr>
      </w:pPr>
      <w:r w:rsidRPr="00AE0B87">
        <w:rPr>
          <w:rFonts w:ascii="Times New Roman" w:hAnsi="Times New Roman" w:cs="Times New Roman"/>
          <w:highlight w:val="lightGray"/>
        </w:rPr>
        <w:t>10 vial</w:t>
      </w:r>
      <w:r w:rsidR="00825F29" w:rsidRPr="00AE0B87">
        <w:rPr>
          <w:rFonts w:ascii="Times New Roman" w:hAnsi="Times New Roman" w:cs="Times New Roman"/>
          <w:highlight w:val="lightGray"/>
        </w:rPr>
        <w:t>s</w:t>
      </w:r>
      <w:r w:rsidR="00E67ADA" w:rsidRPr="00AE0B87">
        <w:rPr>
          <w:rFonts w:ascii="Times New Roman" w:hAnsi="Times New Roman" w:cs="Times New Roman"/>
          <w:highlight w:val="lightGray"/>
        </w:rPr>
        <w:t xml:space="preserve"> of 4 mL</w:t>
      </w:r>
    </w:p>
    <w:p w14:paraId="28FE6A4E" w14:textId="77777777" w:rsidR="00B10158" w:rsidRPr="00AE0B87" w:rsidRDefault="00B10158" w:rsidP="00B0734F">
      <w:pPr>
        <w:ind w:left="113" w:right="113"/>
        <w:rPr>
          <w:rFonts w:ascii="Times New Roman" w:hAnsi="Times New Roman" w:cs="Times New Roman"/>
        </w:rPr>
      </w:pPr>
    </w:p>
    <w:p w14:paraId="40118B95" w14:textId="290A7422" w:rsidR="00E67ADA" w:rsidRPr="00AE0B87" w:rsidRDefault="00E67ADA" w:rsidP="00B0734F">
      <w:pPr>
        <w:ind w:left="113" w:right="113"/>
        <w:rPr>
          <w:rFonts w:ascii="Times New Roman" w:eastAsia="맑은 고딕" w:hAnsi="Times New Roman" w:cs="Times New Roman"/>
          <w:lang w:eastAsia="ko-KR"/>
        </w:rPr>
      </w:pPr>
      <w:r w:rsidRPr="00AE0B87">
        <w:rPr>
          <w:rFonts w:ascii="Times New Roman" w:hAnsi="Times New Roman" w:cs="Times New Roman" w:hint="eastAsia"/>
          <w:lang w:eastAsia="ko-KR"/>
        </w:rPr>
        <w:t>1</w:t>
      </w:r>
      <w:r w:rsidRPr="00AE0B87">
        <w:rPr>
          <w:rFonts w:ascii="Times New Roman" w:hAnsi="Times New Roman" w:cs="Times New Roman"/>
          <w:lang w:eastAsia="ko-KR"/>
        </w:rPr>
        <w:t>00</w:t>
      </w:r>
      <w:r w:rsidR="000871AA">
        <w:rPr>
          <w:rFonts w:ascii="Times New Roman" w:hAnsi="Times New Roman" w:cs="Times New Roman" w:hint="eastAsia"/>
          <w:lang w:eastAsia="ko-KR"/>
        </w:rPr>
        <w:t xml:space="preserve"> </w:t>
      </w:r>
      <w:r w:rsidRPr="00AE0B87">
        <w:rPr>
          <w:rFonts w:ascii="Times New Roman" w:hAnsi="Times New Roman" w:cs="Times New Roman"/>
          <w:lang w:eastAsia="ko-KR"/>
        </w:rPr>
        <w:t>mg /4</w:t>
      </w:r>
      <w:r w:rsidR="0022247D">
        <w:rPr>
          <w:rFonts w:ascii="Times New Roman" w:hAnsi="Times New Roman" w:cs="Times New Roman" w:hint="eastAsia"/>
          <w:lang w:eastAsia="ko-KR"/>
        </w:rPr>
        <w:t xml:space="preserve"> </w:t>
      </w:r>
      <w:r w:rsidRPr="00AE0B87">
        <w:rPr>
          <w:rFonts w:ascii="Times New Roman" w:hAnsi="Times New Roman" w:cs="Times New Roman"/>
          <w:lang w:eastAsia="ko-KR"/>
        </w:rPr>
        <w:t>mL</w:t>
      </w:r>
    </w:p>
    <w:p w14:paraId="0CCC5E52" w14:textId="77777777" w:rsidR="00047E69" w:rsidRPr="00AE0B87" w:rsidRDefault="00047E69" w:rsidP="00B0734F">
      <w:pPr>
        <w:ind w:left="720" w:right="113" w:hanging="607"/>
        <w:rPr>
          <w:rFonts w:ascii="Times New Roman" w:eastAsia="맑은 고딕" w:hAnsi="Times New Roman" w:cs="Times New Roman"/>
          <w:noProof/>
          <w:lang w:eastAsia="ko-KR"/>
        </w:rPr>
      </w:pPr>
    </w:p>
    <w:p w14:paraId="174B2597" w14:textId="77777777" w:rsidR="00047E69" w:rsidRPr="00AE0B87" w:rsidRDefault="00047E69" w:rsidP="00B0734F">
      <w:pPr>
        <w:ind w:left="113" w:right="113"/>
        <w:rPr>
          <w:rFonts w:ascii="Times New Roman" w:eastAsia="맑은 고딕" w:hAnsi="Times New Roman" w:cs="Times New Roman"/>
          <w:noProof/>
          <w:lang w:eastAsia="ko-KR"/>
        </w:rPr>
      </w:pPr>
    </w:p>
    <w:p w14:paraId="38EDD55E"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5.</w:t>
      </w:r>
      <w:r w:rsidRPr="00AE0B87">
        <w:rPr>
          <w:rFonts w:ascii="Times New Roman" w:hAnsi="Times New Roman" w:cs="Times New Roman"/>
          <w:b/>
          <w:noProof/>
        </w:rPr>
        <w:tab/>
        <w:t>METHOD AND ROUTE(S) OF ADMINISTRATION</w:t>
      </w:r>
    </w:p>
    <w:p w14:paraId="171F43E1" w14:textId="77777777" w:rsidR="00047E69" w:rsidRPr="00AE0B87" w:rsidRDefault="00047E69" w:rsidP="00B0734F">
      <w:pPr>
        <w:ind w:left="113" w:right="113"/>
        <w:rPr>
          <w:rFonts w:ascii="Times New Roman" w:hAnsi="Times New Roman" w:cs="Times New Roman"/>
          <w:noProof/>
        </w:rPr>
      </w:pPr>
    </w:p>
    <w:p w14:paraId="257BC237"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For intravenous use after dilution</w:t>
      </w:r>
      <w:r w:rsidRPr="00AE0B87">
        <w:rPr>
          <w:rFonts w:ascii="Times New Roman" w:eastAsia="맑은 고딕" w:hAnsi="Times New Roman" w:cs="Times New Roman"/>
          <w:lang w:eastAsia="ko-KR"/>
        </w:rPr>
        <w:t>.</w:t>
      </w:r>
    </w:p>
    <w:p w14:paraId="17D689A8"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Read the package leaflet before use.</w:t>
      </w:r>
    </w:p>
    <w:p w14:paraId="1C6BA50F" w14:textId="77777777" w:rsidR="00047E69" w:rsidRPr="00AE0B87" w:rsidRDefault="00047E69" w:rsidP="00B0734F">
      <w:pPr>
        <w:ind w:left="113" w:right="113"/>
        <w:rPr>
          <w:rFonts w:ascii="Times New Roman" w:hAnsi="Times New Roman" w:cs="Times New Roman"/>
          <w:noProof/>
        </w:rPr>
      </w:pPr>
    </w:p>
    <w:p w14:paraId="68A7FEAC" w14:textId="77777777" w:rsidR="00047E69" w:rsidRPr="00AE0B87" w:rsidRDefault="00047E69" w:rsidP="00B0734F">
      <w:pPr>
        <w:ind w:left="113" w:right="113"/>
        <w:rPr>
          <w:rFonts w:ascii="Times New Roman" w:eastAsia="맑은 고딕" w:hAnsi="Times New Roman" w:cs="Times New Roman"/>
          <w:noProof/>
          <w:lang w:eastAsia="ko-KR"/>
        </w:rPr>
      </w:pPr>
    </w:p>
    <w:p w14:paraId="0FE1FE9A"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720" w:right="113" w:hanging="607"/>
        <w:rPr>
          <w:rFonts w:ascii="Times New Roman" w:hAnsi="Times New Roman" w:cs="Times New Roman"/>
          <w:noProof/>
        </w:rPr>
      </w:pPr>
      <w:r w:rsidRPr="00AE0B87">
        <w:rPr>
          <w:rFonts w:ascii="Times New Roman" w:hAnsi="Times New Roman" w:cs="Times New Roman"/>
          <w:b/>
          <w:noProof/>
        </w:rPr>
        <w:t>6.</w:t>
      </w:r>
      <w:r w:rsidRPr="00AE0B87">
        <w:rPr>
          <w:rFonts w:ascii="Times New Roman" w:hAnsi="Times New Roman" w:cs="Times New Roman"/>
          <w:b/>
          <w:noProof/>
        </w:rPr>
        <w:tab/>
        <w:t>SPECIAL WARNING THAT THE MEDICINAL PRODUCT MUST BE STORED OUT OF THE SIGHT AND REACH OF CHILDREN</w:t>
      </w:r>
    </w:p>
    <w:p w14:paraId="6BF125EC" w14:textId="77777777" w:rsidR="00047E69" w:rsidRPr="00AE0B87" w:rsidRDefault="00047E69" w:rsidP="00B0734F">
      <w:pPr>
        <w:ind w:left="113" w:right="113"/>
        <w:rPr>
          <w:rFonts w:ascii="Times New Roman" w:hAnsi="Times New Roman" w:cs="Times New Roman"/>
          <w:noProof/>
        </w:rPr>
      </w:pPr>
    </w:p>
    <w:p w14:paraId="1D48AF9E" w14:textId="77777777" w:rsidR="00047E69" w:rsidRPr="00AE0B87" w:rsidRDefault="00C210A5" w:rsidP="00B0734F">
      <w:pPr>
        <w:ind w:left="113" w:right="113"/>
        <w:rPr>
          <w:rFonts w:ascii="Times New Roman" w:hAnsi="Times New Roman" w:cs="Times New Roman"/>
          <w:noProof/>
        </w:rPr>
      </w:pPr>
      <w:r w:rsidRPr="00AE0B87">
        <w:rPr>
          <w:rFonts w:ascii="Times New Roman" w:hAnsi="Times New Roman" w:cs="Times New Roman"/>
        </w:rPr>
        <w:t>Keep</w:t>
      </w:r>
      <w:r w:rsidRPr="00AE0B87">
        <w:rPr>
          <w:rFonts w:ascii="Times New Roman" w:hAnsi="Times New Roman" w:cs="Times New Roman"/>
          <w:noProof/>
        </w:rPr>
        <w:t xml:space="preserve"> out of the sight and reach of children.</w:t>
      </w:r>
    </w:p>
    <w:p w14:paraId="088614FF" w14:textId="77777777" w:rsidR="00047E69" w:rsidRPr="00AE0B87" w:rsidRDefault="00047E69" w:rsidP="00B0734F">
      <w:pPr>
        <w:ind w:left="113" w:right="113"/>
        <w:rPr>
          <w:rFonts w:ascii="Times New Roman" w:hAnsi="Times New Roman" w:cs="Times New Roman"/>
          <w:noProof/>
        </w:rPr>
      </w:pPr>
    </w:p>
    <w:p w14:paraId="1AE030E3" w14:textId="77777777" w:rsidR="00047E69" w:rsidRPr="00AE0B87" w:rsidRDefault="00047E69" w:rsidP="00B0734F">
      <w:pPr>
        <w:ind w:left="113" w:right="113"/>
        <w:rPr>
          <w:rFonts w:ascii="Times New Roman" w:hAnsi="Times New Roman" w:cs="Times New Roman"/>
          <w:noProof/>
        </w:rPr>
      </w:pPr>
    </w:p>
    <w:p w14:paraId="25C03B6D"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7.</w:t>
      </w:r>
      <w:r w:rsidRPr="00AE0B87">
        <w:rPr>
          <w:rFonts w:ascii="Times New Roman" w:hAnsi="Times New Roman" w:cs="Times New Roman"/>
          <w:b/>
          <w:noProof/>
        </w:rPr>
        <w:tab/>
        <w:t>OTHER SPECIAL WARNING(S), IF NECESSARY</w:t>
      </w:r>
    </w:p>
    <w:p w14:paraId="5AB47899" w14:textId="77777777" w:rsidR="00047E69" w:rsidRPr="00AE0B87" w:rsidRDefault="00047E69" w:rsidP="00B0734F">
      <w:pPr>
        <w:ind w:left="113" w:right="113"/>
        <w:rPr>
          <w:rFonts w:ascii="Times New Roman" w:hAnsi="Times New Roman" w:cs="Times New Roman"/>
          <w:noProof/>
          <w:lang w:eastAsia="ko-KR"/>
        </w:rPr>
      </w:pPr>
    </w:p>
    <w:p w14:paraId="588361AB" w14:textId="77777777" w:rsidR="00047E69" w:rsidRPr="00AE0B87" w:rsidRDefault="00047E69" w:rsidP="00B0734F">
      <w:pPr>
        <w:tabs>
          <w:tab w:val="left" w:pos="749"/>
        </w:tabs>
        <w:ind w:left="113" w:right="113"/>
        <w:rPr>
          <w:rFonts w:ascii="Times New Roman" w:hAnsi="Times New Roman" w:cs="Times New Roman"/>
        </w:rPr>
      </w:pPr>
    </w:p>
    <w:p w14:paraId="4346C007"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rPr>
      </w:pPr>
      <w:r w:rsidRPr="00AE0B87">
        <w:rPr>
          <w:rFonts w:ascii="Times New Roman" w:hAnsi="Times New Roman" w:cs="Times New Roman"/>
          <w:b/>
        </w:rPr>
        <w:t>8.</w:t>
      </w:r>
      <w:r w:rsidRPr="00AE0B87">
        <w:rPr>
          <w:rFonts w:ascii="Times New Roman" w:hAnsi="Times New Roman" w:cs="Times New Roman"/>
          <w:b/>
        </w:rPr>
        <w:tab/>
        <w:t>EXPIRY DATE</w:t>
      </w:r>
    </w:p>
    <w:p w14:paraId="0C419D65" w14:textId="77777777" w:rsidR="00047E69" w:rsidRPr="00AE0B87" w:rsidRDefault="00047E69" w:rsidP="00B0734F">
      <w:pPr>
        <w:ind w:left="113" w:right="113"/>
        <w:rPr>
          <w:rFonts w:ascii="Times New Roman" w:hAnsi="Times New Roman" w:cs="Times New Roman"/>
        </w:rPr>
      </w:pPr>
    </w:p>
    <w:p w14:paraId="4C3FDECB"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EXP</w:t>
      </w:r>
    </w:p>
    <w:p w14:paraId="4952E6F0" w14:textId="77777777" w:rsidR="00047E69" w:rsidRPr="00AE0B87" w:rsidRDefault="00047E69" w:rsidP="00B0734F">
      <w:pPr>
        <w:ind w:left="113" w:right="113"/>
        <w:rPr>
          <w:rFonts w:ascii="Times New Roman" w:eastAsia="맑은 고딕" w:hAnsi="Times New Roman" w:cs="Times New Roman"/>
          <w:lang w:eastAsia="ko-KR"/>
        </w:rPr>
      </w:pPr>
    </w:p>
    <w:p w14:paraId="0C727330" w14:textId="77777777" w:rsidR="00047E69" w:rsidRPr="00AE0B87" w:rsidRDefault="00047E69" w:rsidP="00B0734F">
      <w:pPr>
        <w:ind w:left="113" w:right="113"/>
        <w:rPr>
          <w:rFonts w:ascii="Times New Roman" w:eastAsia="맑은 고딕" w:hAnsi="Times New Roman" w:cs="Times New Roman"/>
          <w:lang w:eastAsia="ko-KR"/>
        </w:rPr>
      </w:pPr>
    </w:p>
    <w:p w14:paraId="1DB99E6E"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9.</w:t>
      </w:r>
      <w:r w:rsidRPr="00AE0B87">
        <w:rPr>
          <w:rFonts w:ascii="Times New Roman" w:hAnsi="Times New Roman" w:cs="Times New Roman"/>
          <w:b/>
          <w:noProof/>
        </w:rPr>
        <w:tab/>
        <w:t>SPECIAL STORAGE CONDITIONS</w:t>
      </w:r>
    </w:p>
    <w:p w14:paraId="74FF98F5" w14:textId="77777777" w:rsidR="00047E69" w:rsidRPr="00AE0B87" w:rsidRDefault="00047E69" w:rsidP="00B0734F">
      <w:pPr>
        <w:ind w:left="113" w:right="113"/>
        <w:rPr>
          <w:rFonts w:ascii="Times New Roman" w:hAnsi="Times New Roman" w:cs="Times New Roman"/>
          <w:noProof/>
        </w:rPr>
      </w:pPr>
    </w:p>
    <w:p w14:paraId="0C9BD549" w14:textId="77777777" w:rsidR="00047E69" w:rsidRPr="00AE0B87" w:rsidRDefault="00C210A5" w:rsidP="00B0734F">
      <w:pPr>
        <w:ind w:left="113" w:right="113"/>
        <w:rPr>
          <w:rFonts w:ascii="Times New Roman" w:hAnsi="Times New Roman" w:cs="Times New Roman"/>
          <w:noProof/>
        </w:rPr>
      </w:pPr>
      <w:r w:rsidRPr="00AE0B87">
        <w:rPr>
          <w:rFonts w:ascii="Times New Roman" w:hAnsi="Times New Roman" w:cs="Times New Roman"/>
          <w:noProof/>
        </w:rPr>
        <w:t>Store in a refrigerator (2ºC - 8ºC).</w:t>
      </w:r>
    </w:p>
    <w:p w14:paraId="515202BF" w14:textId="77777777" w:rsidR="00047E69" w:rsidRPr="00AE0B87" w:rsidRDefault="00C210A5" w:rsidP="00B0734F">
      <w:pPr>
        <w:autoSpaceDE w:val="0"/>
        <w:autoSpaceDN w:val="0"/>
        <w:adjustRightInd w:val="0"/>
        <w:ind w:left="113" w:right="113"/>
        <w:rPr>
          <w:rFonts w:ascii="Times New Roman" w:hAnsi="Times New Roman" w:cs="Times New Roman"/>
        </w:rPr>
      </w:pPr>
      <w:r w:rsidRPr="00AE0B87">
        <w:rPr>
          <w:rFonts w:ascii="Times New Roman" w:hAnsi="Times New Roman" w:cs="Times New Roman"/>
        </w:rPr>
        <w:t>Do not freeze.</w:t>
      </w:r>
    </w:p>
    <w:p w14:paraId="52404030" w14:textId="77777777" w:rsidR="00047E69" w:rsidRPr="00AE0B87" w:rsidRDefault="00C210A5" w:rsidP="00B0734F">
      <w:pPr>
        <w:ind w:left="113" w:right="113"/>
        <w:rPr>
          <w:rFonts w:ascii="Times New Roman" w:hAnsi="Times New Roman" w:cs="Times New Roman"/>
        </w:rPr>
      </w:pPr>
      <w:r w:rsidRPr="00AE0B87">
        <w:rPr>
          <w:rFonts w:ascii="Times New Roman" w:hAnsi="Times New Roman" w:cs="Times New Roman"/>
        </w:rPr>
        <w:t>Keep the vial in the outer carton in order to protect from light.</w:t>
      </w:r>
    </w:p>
    <w:p w14:paraId="0A4C01E4"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720" w:right="113" w:hanging="607"/>
        <w:rPr>
          <w:rFonts w:ascii="Times New Roman" w:hAnsi="Times New Roman" w:cs="Times New Roman"/>
          <w:b/>
          <w:noProof/>
        </w:rPr>
      </w:pPr>
      <w:r w:rsidRPr="00AE0B87">
        <w:rPr>
          <w:rFonts w:ascii="Times New Roman" w:hAnsi="Times New Roman" w:cs="Times New Roman"/>
          <w:b/>
          <w:noProof/>
        </w:rPr>
        <w:lastRenderedPageBreak/>
        <w:t>10.</w:t>
      </w:r>
      <w:r w:rsidRPr="00AE0B87">
        <w:rPr>
          <w:rFonts w:ascii="Times New Roman" w:hAnsi="Times New Roman" w:cs="Times New Roman"/>
          <w:b/>
          <w:noProof/>
        </w:rPr>
        <w:tab/>
        <w:t>SPECIAL PRECAUTIONS FOR DISPOSAL OF UNUSED MEDICINAL PRODUCTS OR WASTE MATERIALS DERIVED FROM SUCH MEDICINAL PRODUCTS, IF APPROPRIATE</w:t>
      </w:r>
    </w:p>
    <w:p w14:paraId="20F13084" w14:textId="4217110D" w:rsidR="00047E69" w:rsidRPr="00AE0B87" w:rsidRDefault="00047E69" w:rsidP="00B0734F">
      <w:pPr>
        <w:ind w:left="113" w:right="113"/>
        <w:rPr>
          <w:rFonts w:ascii="Times New Roman" w:hAnsi="Times New Roman" w:cs="Times New Roman"/>
          <w:noProof/>
        </w:rPr>
      </w:pPr>
    </w:p>
    <w:p w14:paraId="09F5E496" w14:textId="77777777" w:rsidR="00B10158" w:rsidRPr="00AE0B87" w:rsidRDefault="00B10158" w:rsidP="00B0734F">
      <w:pPr>
        <w:ind w:left="113" w:right="113"/>
        <w:rPr>
          <w:rFonts w:ascii="Times New Roman" w:hAnsi="Times New Roman" w:cs="Times New Roman"/>
          <w:noProof/>
        </w:rPr>
      </w:pPr>
    </w:p>
    <w:p w14:paraId="5FDF03A1"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11.</w:t>
      </w:r>
      <w:r w:rsidRPr="00AE0B87">
        <w:rPr>
          <w:rFonts w:ascii="Times New Roman" w:hAnsi="Times New Roman" w:cs="Times New Roman"/>
          <w:b/>
          <w:noProof/>
        </w:rPr>
        <w:tab/>
        <w:t>NAME AND ADDRESS OF THE MARKETING AUTHORISATION HOLDER</w:t>
      </w:r>
    </w:p>
    <w:p w14:paraId="099B22DD" w14:textId="77777777" w:rsidR="00047E69" w:rsidRPr="00AE0B87" w:rsidRDefault="00047E69" w:rsidP="00B0734F">
      <w:pPr>
        <w:ind w:left="113" w:right="113"/>
        <w:rPr>
          <w:rFonts w:ascii="Times New Roman" w:hAnsi="Times New Roman" w:cs="Times New Roman"/>
          <w:noProof/>
        </w:rPr>
      </w:pPr>
    </w:p>
    <w:p w14:paraId="1F9536ED"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 xml:space="preserve">Celltrion Healthcare Hungary Kft. </w:t>
      </w:r>
    </w:p>
    <w:p w14:paraId="3A68F63E"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바탕" w:hAnsi="Times New Roman" w:cs="Times New Roman"/>
        </w:rPr>
        <w:t xml:space="preserve">1062 </w:t>
      </w:r>
      <w:r w:rsidRPr="00AE0B87">
        <w:rPr>
          <w:rFonts w:ascii="Times New Roman" w:eastAsia="맑은 고딕" w:hAnsi="Times New Roman" w:cs="Times New Roman"/>
          <w:lang w:eastAsia="ko-KR"/>
        </w:rPr>
        <w:t>Budapest</w:t>
      </w:r>
    </w:p>
    <w:p w14:paraId="67BB81B0" w14:textId="77777777" w:rsidR="00047E69" w:rsidRPr="00AE0B87" w:rsidRDefault="00C210A5" w:rsidP="00B0734F">
      <w:pPr>
        <w:ind w:left="113" w:right="113"/>
        <w:rPr>
          <w:rFonts w:ascii="Times New Roman" w:eastAsia="바탕" w:hAnsi="Times New Roman" w:cs="Times New Roman"/>
        </w:rPr>
      </w:pPr>
      <w:r w:rsidRPr="00AE0B87">
        <w:rPr>
          <w:rFonts w:ascii="Times New Roman" w:eastAsia="바탕" w:hAnsi="Times New Roman" w:cs="Times New Roman"/>
        </w:rPr>
        <w:t>Váci út 1-3. WestEnd Office Building B torony</w:t>
      </w:r>
    </w:p>
    <w:p w14:paraId="1F6B1CA0"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Hungary</w:t>
      </w:r>
    </w:p>
    <w:p w14:paraId="6B35D7E0" w14:textId="77777777" w:rsidR="00047E69" w:rsidRPr="00AE0B87" w:rsidRDefault="00047E69" w:rsidP="00B0734F">
      <w:pPr>
        <w:ind w:left="113" w:right="113"/>
        <w:rPr>
          <w:rFonts w:ascii="Times New Roman" w:hAnsi="Times New Roman" w:cs="Times New Roman"/>
          <w:noProof/>
        </w:rPr>
      </w:pPr>
    </w:p>
    <w:p w14:paraId="0BA79D98" w14:textId="77777777" w:rsidR="00047E69" w:rsidRPr="00AE0B87" w:rsidRDefault="00047E69" w:rsidP="00B0734F">
      <w:pPr>
        <w:ind w:left="113" w:right="113"/>
        <w:rPr>
          <w:rFonts w:ascii="Times New Roman" w:hAnsi="Times New Roman" w:cs="Times New Roman"/>
          <w:noProof/>
        </w:rPr>
      </w:pPr>
    </w:p>
    <w:p w14:paraId="38559561"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12.</w:t>
      </w:r>
      <w:r w:rsidRPr="00AE0B87">
        <w:rPr>
          <w:rFonts w:ascii="Times New Roman" w:hAnsi="Times New Roman" w:cs="Times New Roman"/>
          <w:b/>
          <w:noProof/>
        </w:rPr>
        <w:tab/>
        <w:t xml:space="preserve">MARKETING AUTHORISATION NUMBER(S) </w:t>
      </w:r>
    </w:p>
    <w:p w14:paraId="465076D1" w14:textId="77777777" w:rsidR="00047E69" w:rsidRPr="00AE0B87" w:rsidRDefault="00047E69" w:rsidP="00B0734F">
      <w:pPr>
        <w:ind w:left="113" w:right="113"/>
        <w:rPr>
          <w:rFonts w:ascii="Times New Roman" w:hAnsi="Times New Roman" w:cs="Times New Roman"/>
          <w:noProof/>
        </w:rPr>
      </w:pPr>
    </w:p>
    <w:p w14:paraId="17EAFBD5" w14:textId="5228FBCE" w:rsidR="00047E69" w:rsidRPr="00AE0B87" w:rsidRDefault="00C210A5" w:rsidP="00B0734F">
      <w:pPr>
        <w:ind w:left="113" w:right="113"/>
        <w:rPr>
          <w:rFonts w:ascii="Times New Roman" w:eastAsia="바탕" w:hAnsi="Times New Roman" w:cs="Times New Roman"/>
          <w:highlight w:val="lightGray"/>
        </w:rPr>
      </w:pPr>
      <w:bookmarkStart w:id="23" w:name="_Hlk107231050"/>
      <w:r w:rsidRPr="00AE0B87">
        <w:rPr>
          <w:rFonts w:ascii="Times New Roman" w:eastAsia="바탕" w:hAnsi="Times New Roman" w:cs="Times New Roman"/>
        </w:rPr>
        <w:t>EU/</w:t>
      </w:r>
      <w:r w:rsidR="00E67ADA" w:rsidRPr="00AE0B87">
        <w:rPr>
          <w:rFonts w:ascii="Times New Roman" w:eastAsia="바탕" w:hAnsi="Times New Roman" w:cs="Times New Roman"/>
        </w:rPr>
        <w:t xml:space="preserve">1/22/1667/001 </w:t>
      </w:r>
      <w:bookmarkEnd w:id="23"/>
      <w:r w:rsidR="00A01A22" w:rsidRPr="00AE0B87">
        <w:rPr>
          <w:rFonts w:ascii="Times New Roman" w:eastAsia="바탕" w:hAnsi="Times New Roman" w:cs="Times New Roman"/>
          <w:highlight w:val="lightGray"/>
        </w:rPr>
        <w:t>1 vial</w:t>
      </w:r>
    </w:p>
    <w:p w14:paraId="2CCBCDEE" w14:textId="0950F384" w:rsidR="00A01A22" w:rsidRPr="00AE0B87" w:rsidRDefault="00C210A5" w:rsidP="00B0734F">
      <w:pPr>
        <w:ind w:left="113" w:right="113"/>
        <w:rPr>
          <w:rFonts w:ascii="Times New Roman" w:hAnsi="Times New Roman" w:cs="Times New Roman"/>
          <w:noProof/>
        </w:rPr>
      </w:pPr>
      <w:bookmarkStart w:id="24" w:name="_Hlk107301600"/>
      <w:r w:rsidRPr="00AE0B87">
        <w:rPr>
          <w:rFonts w:ascii="Times New Roman" w:eastAsia="바탕" w:hAnsi="Times New Roman" w:cs="Times New Roman"/>
          <w:highlight w:val="lightGray"/>
        </w:rPr>
        <w:t>EU/</w:t>
      </w:r>
      <w:r w:rsidR="00E67ADA" w:rsidRPr="00AE0B87">
        <w:rPr>
          <w:rFonts w:ascii="Times New Roman" w:eastAsia="바탕" w:hAnsi="Times New Roman" w:cs="Times New Roman"/>
          <w:highlight w:val="lightGray"/>
        </w:rPr>
        <w:t xml:space="preserve">1/22/1667/003 </w:t>
      </w:r>
      <w:bookmarkEnd w:id="24"/>
      <w:r w:rsidRPr="00AE0B87">
        <w:rPr>
          <w:rFonts w:ascii="Times New Roman" w:eastAsia="바탕" w:hAnsi="Times New Roman" w:cs="Times New Roman"/>
          <w:highlight w:val="lightGray"/>
        </w:rPr>
        <w:t>10 vial</w:t>
      </w:r>
      <w:r w:rsidR="00B85680" w:rsidRPr="00AE0B87">
        <w:rPr>
          <w:rFonts w:ascii="Times New Roman" w:eastAsia="바탕" w:hAnsi="Times New Roman" w:cs="Times New Roman"/>
          <w:highlight w:val="lightGray"/>
        </w:rPr>
        <w:t>s</w:t>
      </w:r>
    </w:p>
    <w:p w14:paraId="21A7FC1A" w14:textId="77777777" w:rsidR="00047E69" w:rsidRPr="00AE0B87" w:rsidRDefault="00047E69" w:rsidP="00B0734F">
      <w:pPr>
        <w:ind w:left="113" w:right="113"/>
        <w:rPr>
          <w:rFonts w:ascii="Times New Roman" w:hAnsi="Times New Roman" w:cs="Times New Roman"/>
          <w:noProof/>
        </w:rPr>
      </w:pPr>
    </w:p>
    <w:p w14:paraId="447F46B7" w14:textId="77777777" w:rsidR="00047E69" w:rsidRPr="00AE0B87" w:rsidRDefault="00047E69" w:rsidP="00B0734F">
      <w:pPr>
        <w:ind w:left="113" w:right="113"/>
        <w:rPr>
          <w:rFonts w:ascii="Times New Roman" w:hAnsi="Times New Roman" w:cs="Times New Roman"/>
          <w:noProof/>
        </w:rPr>
      </w:pPr>
    </w:p>
    <w:p w14:paraId="61C8A914"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13.</w:t>
      </w:r>
      <w:r w:rsidRPr="00AE0B87">
        <w:rPr>
          <w:rFonts w:ascii="Times New Roman" w:hAnsi="Times New Roman" w:cs="Times New Roman"/>
          <w:b/>
          <w:noProof/>
        </w:rPr>
        <w:tab/>
        <w:t>BATCH NUMBER</w:t>
      </w:r>
    </w:p>
    <w:p w14:paraId="6A0B52DC" w14:textId="77777777" w:rsidR="00047E69" w:rsidRPr="00AE0B87" w:rsidRDefault="00047E69" w:rsidP="00B0734F">
      <w:pPr>
        <w:ind w:left="113" w:right="113"/>
        <w:rPr>
          <w:rFonts w:ascii="Times New Roman" w:hAnsi="Times New Roman" w:cs="Times New Roman"/>
          <w:i/>
          <w:noProof/>
        </w:rPr>
      </w:pPr>
    </w:p>
    <w:p w14:paraId="4F769FA8"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Lot:</w:t>
      </w:r>
    </w:p>
    <w:p w14:paraId="14D7D2CA" w14:textId="77777777" w:rsidR="00047E69" w:rsidRPr="00AE0B87" w:rsidRDefault="00047E69" w:rsidP="00B0734F">
      <w:pPr>
        <w:ind w:left="113" w:right="113"/>
        <w:rPr>
          <w:rFonts w:ascii="Times New Roman" w:eastAsia="맑은 고딕" w:hAnsi="Times New Roman" w:cs="Times New Roman"/>
          <w:noProof/>
          <w:lang w:eastAsia="ko-KR"/>
        </w:rPr>
      </w:pPr>
    </w:p>
    <w:p w14:paraId="36BE524B" w14:textId="77777777" w:rsidR="00047E69" w:rsidRPr="00AE0B87" w:rsidRDefault="00047E69" w:rsidP="00B0734F">
      <w:pPr>
        <w:ind w:left="113" w:right="113"/>
        <w:rPr>
          <w:rFonts w:ascii="Times New Roman" w:eastAsia="맑은 고딕" w:hAnsi="Times New Roman" w:cs="Times New Roman"/>
          <w:noProof/>
          <w:lang w:eastAsia="ko-KR"/>
        </w:rPr>
      </w:pPr>
    </w:p>
    <w:p w14:paraId="3E67E8F4"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14.</w:t>
      </w:r>
      <w:r w:rsidRPr="00AE0B87">
        <w:rPr>
          <w:rFonts w:ascii="Times New Roman" w:hAnsi="Times New Roman" w:cs="Times New Roman"/>
          <w:b/>
          <w:noProof/>
        </w:rPr>
        <w:tab/>
        <w:t>GENERAL CLASSIFICATION FOR SUPPLY</w:t>
      </w:r>
    </w:p>
    <w:p w14:paraId="3360AD16" w14:textId="77777777" w:rsidR="00047E69" w:rsidRPr="00AE0B87" w:rsidRDefault="00047E69" w:rsidP="00B0734F">
      <w:pPr>
        <w:ind w:left="113" w:right="113"/>
        <w:rPr>
          <w:rFonts w:ascii="Times New Roman" w:eastAsia="SimSun" w:hAnsi="Times New Roman" w:cs="Times New Roman"/>
          <w:lang w:eastAsia="ko-KR"/>
        </w:rPr>
      </w:pPr>
    </w:p>
    <w:p w14:paraId="1EDCF3AB" w14:textId="77777777" w:rsidR="00047E69" w:rsidRPr="00AE0B87" w:rsidRDefault="00C210A5" w:rsidP="00B0734F">
      <w:pPr>
        <w:ind w:left="113" w:right="113"/>
        <w:rPr>
          <w:rFonts w:ascii="Times New Roman" w:eastAsia="SimSun" w:hAnsi="Times New Roman" w:cs="Times New Roman"/>
          <w:lang w:eastAsia="ko-KR"/>
        </w:rPr>
      </w:pPr>
      <w:r w:rsidRPr="00AE0B87">
        <w:rPr>
          <w:rFonts w:ascii="Times New Roman" w:eastAsia="SimSun" w:hAnsi="Times New Roman" w:cs="Times New Roman"/>
          <w:lang w:eastAsia="ko-KR"/>
        </w:rPr>
        <w:t>Medicinal product subject to medical prescription</w:t>
      </w:r>
    </w:p>
    <w:p w14:paraId="1D7CB653" w14:textId="77777777" w:rsidR="00047E69" w:rsidRPr="00AE0B87" w:rsidRDefault="00047E69" w:rsidP="00B0734F">
      <w:pPr>
        <w:ind w:left="113" w:right="113"/>
        <w:rPr>
          <w:rFonts w:ascii="Times New Roman" w:hAnsi="Times New Roman" w:cs="Times New Roman"/>
          <w:i/>
          <w:noProof/>
        </w:rPr>
      </w:pPr>
    </w:p>
    <w:p w14:paraId="546B4167" w14:textId="77777777" w:rsidR="00047E69" w:rsidRPr="00AE0B87" w:rsidRDefault="00047E69" w:rsidP="00B0734F">
      <w:pPr>
        <w:ind w:left="113" w:right="113"/>
        <w:rPr>
          <w:rFonts w:ascii="Times New Roman" w:hAnsi="Times New Roman" w:cs="Times New Roman"/>
          <w:noProof/>
        </w:rPr>
      </w:pPr>
    </w:p>
    <w:p w14:paraId="31B8EF8D"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15.</w:t>
      </w:r>
      <w:r w:rsidRPr="00AE0B87">
        <w:rPr>
          <w:rFonts w:ascii="Times New Roman" w:hAnsi="Times New Roman" w:cs="Times New Roman"/>
          <w:b/>
          <w:noProof/>
        </w:rPr>
        <w:tab/>
        <w:t>INSTRUCTIONS ON USE</w:t>
      </w:r>
    </w:p>
    <w:p w14:paraId="1ECAB39D" w14:textId="77777777" w:rsidR="00047E69" w:rsidRPr="00AE0B87" w:rsidRDefault="00047E69" w:rsidP="00B0734F">
      <w:pPr>
        <w:ind w:left="113" w:right="113"/>
        <w:rPr>
          <w:rFonts w:ascii="Times New Roman" w:hAnsi="Times New Roman" w:cs="Times New Roman"/>
          <w:noProof/>
        </w:rPr>
      </w:pPr>
    </w:p>
    <w:p w14:paraId="447C2D6B" w14:textId="77777777" w:rsidR="00C479B5" w:rsidRPr="00AE0B87" w:rsidRDefault="00C479B5" w:rsidP="00B0734F">
      <w:pPr>
        <w:ind w:left="113" w:right="113"/>
        <w:rPr>
          <w:rFonts w:ascii="Times New Roman" w:hAnsi="Times New Roman" w:cs="Times New Roman"/>
          <w:noProof/>
        </w:rPr>
      </w:pPr>
    </w:p>
    <w:p w14:paraId="61595B22" w14:textId="77777777" w:rsidR="00047E69" w:rsidRPr="00AE0B87" w:rsidRDefault="00C210A5" w:rsidP="00B0734F">
      <w:pPr>
        <w:pBdr>
          <w:top w:val="single" w:sz="4" w:space="1" w:color="auto"/>
          <w:left w:val="single" w:sz="4" w:space="4" w:color="auto"/>
          <w:bottom w:val="single" w:sz="4" w:space="0"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16.</w:t>
      </w:r>
      <w:r w:rsidRPr="00AE0B87">
        <w:rPr>
          <w:rFonts w:ascii="Times New Roman" w:hAnsi="Times New Roman" w:cs="Times New Roman"/>
          <w:b/>
          <w:noProof/>
        </w:rPr>
        <w:tab/>
        <w:t>INFORMATION IN BRAILLE</w:t>
      </w:r>
    </w:p>
    <w:p w14:paraId="3C0A2408" w14:textId="77777777" w:rsidR="00047E69" w:rsidRPr="00AE0B87" w:rsidRDefault="00047E69" w:rsidP="00B0734F">
      <w:pPr>
        <w:ind w:left="113" w:right="113"/>
        <w:rPr>
          <w:rFonts w:ascii="Times New Roman" w:hAnsi="Times New Roman" w:cs="Times New Roman"/>
          <w:noProof/>
        </w:rPr>
      </w:pPr>
    </w:p>
    <w:p w14:paraId="6C152A55" w14:textId="77777777" w:rsidR="00047E69" w:rsidRPr="00AE0B87" w:rsidRDefault="00C210A5" w:rsidP="00B0734F">
      <w:pPr>
        <w:ind w:left="113" w:right="113"/>
        <w:rPr>
          <w:rFonts w:ascii="Times New Roman" w:hAnsi="Times New Roman" w:cs="Times New Roman"/>
          <w:noProof/>
          <w:shd w:val="clear" w:color="auto" w:fill="CCCCCC"/>
        </w:rPr>
      </w:pPr>
      <w:r w:rsidRPr="00AE0B87">
        <w:rPr>
          <w:rFonts w:ascii="Times New Roman" w:eastAsia="SimSun" w:hAnsi="Times New Roman" w:cs="Times New Roman"/>
          <w:highlight w:val="lightGray"/>
          <w:lang w:eastAsia="ko-KR"/>
        </w:rPr>
        <w:t>Justification for not including Braille accepted.</w:t>
      </w:r>
    </w:p>
    <w:p w14:paraId="03060082" w14:textId="77777777" w:rsidR="00047E69" w:rsidRPr="00AE0B87" w:rsidRDefault="00047E69" w:rsidP="00B0734F">
      <w:pPr>
        <w:ind w:left="113" w:right="113"/>
        <w:rPr>
          <w:rFonts w:ascii="Times New Roman" w:hAnsi="Times New Roman" w:cs="Times New Roman"/>
          <w:noProof/>
          <w:shd w:val="clear" w:color="auto" w:fill="CCCCCC"/>
        </w:rPr>
      </w:pPr>
    </w:p>
    <w:p w14:paraId="184E37FF" w14:textId="77777777" w:rsidR="00047E69" w:rsidRPr="00AE0B87" w:rsidRDefault="00047E69" w:rsidP="00B0734F">
      <w:pPr>
        <w:ind w:left="113" w:right="113"/>
        <w:rPr>
          <w:rFonts w:ascii="Times New Roman" w:hAnsi="Times New Roman" w:cs="Times New Roman"/>
          <w:noProof/>
          <w:shd w:val="clear" w:color="auto" w:fill="CCCCCC"/>
        </w:rPr>
      </w:pPr>
    </w:p>
    <w:p w14:paraId="0BC6F108" w14:textId="77777777" w:rsidR="00047E69" w:rsidRPr="00AE0B87" w:rsidRDefault="00C210A5" w:rsidP="00B0734F">
      <w:pPr>
        <w:pBdr>
          <w:top w:val="single" w:sz="4" w:space="1" w:color="auto"/>
          <w:left w:val="single" w:sz="4" w:space="4" w:color="auto"/>
          <w:bottom w:val="single" w:sz="4" w:space="0" w:color="auto"/>
          <w:right w:val="single" w:sz="4" w:space="4" w:color="auto"/>
        </w:pBdr>
        <w:ind w:left="113" w:right="113"/>
        <w:rPr>
          <w:rFonts w:ascii="Times New Roman" w:hAnsi="Times New Roman" w:cs="Times New Roman"/>
          <w:i/>
          <w:noProof/>
        </w:rPr>
      </w:pPr>
      <w:r w:rsidRPr="00AE0B87">
        <w:rPr>
          <w:rFonts w:ascii="Times New Roman" w:hAnsi="Times New Roman" w:cs="Times New Roman"/>
          <w:b/>
          <w:noProof/>
        </w:rPr>
        <w:t>17.</w:t>
      </w:r>
      <w:r w:rsidRPr="00AE0B87">
        <w:rPr>
          <w:rFonts w:ascii="Times New Roman" w:hAnsi="Times New Roman" w:cs="Times New Roman"/>
          <w:b/>
          <w:noProof/>
        </w:rPr>
        <w:tab/>
        <w:t>UNIQUE IDENTIFIER - 2D BARCODE</w:t>
      </w:r>
    </w:p>
    <w:p w14:paraId="6A197DA5" w14:textId="77777777" w:rsidR="00047E69" w:rsidRPr="00AE0B87" w:rsidRDefault="00047E69" w:rsidP="00B0734F">
      <w:pPr>
        <w:ind w:left="113" w:right="113"/>
        <w:rPr>
          <w:rFonts w:ascii="Times New Roman" w:hAnsi="Times New Roman" w:cs="Times New Roman"/>
          <w:noProof/>
        </w:rPr>
      </w:pPr>
    </w:p>
    <w:p w14:paraId="6EF6168E" w14:textId="77777777" w:rsidR="00047E69" w:rsidRPr="00AE0B87" w:rsidRDefault="00C210A5" w:rsidP="00B0734F">
      <w:pPr>
        <w:ind w:left="113" w:right="113"/>
        <w:rPr>
          <w:rFonts w:ascii="Times New Roman" w:hAnsi="Times New Roman" w:cs="Times New Roman"/>
          <w:noProof/>
          <w:shd w:val="clear" w:color="auto" w:fill="CCCCCC"/>
        </w:rPr>
      </w:pPr>
      <w:r w:rsidRPr="00AE0B87">
        <w:rPr>
          <w:rFonts w:ascii="Times New Roman" w:hAnsi="Times New Roman" w:cs="Times New Roman"/>
          <w:noProof/>
          <w:shd w:val="clear" w:color="auto" w:fill="CCCCCC"/>
        </w:rPr>
        <w:t>2D barcode carrying the unique identifier included.</w:t>
      </w:r>
    </w:p>
    <w:p w14:paraId="71CC29D6" w14:textId="77777777" w:rsidR="00047E69" w:rsidRPr="00AE0B87" w:rsidRDefault="00047E69" w:rsidP="00B0734F">
      <w:pPr>
        <w:ind w:left="113" w:right="113"/>
        <w:rPr>
          <w:rFonts w:ascii="Times New Roman" w:hAnsi="Times New Roman" w:cs="Times New Roman"/>
          <w:noProof/>
          <w:vanish/>
        </w:rPr>
      </w:pPr>
    </w:p>
    <w:p w14:paraId="406DF872" w14:textId="77777777" w:rsidR="00047E69" w:rsidRPr="00AE0B87" w:rsidRDefault="00047E69" w:rsidP="00B0734F">
      <w:pPr>
        <w:ind w:left="113" w:right="113"/>
        <w:rPr>
          <w:rFonts w:ascii="Times New Roman" w:hAnsi="Times New Roman" w:cs="Times New Roman"/>
          <w:b/>
          <w:noProof/>
          <w:u w:val="single"/>
        </w:rPr>
      </w:pPr>
    </w:p>
    <w:p w14:paraId="55E0F113" w14:textId="77777777" w:rsidR="00047E69" w:rsidRPr="00AE0B87" w:rsidRDefault="00047E69" w:rsidP="00B0734F">
      <w:pPr>
        <w:ind w:left="113" w:right="113"/>
        <w:rPr>
          <w:rFonts w:ascii="Times New Roman" w:hAnsi="Times New Roman" w:cs="Times New Roman"/>
          <w:noProof/>
        </w:rPr>
      </w:pPr>
    </w:p>
    <w:p w14:paraId="318D4091" w14:textId="77777777" w:rsidR="00047E69" w:rsidRPr="00AE0B87" w:rsidRDefault="00C210A5" w:rsidP="00B0734F">
      <w:pPr>
        <w:pBdr>
          <w:top w:val="single" w:sz="4" w:space="1" w:color="auto"/>
          <w:left w:val="single" w:sz="4" w:space="4" w:color="auto"/>
          <w:bottom w:val="single" w:sz="4" w:space="0" w:color="auto"/>
          <w:right w:val="single" w:sz="4" w:space="4" w:color="auto"/>
        </w:pBdr>
        <w:ind w:left="113" w:right="113"/>
        <w:rPr>
          <w:rFonts w:ascii="Times New Roman" w:hAnsi="Times New Roman" w:cs="Times New Roman"/>
          <w:i/>
          <w:noProof/>
        </w:rPr>
      </w:pPr>
      <w:r w:rsidRPr="00AE0B87">
        <w:rPr>
          <w:rFonts w:ascii="Times New Roman" w:hAnsi="Times New Roman" w:cs="Times New Roman"/>
          <w:b/>
          <w:noProof/>
        </w:rPr>
        <w:t>18.</w:t>
      </w:r>
      <w:r w:rsidRPr="00AE0B87">
        <w:rPr>
          <w:rFonts w:ascii="Times New Roman" w:hAnsi="Times New Roman" w:cs="Times New Roman"/>
          <w:b/>
          <w:noProof/>
        </w:rPr>
        <w:tab/>
        <w:t>UNIQUE IDENTIFIER - HUMAN READABLE DATA</w:t>
      </w:r>
    </w:p>
    <w:p w14:paraId="12F2CC47" w14:textId="77777777" w:rsidR="00047E69" w:rsidRPr="00AE0B87" w:rsidRDefault="00047E69" w:rsidP="00B0734F">
      <w:pPr>
        <w:ind w:left="113" w:right="113"/>
        <w:rPr>
          <w:rFonts w:ascii="Times New Roman" w:hAnsi="Times New Roman" w:cs="Times New Roman"/>
          <w:noProof/>
        </w:rPr>
      </w:pPr>
    </w:p>
    <w:p w14:paraId="07936BDB" w14:textId="0CD41349"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PC</w:t>
      </w:r>
    </w:p>
    <w:p w14:paraId="3D9D5C8B" w14:textId="3EF48F91"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SN</w:t>
      </w:r>
    </w:p>
    <w:p w14:paraId="58F40BDF" w14:textId="52716A04"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NN</w:t>
      </w:r>
    </w:p>
    <w:p w14:paraId="25785FE0" w14:textId="77777777" w:rsidR="00047E69" w:rsidRPr="00AE0B87" w:rsidRDefault="00047E69" w:rsidP="00B0734F">
      <w:pPr>
        <w:ind w:left="113" w:right="113"/>
        <w:rPr>
          <w:rFonts w:ascii="Times New Roman" w:eastAsia="맑은 고딕" w:hAnsi="Times New Roman" w:cs="Times New Roman"/>
          <w:lang w:eastAsia="ko-KR"/>
        </w:rPr>
      </w:pPr>
    </w:p>
    <w:p w14:paraId="1602E381" w14:textId="77777777" w:rsidR="00811842" w:rsidRPr="00AE0B87" w:rsidRDefault="00811842" w:rsidP="00B0734F">
      <w:pPr>
        <w:ind w:left="113" w:right="113"/>
        <w:rPr>
          <w:rFonts w:ascii="Times New Roman" w:eastAsia="맑은 고딕" w:hAnsi="Times New Roman" w:cs="Times New Roman"/>
          <w:lang w:eastAsia="ko-KR"/>
        </w:rPr>
      </w:pPr>
    </w:p>
    <w:p w14:paraId="07DE7826" w14:textId="77777777" w:rsidR="00047E69" w:rsidRPr="00AE0B87" w:rsidRDefault="00047E69" w:rsidP="00B0734F">
      <w:pPr>
        <w:ind w:right="113"/>
        <w:rPr>
          <w:rFonts w:ascii="Times New Roman" w:hAnsi="Times New Roman" w:cs="Times New Roman"/>
          <w:noProof/>
          <w:vanish/>
        </w:rPr>
      </w:pPr>
    </w:p>
    <w:p w14:paraId="7CB40AB0" w14:textId="77777777" w:rsidR="00047E69" w:rsidRPr="00AE0B87" w:rsidRDefault="00047E69" w:rsidP="00B0734F">
      <w:pPr>
        <w:ind w:left="113" w:right="113"/>
        <w:rPr>
          <w:rFonts w:ascii="Times New Roman" w:hAnsi="Times New Roman" w:cs="Times New Roman"/>
          <w:noProof/>
          <w:vanish/>
        </w:rPr>
      </w:pPr>
    </w:p>
    <w:p w14:paraId="220B0DAE" w14:textId="77777777" w:rsidR="00047E69" w:rsidRPr="00AE0B87" w:rsidRDefault="00047E69" w:rsidP="00B0734F">
      <w:pPr>
        <w:ind w:right="113"/>
        <w:rPr>
          <w:rFonts w:ascii="Times New Roman" w:hAnsi="Times New Roman" w:cs="Times New Roman"/>
          <w:b/>
          <w:noProof/>
        </w:rPr>
      </w:pPr>
    </w:p>
    <w:p w14:paraId="1D189CE9" w14:textId="77777777" w:rsidR="00811842" w:rsidRPr="00AE0B87" w:rsidRDefault="00811842" w:rsidP="00B0734F">
      <w:pPr>
        <w:pBdr>
          <w:top w:val="single" w:sz="4" w:space="1" w:color="auto"/>
          <w:left w:val="single" w:sz="4" w:space="4" w:color="auto"/>
          <w:bottom w:val="single" w:sz="4" w:space="1" w:color="auto"/>
          <w:right w:val="single" w:sz="4" w:space="4" w:color="auto"/>
        </w:pBdr>
        <w:ind w:left="113" w:right="113"/>
        <w:rPr>
          <w:rFonts w:ascii="Times New Roman" w:eastAsia="맑은 고딕" w:hAnsi="Times New Roman" w:cs="Times New Roman"/>
          <w:b/>
          <w:noProof/>
          <w:lang w:eastAsia="ko-KR"/>
        </w:rPr>
        <w:sectPr w:rsidR="00811842" w:rsidRPr="00AE0B87" w:rsidSect="0060266A">
          <w:footerReference w:type="default" r:id="rId15"/>
          <w:footerReference w:type="first" r:id="rId16"/>
          <w:endnotePr>
            <w:numFmt w:val="decimal"/>
          </w:endnotePr>
          <w:pgSz w:w="11910" w:h="16840" w:code="9"/>
          <w:pgMar w:top="1134" w:right="1418" w:bottom="1134" w:left="1418" w:header="737" w:footer="737" w:gutter="0"/>
          <w:cols w:space="720"/>
          <w:docGrid w:linePitch="299"/>
        </w:sectPr>
      </w:pPr>
    </w:p>
    <w:p w14:paraId="5448622C"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eastAsia="맑은 고딕" w:hAnsi="Times New Roman" w:cs="Times New Roman"/>
          <w:b/>
          <w:noProof/>
          <w:lang w:eastAsia="ko-KR"/>
        </w:rPr>
        <w:lastRenderedPageBreak/>
        <w:t>MINIMUM</w:t>
      </w:r>
      <w:r w:rsidRPr="00AE0B87">
        <w:rPr>
          <w:rFonts w:ascii="Times New Roman" w:hAnsi="Times New Roman" w:cs="Times New Roman"/>
          <w:b/>
          <w:noProof/>
        </w:rPr>
        <w:t xml:space="preserve"> PARTICULARS TO APPEAR ON SMALL IMMEDIATE PACKAGING UNITS</w:t>
      </w:r>
    </w:p>
    <w:p w14:paraId="77EB0F6B" w14:textId="77777777" w:rsidR="00047E69" w:rsidRPr="00AE0B87" w:rsidRDefault="00047E69"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p>
    <w:p w14:paraId="0FBB691F"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eastAsia="맑은 고딕" w:hAnsi="Times New Roman" w:cs="Times New Roman"/>
          <w:b/>
          <w:noProof/>
          <w:lang w:eastAsia="ko-KR"/>
        </w:rPr>
      </w:pPr>
      <w:r w:rsidRPr="00AE0B87">
        <w:rPr>
          <w:rFonts w:ascii="Times New Roman" w:eastAsia="맑은 고딕" w:hAnsi="Times New Roman" w:cs="Times New Roman"/>
          <w:b/>
          <w:noProof/>
          <w:lang w:eastAsia="ko-KR"/>
        </w:rPr>
        <w:t>VIAL LABEL</w:t>
      </w:r>
    </w:p>
    <w:p w14:paraId="23BC7772" w14:textId="77777777" w:rsidR="00047E69" w:rsidRPr="00AE0B87" w:rsidRDefault="00047E69" w:rsidP="00B0734F">
      <w:pPr>
        <w:ind w:left="113" w:right="113"/>
        <w:rPr>
          <w:rFonts w:ascii="Times New Roman" w:hAnsi="Times New Roman" w:cs="Times New Roman"/>
          <w:noProof/>
        </w:rPr>
      </w:pPr>
    </w:p>
    <w:p w14:paraId="103F1833" w14:textId="77777777" w:rsidR="00047E69" w:rsidRPr="00AE0B87" w:rsidRDefault="00047E69" w:rsidP="00B0734F">
      <w:pPr>
        <w:ind w:left="113" w:right="113"/>
        <w:rPr>
          <w:rFonts w:ascii="Times New Roman" w:hAnsi="Times New Roman" w:cs="Times New Roman"/>
          <w:noProof/>
        </w:rPr>
      </w:pPr>
    </w:p>
    <w:p w14:paraId="5F901073"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1.</w:t>
      </w:r>
      <w:r w:rsidRPr="00AE0B87">
        <w:rPr>
          <w:rFonts w:ascii="Times New Roman" w:hAnsi="Times New Roman" w:cs="Times New Roman"/>
          <w:b/>
          <w:noProof/>
        </w:rPr>
        <w:tab/>
        <w:t>NAME OF THE MEDICINAL PRODUCT AND ROUTE(S) OF ADMINISTRATION</w:t>
      </w:r>
    </w:p>
    <w:p w14:paraId="34D40743" w14:textId="77777777" w:rsidR="00047E69" w:rsidRPr="00AE0B87" w:rsidRDefault="00047E69" w:rsidP="00B0734F">
      <w:pPr>
        <w:ind w:left="113" w:right="113" w:hanging="567"/>
        <w:rPr>
          <w:rFonts w:ascii="Times New Roman" w:hAnsi="Times New Roman" w:cs="Times New Roman"/>
          <w:noProof/>
        </w:rPr>
      </w:pPr>
    </w:p>
    <w:p w14:paraId="45275601" w14:textId="094AC026" w:rsidR="00047E69" w:rsidRPr="00AE0B87" w:rsidRDefault="00A32819" w:rsidP="00B0734F">
      <w:pPr>
        <w:ind w:left="113" w:right="113"/>
        <w:rPr>
          <w:rFonts w:ascii="Times New Roman" w:hAnsi="Times New Roman" w:cs="Times New Roman"/>
          <w:noProof/>
        </w:rPr>
      </w:pPr>
      <w:r>
        <w:rPr>
          <w:rFonts w:ascii="Times New Roman" w:hAnsi="Times New Roman" w:cs="Times New Roman"/>
          <w:noProof/>
        </w:rPr>
        <w:t>Vegzelma</w:t>
      </w:r>
      <w:r>
        <w:rPr>
          <w:rFonts w:ascii="Times New Roman" w:hAnsi="Times New Roman" w:cs="Times New Roman" w:hint="eastAsia"/>
          <w:noProof/>
          <w:lang w:eastAsia="ko-KR"/>
        </w:rPr>
        <w:t xml:space="preserve"> </w:t>
      </w:r>
      <w:r w:rsidR="00C210A5" w:rsidRPr="00AE0B87">
        <w:rPr>
          <w:rFonts w:ascii="Times New Roman" w:hAnsi="Times New Roman" w:cs="Times New Roman"/>
          <w:noProof/>
        </w:rPr>
        <w:t>25</w:t>
      </w:r>
      <w:r w:rsidR="00B85680" w:rsidRPr="00AE0B87">
        <w:rPr>
          <w:rFonts w:ascii="Times New Roman" w:hAnsi="Times New Roman" w:cs="Times New Roman"/>
          <w:noProof/>
        </w:rPr>
        <w:t xml:space="preserve"> </w:t>
      </w:r>
      <w:r w:rsidR="00C210A5" w:rsidRPr="00AE0B87">
        <w:rPr>
          <w:rFonts w:ascii="Times New Roman" w:hAnsi="Times New Roman" w:cs="Times New Roman"/>
          <w:noProof/>
        </w:rPr>
        <w:t xml:space="preserve">mg/mL </w:t>
      </w:r>
      <w:r w:rsidR="00AC3D30" w:rsidRPr="00AE0B87">
        <w:rPr>
          <w:rFonts w:ascii="Times New Roman" w:hAnsi="Times New Roman" w:cs="Times New Roman"/>
          <w:noProof/>
        </w:rPr>
        <w:t xml:space="preserve">Sterile </w:t>
      </w:r>
      <w:r w:rsidR="00C210A5" w:rsidRPr="00AE0B87">
        <w:rPr>
          <w:rFonts w:ascii="Times New Roman" w:hAnsi="Times New Roman" w:cs="Times New Roman"/>
          <w:noProof/>
        </w:rPr>
        <w:t>concentrate</w:t>
      </w:r>
    </w:p>
    <w:p w14:paraId="111B34D7" w14:textId="77777777" w:rsidR="00047E69" w:rsidRPr="00AE0B87" w:rsidRDefault="00C210A5" w:rsidP="00B0734F">
      <w:pPr>
        <w:ind w:left="113" w:right="113"/>
        <w:rPr>
          <w:rFonts w:ascii="Times New Roman" w:hAnsi="Times New Roman" w:cs="Times New Roman"/>
          <w:noProof/>
        </w:rPr>
      </w:pPr>
      <w:r w:rsidRPr="00AE0B87">
        <w:rPr>
          <w:rFonts w:ascii="Times New Roman" w:eastAsia="맑은 고딕" w:hAnsi="Times New Roman" w:cs="Times New Roman"/>
          <w:noProof/>
          <w:lang w:eastAsia="ko-KR"/>
        </w:rPr>
        <w:t>bevacizumab</w:t>
      </w:r>
    </w:p>
    <w:p w14:paraId="5BC6D2BA" w14:textId="77777777" w:rsidR="00047E69" w:rsidRPr="00AE0B87" w:rsidRDefault="00C210A5" w:rsidP="00B0734F">
      <w:pPr>
        <w:ind w:left="113" w:right="113"/>
        <w:rPr>
          <w:rFonts w:ascii="Times New Roman" w:hAnsi="Times New Roman" w:cs="Times New Roman"/>
          <w:noProof/>
        </w:rPr>
      </w:pPr>
      <w:r w:rsidRPr="00AE0B87">
        <w:rPr>
          <w:rFonts w:ascii="Times New Roman" w:hAnsi="Times New Roman" w:cs="Times New Roman"/>
          <w:noProof/>
        </w:rPr>
        <w:t>IV</w:t>
      </w:r>
    </w:p>
    <w:p w14:paraId="758F135E" w14:textId="77777777" w:rsidR="00047E69" w:rsidRPr="00AE0B87" w:rsidRDefault="00047E69" w:rsidP="00B0734F">
      <w:pPr>
        <w:ind w:left="113" w:right="113"/>
        <w:rPr>
          <w:rFonts w:ascii="Times New Roman" w:hAnsi="Times New Roman" w:cs="Times New Roman"/>
          <w:noProof/>
        </w:rPr>
      </w:pPr>
    </w:p>
    <w:p w14:paraId="0CE6E946" w14:textId="77777777" w:rsidR="00047E69" w:rsidRPr="00AE0B87" w:rsidRDefault="00047E69" w:rsidP="00B0734F">
      <w:pPr>
        <w:ind w:left="113" w:right="113"/>
        <w:rPr>
          <w:rFonts w:ascii="Times New Roman" w:hAnsi="Times New Roman" w:cs="Times New Roman"/>
          <w:noProof/>
        </w:rPr>
      </w:pPr>
    </w:p>
    <w:p w14:paraId="118FDA1B"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2.</w:t>
      </w:r>
      <w:r w:rsidRPr="00AE0B87">
        <w:rPr>
          <w:rFonts w:ascii="Times New Roman" w:hAnsi="Times New Roman" w:cs="Times New Roman"/>
          <w:b/>
          <w:noProof/>
        </w:rPr>
        <w:tab/>
        <w:t>METHOD OF ADMINISTRATION</w:t>
      </w:r>
    </w:p>
    <w:p w14:paraId="56AEEFB6" w14:textId="77777777" w:rsidR="00047E69" w:rsidRPr="00AE0B87" w:rsidRDefault="00047E69" w:rsidP="00B0734F">
      <w:pPr>
        <w:ind w:left="113" w:right="113"/>
        <w:rPr>
          <w:rFonts w:ascii="Times New Roman" w:hAnsi="Times New Roman" w:cs="Times New Roman"/>
          <w:noProof/>
        </w:rPr>
      </w:pPr>
    </w:p>
    <w:p w14:paraId="102EF1E9" w14:textId="7CD20391" w:rsidR="00047E69" w:rsidRPr="00AE0B87" w:rsidRDefault="00C210A5" w:rsidP="00B0734F">
      <w:pPr>
        <w:ind w:left="113" w:right="113"/>
        <w:rPr>
          <w:rFonts w:ascii="Times New Roman" w:hAnsi="Times New Roman" w:cs="Times New Roman"/>
          <w:noProof/>
          <w:lang w:eastAsia="ko-KR"/>
        </w:rPr>
      </w:pPr>
      <w:r w:rsidRPr="00AE0B87">
        <w:rPr>
          <w:rFonts w:ascii="Times New Roman" w:hAnsi="Times New Roman" w:cs="Times New Roman" w:hint="eastAsia"/>
          <w:noProof/>
          <w:lang w:eastAsia="ko-KR"/>
        </w:rPr>
        <w:t>Fo</w:t>
      </w:r>
      <w:r w:rsidRPr="00AE0B87">
        <w:rPr>
          <w:rFonts w:ascii="Times New Roman" w:hAnsi="Times New Roman" w:cs="Times New Roman"/>
          <w:noProof/>
          <w:lang w:eastAsia="ko-KR"/>
        </w:rPr>
        <w:t xml:space="preserve">r </w:t>
      </w:r>
      <w:r w:rsidR="00865E0E" w:rsidRPr="00AE0B87">
        <w:rPr>
          <w:rFonts w:ascii="Times New Roman" w:hAnsi="Times New Roman" w:cs="Times New Roman"/>
          <w:noProof/>
          <w:lang w:eastAsia="ko-KR"/>
        </w:rPr>
        <w:t xml:space="preserve">IV </w:t>
      </w:r>
      <w:r w:rsidRPr="00AE0B87">
        <w:rPr>
          <w:rFonts w:ascii="Times New Roman" w:hAnsi="Times New Roman" w:cs="Times New Roman"/>
          <w:noProof/>
          <w:lang w:eastAsia="ko-KR"/>
        </w:rPr>
        <w:t>use after dilution</w:t>
      </w:r>
    </w:p>
    <w:p w14:paraId="7403347C" w14:textId="77777777" w:rsidR="00047E69" w:rsidRPr="00AE0B87" w:rsidRDefault="00047E69" w:rsidP="00B0734F">
      <w:pPr>
        <w:ind w:left="113" w:right="113"/>
        <w:rPr>
          <w:rFonts w:ascii="Times New Roman" w:hAnsi="Times New Roman" w:cs="Times New Roman"/>
          <w:noProof/>
          <w:lang w:eastAsia="ko-KR"/>
        </w:rPr>
      </w:pPr>
    </w:p>
    <w:p w14:paraId="3A0165C5" w14:textId="77777777" w:rsidR="00047E69" w:rsidRPr="00AE0B87" w:rsidRDefault="00047E69" w:rsidP="00B0734F">
      <w:pPr>
        <w:ind w:left="113" w:right="113"/>
        <w:rPr>
          <w:rFonts w:ascii="Times New Roman" w:hAnsi="Times New Roman" w:cs="Times New Roman"/>
          <w:noProof/>
        </w:rPr>
      </w:pPr>
    </w:p>
    <w:p w14:paraId="62A9FF9F"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3.</w:t>
      </w:r>
      <w:r w:rsidRPr="00AE0B87">
        <w:rPr>
          <w:rFonts w:ascii="Times New Roman" w:hAnsi="Times New Roman" w:cs="Times New Roman"/>
          <w:b/>
          <w:noProof/>
        </w:rPr>
        <w:tab/>
        <w:t>EXPIRY DATE</w:t>
      </w:r>
    </w:p>
    <w:p w14:paraId="2EC0546C" w14:textId="77777777" w:rsidR="00047E69" w:rsidRPr="00AE0B87" w:rsidRDefault="00047E69" w:rsidP="00B0734F">
      <w:pPr>
        <w:ind w:left="113" w:right="113"/>
        <w:rPr>
          <w:rFonts w:ascii="Times New Roman" w:eastAsia="맑은 고딕" w:hAnsi="Times New Roman" w:cs="Times New Roman"/>
          <w:lang w:eastAsia="ko-KR"/>
        </w:rPr>
      </w:pPr>
    </w:p>
    <w:p w14:paraId="23738F06"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EXP</w:t>
      </w:r>
    </w:p>
    <w:p w14:paraId="2342A037" w14:textId="77777777" w:rsidR="00047E69" w:rsidRPr="00AE0B87" w:rsidRDefault="00047E69" w:rsidP="00B0734F">
      <w:pPr>
        <w:ind w:left="113" w:right="113"/>
        <w:rPr>
          <w:rFonts w:ascii="Times New Roman" w:eastAsia="맑은 고딕" w:hAnsi="Times New Roman" w:cs="Times New Roman"/>
          <w:lang w:eastAsia="ko-KR"/>
        </w:rPr>
      </w:pPr>
    </w:p>
    <w:p w14:paraId="4E0918F3" w14:textId="77777777" w:rsidR="00047E69" w:rsidRPr="00AE0B87" w:rsidRDefault="00047E69" w:rsidP="00B0734F">
      <w:pPr>
        <w:ind w:left="113" w:right="113"/>
        <w:rPr>
          <w:rFonts w:ascii="Times New Roman" w:hAnsi="Times New Roman" w:cs="Times New Roman"/>
        </w:rPr>
      </w:pPr>
    </w:p>
    <w:p w14:paraId="4E0EFA3E"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rPr>
      </w:pPr>
      <w:r w:rsidRPr="00AE0B87">
        <w:rPr>
          <w:rFonts w:ascii="Times New Roman" w:hAnsi="Times New Roman" w:cs="Times New Roman"/>
          <w:b/>
        </w:rPr>
        <w:t>4.</w:t>
      </w:r>
      <w:r w:rsidRPr="00AE0B87">
        <w:rPr>
          <w:rFonts w:ascii="Times New Roman" w:hAnsi="Times New Roman" w:cs="Times New Roman"/>
          <w:b/>
        </w:rPr>
        <w:tab/>
        <w:t xml:space="preserve">BATCH </w:t>
      </w:r>
      <w:r w:rsidRPr="00AE0B87">
        <w:rPr>
          <w:rFonts w:ascii="Times New Roman" w:hAnsi="Times New Roman" w:cs="Times New Roman"/>
          <w:b/>
          <w:noProof/>
        </w:rPr>
        <w:t>NUMBER</w:t>
      </w:r>
    </w:p>
    <w:p w14:paraId="2FA2FFCE" w14:textId="77777777" w:rsidR="00047E69" w:rsidRPr="00AE0B87" w:rsidRDefault="00047E69" w:rsidP="00B0734F">
      <w:pPr>
        <w:ind w:left="113" w:right="113"/>
        <w:rPr>
          <w:rFonts w:ascii="Times New Roman" w:hAnsi="Times New Roman" w:cs="Times New Roman"/>
        </w:rPr>
      </w:pPr>
    </w:p>
    <w:p w14:paraId="1B3C4F2A" w14:textId="77777777" w:rsidR="00047E69" w:rsidRPr="00AE0B87" w:rsidRDefault="00C210A5" w:rsidP="00B0734F">
      <w:pPr>
        <w:ind w:left="113" w:right="113"/>
        <w:rPr>
          <w:rFonts w:ascii="Times New Roman" w:hAnsi="Times New Roman" w:cs="Times New Roman"/>
        </w:rPr>
      </w:pPr>
      <w:r w:rsidRPr="00AE0B87">
        <w:rPr>
          <w:rFonts w:ascii="Times New Roman" w:hAnsi="Times New Roman" w:cs="Times New Roman"/>
        </w:rPr>
        <w:t>Lot</w:t>
      </w:r>
    </w:p>
    <w:p w14:paraId="73B5C31D" w14:textId="77777777" w:rsidR="00047E69" w:rsidRPr="00AE0B87" w:rsidRDefault="00047E69" w:rsidP="00B0734F">
      <w:pPr>
        <w:ind w:left="113" w:right="113"/>
        <w:rPr>
          <w:rFonts w:ascii="Times New Roman" w:eastAsia="맑은 고딕" w:hAnsi="Times New Roman" w:cs="Times New Roman"/>
          <w:lang w:eastAsia="ko-KR"/>
        </w:rPr>
      </w:pPr>
    </w:p>
    <w:p w14:paraId="1F0B2CF8" w14:textId="77777777" w:rsidR="00047E69" w:rsidRPr="00AE0B87" w:rsidRDefault="00047E69" w:rsidP="00B0734F">
      <w:pPr>
        <w:ind w:left="113" w:right="113"/>
        <w:rPr>
          <w:rFonts w:ascii="Times New Roman" w:eastAsia="맑은 고딕" w:hAnsi="Times New Roman" w:cs="Times New Roman"/>
          <w:lang w:eastAsia="ko-KR"/>
        </w:rPr>
      </w:pPr>
    </w:p>
    <w:p w14:paraId="0AC8DC45"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5.</w:t>
      </w:r>
      <w:r w:rsidRPr="00AE0B87">
        <w:rPr>
          <w:rFonts w:ascii="Times New Roman" w:hAnsi="Times New Roman" w:cs="Times New Roman"/>
          <w:b/>
          <w:noProof/>
        </w:rPr>
        <w:tab/>
        <w:t>CONTENTS BY WEIGHT, BY VOLUME OR BY UNIT</w:t>
      </w:r>
    </w:p>
    <w:p w14:paraId="56B7030E" w14:textId="77777777" w:rsidR="00047E69" w:rsidRPr="00AE0B87" w:rsidRDefault="00047E69" w:rsidP="00B0734F">
      <w:pPr>
        <w:ind w:left="113" w:right="113"/>
        <w:rPr>
          <w:rFonts w:ascii="Times New Roman" w:hAnsi="Times New Roman" w:cs="Times New Roman"/>
          <w:noProof/>
        </w:rPr>
      </w:pPr>
    </w:p>
    <w:p w14:paraId="45FD0E92" w14:textId="77777777" w:rsidR="00047E69" w:rsidRPr="00AE0B87" w:rsidRDefault="00C210A5" w:rsidP="00B0734F">
      <w:pPr>
        <w:ind w:left="113" w:right="113"/>
        <w:rPr>
          <w:rFonts w:ascii="Times New Roman" w:hAnsi="Times New Roman" w:cs="Times New Roman"/>
          <w:noProof/>
          <w:lang w:eastAsia="ko-KR"/>
        </w:rPr>
      </w:pPr>
      <w:r w:rsidRPr="00AE0B87">
        <w:rPr>
          <w:rFonts w:ascii="Times New Roman" w:hAnsi="Times New Roman" w:cs="Times New Roman" w:hint="eastAsia"/>
          <w:noProof/>
          <w:lang w:eastAsia="ko-KR"/>
        </w:rPr>
        <w:t>100</w:t>
      </w:r>
      <w:r w:rsidRPr="00AE0B87">
        <w:rPr>
          <w:rFonts w:ascii="Times New Roman" w:hAnsi="Times New Roman" w:cs="Times New Roman"/>
          <w:noProof/>
          <w:lang w:eastAsia="ko-KR"/>
        </w:rPr>
        <w:t xml:space="preserve"> </w:t>
      </w:r>
      <w:r w:rsidRPr="00AE0B87">
        <w:rPr>
          <w:rFonts w:ascii="Times New Roman" w:hAnsi="Times New Roman" w:cs="Times New Roman" w:hint="eastAsia"/>
          <w:noProof/>
          <w:lang w:eastAsia="ko-KR"/>
        </w:rPr>
        <w:t>mg/4</w:t>
      </w:r>
      <w:r w:rsidRPr="00AE0B87">
        <w:rPr>
          <w:rFonts w:ascii="Times New Roman" w:hAnsi="Times New Roman" w:cs="Times New Roman"/>
          <w:noProof/>
          <w:lang w:eastAsia="ko-KR"/>
        </w:rPr>
        <w:t xml:space="preserve"> </w:t>
      </w:r>
      <w:r w:rsidRPr="00AE0B87">
        <w:rPr>
          <w:rFonts w:ascii="Times New Roman" w:hAnsi="Times New Roman" w:cs="Times New Roman" w:hint="eastAsia"/>
          <w:noProof/>
          <w:lang w:eastAsia="ko-KR"/>
        </w:rPr>
        <w:t>mL</w:t>
      </w:r>
    </w:p>
    <w:p w14:paraId="1824D2C1" w14:textId="77777777" w:rsidR="00047E69" w:rsidRPr="00AE0B87" w:rsidRDefault="00047E69" w:rsidP="00B0734F">
      <w:pPr>
        <w:ind w:left="113" w:right="113"/>
        <w:rPr>
          <w:rFonts w:ascii="Times New Roman" w:hAnsi="Times New Roman" w:cs="Times New Roman"/>
          <w:noProof/>
        </w:rPr>
      </w:pPr>
    </w:p>
    <w:p w14:paraId="57B5F62D" w14:textId="77777777" w:rsidR="00047E69" w:rsidRPr="00AE0B87" w:rsidRDefault="00047E69" w:rsidP="00B0734F">
      <w:pPr>
        <w:ind w:left="113" w:right="113"/>
        <w:rPr>
          <w:rFonts w:ascii="Times New Roman" w:hAnsi="Times New Roman" w:cs="Times New Roman"/>
          <w:noProof/>
        </w:rPr>
      </w:pPr>
    </w:p>
    <w:p w14:paraId="7AB201CC"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6.</w:t>
      </w:r>
      <w:r w:rsidRPr="00AE0B87">
        <w:rPr>
          <w:rFonts w:ascii="Times New Roman" w:hAnsi="Times New Roman" w:cs="Times New Roman"/>
          <w:b/>
          <w:noProof/>
        </w:rPr>
        <w:tab/>
        <w:t>OTHER</w:t>
      </w:r>
    </w:p>
    <w:p w14:paraId="19FBED11" w14:textId="77777777" w:rsidR="00047E69" w:rsidRPr="00AE0B87" w:rsidRDefault="00047E69" w:rsidP="00B0734F">
      <w:pPr>
        <w:ind w:left="113" w:right="113"/>
        <w:rPr>
          <w:rFonts w:ascii="Times New Roman" w:hAnsi="Times New Roman" w:cs="Times New Roman"/>
          <w:noProof/>
        </w:rPr>
      </w:pPr>
    </w:p>
    <w:p w14:paraId="70C265B0" w14:textId="77777777" w:rsidR="00047E69" w:rsidRPr="00AE0B87" w:rsidRDefault="00047E69" w:rsidP="00B0734F">
      <w:pPr>
        <w:ind w:left="113" w:right="113"/>
        <w:rPr>
          <w:rFonts w:ascii="Times New Roman" w:hAnsi="Times New Roman" w:cs="Times New Roman"/>
        </w:rPr>
      </w:pPr>
    </w:p>
    <w:p w14:paraId="6CC3F9D6" w14:textId="77777777" w:rsidR="00047E69" w:rsidRPr="00AE0B87" w:rsidRDefault="00C210A5" w:rsidP="00B0734F">
      <w:pPr>
        <w:shd w:val="clear" w:color="auto" w:fill="FFFFFF"/>
        <w:ind w:left="113"/>
        <w:rPr>
          <w:rFonts w:ascii="Times New Roman" w:hAnsi="Times New Roman" w:cs="Times New Roman"/>
          <w:noProof/>
        </w:rPr>
      </w:pPr>
      <w:r w:rsidRPr="00AE0B87">
        <w:rPr>
          <w:rFonts w:ascii="Times New Roman" w:hAnsi="Times New Roman" w:cs="Times New Roman"/>
        </w:rPr>
        <w:br w:type="page"/>
      </w:r>
    </w:p>
    <w:p w14:paraId="35546BF9"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rPr>
      </w:pPr>
      <w:r w:rsidRPr="00AE0B87">
        <w:rPr>
          <w:rFonts w:ascii="Times New Roman" w:hAnsi="Times New Roman" w:cs="Times New Roman"/>
          <w:b/>
        </w:rPr>
        <w:lastRenderedPageBreak/>
        <w:t>PARTICULARS TO APPEAR ON THE OUTER PACKAGING</w:t>
      </w:r>
    </w:p>
    <w:p w14:paraId="02BEF239" w14:textId="77777777" w:rsidR="00047E69" w:rsidRPr="00AE0B87" w:rsidRDefault="00047E69"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rPr>
      </w:pPr>
    </w:p>
    <w:p w14:paraId="725F221C"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rPr>
      </w:pPr>
      <w:r w:rsidRPr="00AE0B87">
        <w:rPr>
          <w:rFonts w:ascii="Times New Roman" w:hAnsi="Times New Roman" w:cs="Times New Roman"/>
          <w:b/>
        </w:rPr>
        <w:t>CARTON</w:t>
      </w:r>
    </w:p>
    <w:p w14:paraId="46AC8F39" w14:textId="77777777" w:rsidR="00047E69" w:rsidRPr="00AE0B87" w:rsidRDefault="00047E69" w:rsidP="00B0734F">
      <w:pPr>
        <w:ind w:left="113" w:right="113"/>
        <w:rPr>
          <w:rFonts w:ascii="Times New Roman" w:hAnsi="Times New Roman" w:cs="Times New Roman"/>
          <w:noProof/>
        </w:rPr>
      </w:pPr>
    </w:p>
    <w:p w14:paraId="64FF62A2"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rPr>
      </w:pPr>
      <w:r w:rsidRPr="00AE0B87">
        <w:rPr>
          <w:rFonts w:ascii="Times New Roman" w:hAnsi="Times New Roman" w:cs="Times New Roman"/>
          <w:b/>
        </w:rPr>
        <w:t>1.</w:t>
      </w:r>
      <w:r w:rsidRPr="00AE0B87">
        <w:rPr>
          <w:rFonts w:ascii="Times New Roman" w:hAnsi="Times New Roman" w:cs="Times New Roman"/>
          <w:b/>
        </w:rPr>
        <w:tab/>
        <w:t>NAME OF THE MEDICINAL PRODUCT</w:t>
      </w:r>
    </w:p>
    <w:p w14:paraId="3477D464" w14:textId="77777777" w:rsidR="00047E69" w:rsidRPr="00AE0B87" w:rsidRDefault="00047E69" w:rsidP="00B0734F">
      <w:pPr>
        <w:ind w:left="113" w:right="113"/>
        <w:rPr>
          <w:rFonts w:ascii="Times New Roman" w:hAnsi="Times New Roman" w:cs="Times New Roman"/>
          <w:noProof/>
        </w:rPr>
      </w:pPr>
    </w:p>
    <w:p w14:paraId="741BDD9C" w14:textId="13BA2462" w:rsidR="00047E69" w:rsidRPr="00AE0B87" w:rsidRDefault="00A32819" w:rsidP="00B0734F">
      <w:pPr>
        <w:ind w:left="113" w:right="113"/>
        <w:rPr>
          <w:rFonts w:ascii="Times New Roman" w:eastAsia="맑은 고딕" w:hAnsi="Times New Roman" w:cs="Times New Roman"/>
          <w:lang w:eastAsia="ko-KR"/>
        </w:rPr>
      </w:pPr>
      <w:r>
        <w:rPr>
          <w:rFonts w:ascii="Times New Roman" w:eastAsia="맑은 고딕" w:hAnsi="Times New Roman" w:cs="Times New Roman"/>
          <w:lang w:eastAsia="ko-KR"/>
        </w:rPr>
        <w:t>Vegzelma</w:t>
      </w:r>
      <w:r>
        <w:rPr>
          <w:rFonts w:ascii="Times New Roman" w:eastAsia="맑은 고딕" w:hAnsi="Times New Roman" w:cs="Times New Roman" w:hint="eastAsia"/>
          <w:lang w:eastAsia="ko-KR"/>
        </w:rPr>
        <w:t xml:space="preserve"> </w:t>
      </w:r>
      <w:r w:rsidR="00C210A5" w:rsidRPr="00AE0B87">
        <w:rPr>
          <w:rFonts w:ascii="Times New Roman" w:eastAsia="맑은 고딕" w:hAnsi="Times New Roman" w:cs="Times New Roman"/>
          <w:lang w:eastAsia="ko-KR"/>
        </w:rPr>
        <w:t>25 mg/mL</w:t>
      </w:r>
      <w:r w:rsidR="00C210A5" w:rsidRPr="00AE0B87">
        <w:rPr>
          <w:rFonts w:ascii="Times New Roman" w:hAnsi="Times New Roman" w:cs="Times New Roman"/>
        </w:rPr>
        <w:t xml:space="preserve"> </w:t>
      </w:r>
      <w:r w:rsidR="00C210A5" w:rsidRPr="00AE0B87">
        <w:rPr>
          <w:rFonts w:ascii="Times New Roman" w:eastAsia="맑은 고딕" w:hAnsi="Times New Roman" w:cs="Times New Roman"/>
          <w:lang w:eastAsia="ko-KR"/>
        </w:rPr>
        <w:t>concentrate for solution for infusion</w:t>
      </w:r>
    </w:p>
    <w:p w14:paraId="6C11AF57"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bevacizumab</w:t>
      </w:r>
    </w:p>
    <w:p w14:paraId="7D809E9A" w14:textId="77777777" w:rsidR="00047E69" w:rsidRPr="00AE0B87" w:rsidRDefault="00047E69" w:rsidP="00B0734F">
      <w:pPr>
        <w:ind w:left="113" w:right="113"/>
        <w:rPr>
          <w:rFonts w:ascii="Times New Roman" w:eastAsia="맑은 고딕" w:hAnsi="Times New Roman" w:cs="Times New Roman"/>
          <w:lang w:eastAsia="ko-KR"/>
        </w:rPr>
      </w:pPr>
    </w:p>
    <w:p w14:paraId="4A517FD8" w14:textId="77777777" w:rsidR="00047E69" w:rsidRPr="00AE0B87" w:rsidRDefault="00047E69" w:rsidP="00B0734F">
      <w:pPr>
        <w:ind w:left="113" w:right="113"/>
        <w:rPr>
          <w:rFonts w:ascii="Times New Roman" w:hAnsi="Times New Roman" w:cs="Times New Roman"/>
          <w:noProof/>
        </w:rPr>
      </w:pPr>
    </w:p>
    <w:p w14:paraId="33A24BB9"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2.</w:t>
      </w:r>
      <w:r w:rsidRPr="00AE0B87">
        <w:rPr>
          <w:rFonts w:ascii="Times New Roman" w:hAnsi="Times New Roman" w:cs="Times New Roman"/>
          <w:b/>
          <w:noProof/>
        </w:rPr>
        <w:tab/>
        <w:t>STATEMENT OF ACTIVE SUBSTANCE(S)</w:t>
      </w:r>
    </w:p>
    <w:p w14:paraId="743FD245" w14:textId="77777777" w:rsidR="00047E69" w:rsidRPr="00AE0B87" w:rsidRDefault="00047E69" w:rsidP="00B0734F">
      <w:pPr>
        <w:ind w:left="113" w:right="113"/>
        <w:rPr>
          <w:rFonts w:ascii="Times New Roman" w:hAnsi="Times New Roman" w:cs="Times New Roman"/>
          <w:noProof/>
        </w:rPr>
      </w:pPr>
    </w:p>
    <w:p w14:paraId="4F7287A5" w14:textId="77777777" w:rsidR="00047E69" w:rsidRPr="00AE0B87" w:rsidRDefault="00C210A5" w:rsidP="00B0734F">
      <w:pPr>
        <w:ind w:left="113" w:right="113"/>
        <w:rPr>
          <w:rFonts w:ascii="Times New Roman" w:hAnsi="Times New Roman" w:cs="Times New Roman"/>
        </w:rPr>
      </w:pPr>
      <w:r w:rsidRPr="00AE0B87">
        <w:rPr>
          <w:rFonts w:ascii="Times New Roman" w:eastAsia="맑은 고딕" w:hAnsi="Times New Roman" w:cs="Times New Roman"/>
          <w:lang w:eastAsia="ko-KR"/>
        </w:rPr>
        <w:t>Each vial contains 400 mg of bevacizumab</w:t>
      </w:r>
      <w:r w:rsidR="00A01A22" w:rsidRPr="00AE0B87">
        <w:rPr>
          <w:rFonts w:ascii="Times New Roman" w:eastAsia="맑은 고딕" w:hAnsi="Times New Roman" w:cs="Times New Roman"/>
          <w:lang w:eastAsia="ko-KR"/>
        </w:rPr>
        <w:t xml:space="preserve"> </w:t>
      </w:r>
      <w:r w:rsidR="00A01A22" w:rsidRPr="00AE0B87">
        <w:rPr>
          <w:rFonts w:ascii="Times New Roman" w:eastAsia="맑은 고딕" w:hAnsi="Times New Roman" w:cs="Times New Roman" w:hint="eastAsia"/>
          <w:lang w:eastAsia="ko-KR"/>
        </w:rPr>
        <w:t xml:space="preserve">in </w:t>
      </w:r>
      <w:r w:rsidR="00A01A22" w:rsidRPr="00AE0B87">
        <w:rPr>
          <w:rFonts w:ascii="Times New Roman" w:eastAsia="맑은 고딕" w:hAnsi="Times New Roman" w:cs="Times New Roman"/>
          <w:lang w:eastAsia="ko-KR"/>
        </w:rPr>
        <w:t>16 mL of concentrate.</w:t>
      </w:r>
    </w:p>
    <w:p w14:paraId="77CA920A" w14:textId="77777777" w:rsidR="00047E69" w:rsidRPr="00AE0B87" w:rsidRDefault="00047E69" w:rsidP="00B0734F">
      <w:pPr>
        <w:ind w:left="113" w:right="113"/>
        <w:rPr>
          <w:rFonts w:ascii="Times New Roman" w:hAnsi="Times New Roman" w:cs="Times New Roman"/>
          <w:noProof/>
        </w:rPr>
      </w:pPr>
    </w:p>
    <w:p w14:paraId="31518651" w14:textId="77777777" w:rsidR="00047E69" w:rsidRPr="00AE0B87" w:rsidRDefault="00047E69" w:rsidP="00B0734F">
      <w:pPr>
        <w:ind w:left="113" w:right="113"/>
        <w:rPr>
          <w:rFonts w:ascii="Times New Roman" w:hAnsi="Times New Roman" w:cs="Times New Roman"/>
          <w:noProof/>
        </w:rPr>
      </w:pPr>
    </w:p>
    <w:p w14:paraId="1F9A8E7F"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3.</w:t>
      </w:r>
      <w:r w:rsidRPr="00AE0B87">
        <w:rPr>
          <w:rFonts w:ascii="Times New Roman" w:hAnsi="Times New Roman" w:cs="Times New Roman"/>
          <w:b/>
          <w:noProof/>
        </w:rPr>
        <w:tab/>
        <w:t>LIST OF EXCIPIENTS</w:t>
      </w:r>
    </w:p>
    <w:p w14:paraId="0759530A" w14:textId="77777777" w:rsidR="00047E69" w:rsidRPr="00AE0B87" w:rsidRDefault="00047E69" w:rsidP="00B0734F">
      <w:pPr>
        <w:ind w:left="113" w:right="113"/>
        <w:rPr>
          <w:rFonts w:ascii="Times New Roman" w:eastAsia="맑은 고딕" w:hAnsi="Times New Roman" w:cs="Times New Roman"/>
          <w:noProof/>
          <w:lang w:eastAsia="ko-KR"/>
        </w:rPr>
      </w:pPr>
    </w:p>
    <w:p w14:paraId="08D36341" w14:textId="39DD62E6"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hint="eastAsia"/>
          <w:lang w:eastAsia="ko-KR"/>
        </w:rPr>
        <w:t>T</w:t>
      </w:r>
      <w:r w:rsidRPr="00AE0B87">
        <w:rPr>
          <w:rFonts w:ascii="Times New Roman" w:hAnsi="Times New Roman" w:cs="Times New Roman"/>
        </w:rPr>
        <w:t>rehalose d</w:t>
      </w:r>
      <w:r w:rsidR="00975A2F" w:rsidRPr="00AE0B87">
        <w:rPr>
          <w:rFonts w:ascii="Times New Roman" w:hAnsi="Times New Roman" w:cs="Times New Roman"/>
        </w:rPr>
        <w:t>i</w:t>
      </w:r>
      <w:r w:rsidRPr="00AE0B87">
        <w:rPr>
          <w:rFonts w:ascii="Times New Roman" w:hAnsi="Times New Roman" w:cs="Times New Roman"/>
        </w:rPr>
        <w:t>hydrate, sodium phosphate, polysorbate 20, water for injections</w:t>
      </w:r>
      <w:r w:rsidR="004C40CF">
        <w:rPr>
          <w:rFonts w:ascii="Times New Roman" w:hAnsi="Times New Roman" w:cs="Times New Roman" w:hint="eastAsia"/>
          <w:lang w:eastAsia="ko-KR"/>
        </w:rPr>
        <w:t>.</w:t>
      </w:r>
    </w:p>
    <w:p w14:paraId="30936611" w14:textId="77777777" w:rsidR="00047E69" w:rsidRPr="00AE0B87" w:rsidRDefault="00047E69" w:rsidP="00B0734F">
      <w:pPr>
        <w:ind w:left="113" w:right="113"/>
        <w:rPr>
          <w:rFonts w:ascii="Times New Roman" w:eastAsia="맑은 고딕" w:hAnsi="Times New Roman" w:cs="Times New Roman"/>
          <w:noProof/>
          <w:lang w:eastAsia="ko-KR"/>
        </w:rPr>
      </w:pPr>
    </w:p>
    <w:p w14:paraId="21BF6F85" w14:textId="77777777" w:rsidR="00047E69" w:rsidRPr="00AE0B87" w:rsidRDefault="00047E69" w:rsidP="00B0734F">
      <w:pPr>
        <w:ind w:left="113" w:right="113"/>
        <w:rPr>
          <w:rFonts w:ascii="Times New Roman" w:hAnsi="Times New Roman" w:cs="Times New Roman"/>
          <w:noProof/>
        </w:rPr>
      </w:pPr>
    </w:p>
    <w:p w14:paraId="482616E2"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4.</w:t>
      </w:r>
      <w:r w:rsidRPr="00AE0B87">
        <w:rPr>
          <w:rFonts w:ascii="Times New Roman" w:hAnsi="Times New Roman" w:cs="Times New Roman"/>
          <w:b/>
          <w:noProof/>
        </w:rPr>
        <w:tab/>
        <w:t>PHARMACEUTICAL FORM AND CONTENTS</w:t>
      </w:r>
    </w:p>
    <w:p w14:paraId="7848C692" w14:textId="77777777" w:rsidR="00047E69" w:rsidRPr="00AE0B87" w:rsidRDefault="00047E69" w:rsidP="00B0734F">
      <w:pPr>
        <w:ind w:left="113" w:right="113"/>
        <w:rPr>
          <w:rFonts w:ascii="Times New Roman" w:hAnsi="Times New Roman" w:cs="Times New Roman"/>
          <w:noProof/>
        </w:rPr>
      </w:pPr>
    </w:p>
    <w:p w14:paraId="1AF6D384" w14:textId="77777777" w:rsidR="00047E69" w:rsidRPr="00AE0B87" w:rsidRDefault="00C210A5" w:rsidP="00B0734F">
      <w:pPr>
        <w:ind w:left="113" w:right="113"/>
        <w:rPr>
          <w:rFonts w:ascii="Times New Roman" w:hAnsi="Times New Roman" w:cs="Times New Roman"/>
        </w:rPr>
      </w:pPr>
      <w:r w:rsidRPr="00AE0B87">
        <w:rPr>
          <w:rFonts w:ascii="Times New Roman" w:hAnsi="Times New Roman" w:cs="Times New Roman"/>
          <w:highlight w:val="lightGray"/>
        </w:rPr>
        <w:t>Concentrate for solution for infusion</w:t>
      </w:r>
    </w:p>
    <w:p w14:paraId="267ADE56" w14:textId="77777777" w:rsidR="00DC1C1A" w:rsidRPr="00AE0B87" w:rsidRDefault="00DC1C1A" w:rsidP="00B0734F">
      <w:pPr>
        <w:ind w:left="113" w:right="113"/>
        <w:rPr>
          <w:rFonts w:ascii="Times New Roman" w:hAnsi="Times New Roman" w:cs="Times New Roman"/>
        </w:rPr>
      </w:pPr>
    </w:p>
    <w:p w14:paraId="4B2F309B" w14:textId="386A4488" w:rsidR="00DC1C1A" w:rsidRPr="00AE0B87" w:rsidRDefault="00DC1C1A" w:rsidP="00B0734F">
      <w:pPr>
        <w:ind w:left="113" w:right="113"/>
        <w:rPr>
          <w:rFonts w:ascii="Times New Roman" w:hAnsi="Times New Roman" w:cs="Times New Roman"/>
          <w:highlight w:val="lightGray"/>
        </w:rPr>
      </w:pPr>
      <w:r w:rsidRPr="00AE0B87">
        <w:rPr>
          <w:rFonts w:ascii="Times New Roman" w:hAnsi="Times New Roman" w:cs="Times New Roman"/>
        </w:rPr>
        <w:t xml:space="preserve">1 vial </w:t>
      </w:r>
      <w:r w:rsidRPr="00AE0B87">
        <w:rPr>
          <w:rFonts w:ascii="Times New Roman" w:hAnsi="Times New Roman" w:cs="Times New Roman"/>
          <w:highlight w:val="lightGray"/>
        </w:rPr>
        <w:t>of 16 mL</w:t>
      </w:r>
    </w:p>
    <w:p w14:paraId="1AF4FCCA" w14:textId="77777777" w:rsidR="00732E2D" w:rsidRDefault="00732E2D" w:rsidP="00B0734F">
      <w:pPr>
        <w:ind w:left="113" w:right="113"/>
        <w:rPr>
          <w:rFonts w:ascii="Times New Roman" w:hAnsi="Times New Roman" w:cs="Times New Roman"/>
          <w:highlight w:val="lightGray"/>
          <w:lang w:eastAsia="ko-KR"/>
        </w:rPr>
      </w:pPr>
      <w:r>
        <w:rPr>
          <w:rFonts w:ascii="Times New Roman" w:hAnsi="Times New Roman" w:cs="Times New Roman" w:hint="eastAsia"/>
          <w:highlight w:val="lightGray"/>
          <w:lang w:eastAsia="ko-KR"/>
        </w:rPr>
        <w:t>2 vials of 16 mL</w:t>
      </w:r>
    </w:p>
    <w:p w14:paraId="6C688964" w14:textId="6C1C7658" w:rsidR="00DC1C1A" w:rsidRPr="00AE0B87" w:rsidRDefault="00DC1C1A" w:rsidP="00B0734F">
      <w:pPr>
        <w:ind w:left="113" w:right="113"/>
        <w:rPr>
          <w:rFonts w:ascii="Times New Roman" w:hAnsi="Times New Roman" w:cs="Times New Roman"/>
        </w:rPr>
      </w:pPr>
      <w:r w:rsidRPr="00AE0B87">
        <w:rPr>
          <w:rFonts w:ascii="Times New Roman" w:hAnsi="Times New Roman" w:cs="Times New Roman"/>
          <w:highlight w:val="lightGray"/>
        </w:rPr>
        <w:t>10 vials of 16 mL</w:t>
      </w:r>
    </w:p>
    <w:p w14:paraId="016BAE6E" w14:textId="77777777" w:rsidR="00DC1C1A" w:rsidRPr="00AE0B87" w:rsidRDefault="00DC1C1A" w:rsidP="00B0734F">
      <w:pPr>
        <w:ind w:left="113" w:right="113"/>
        <w:rPr>
          <w:rFonts w:ascii="Times New Roman" w:hAnsi="Times New Roman" w:cs="Times New Roman"/>
        </w:rPr>
      </w:pPr>
    </w:p>
    <w:p w14:paraId="1B0F510F" w14:textId="1451FF34" w:rsidR="00DC1C1A" w:rsidRPr="00AE0B87" w:rsidRDefault="00DC1C1A" w:rsidP="00B0734F">
      <w:pPr>
        <w:ind w:left="113" w:right="113"/>
        <w:rPr>
          <w:rFonts w:ascii="Times New Roman" w:eastAsia="맑은 고딕" w:hAnsi="Times New Roman" w:cs="Times New Roman"/>
          <w:lang w:eastAsia="ko-KR"/>
        </w:rPr>
      </w:pPr>
      <w:r w:rsidRPr="00AE0B87">
        <w:rPr>
          <w:rFonts w:ascii="Times New Roman" w:hAnsi="Times New Roman" w:cs="Times New Roman"/>
          <w:lang w:eastAsia="ko-KR"/>
        </w:rPr>
        <w:t>400</w:t>
      </w:r>
      <w:r w:rsidR="000871AA">
        <w:rPr>
          <w:rFonts w:ascii="Times New Roman" w:hAnsi="Times New Roman" w:cs="Times New Roman" w:hint="eastAsia"/>
          <w:lang w:eastAsia="ko-KR"/>
        </w:rPr>
        <w:t xml:space="preserve"> </w:t>
      </w:r>
      <w:r w:rsidRPr="00AE0B87">
        <w:rPr>
          <w:rFonts w:ascii="Times New Roman" w:hAnsi="Times New Roman" w:cs="Times New Roman"/>
          <w:lang w:eastAsia="ko-KR"/>
        </w:rPr>
        <w:t>mg/16</w:t>
      </w:r>
      <w:r w:rsidR="00636F4D">
        <w:rPr>
          <w:rFonts w:ascii="Times New Roman" w:hAnsi="Times New Roman" w:cs="Times New Roman" w:hint="eastAsia"/>
          <w:lang w:eastAsia="ko-KR"/>
        </w:rPr>
        <w:t xml:space="preserve"> </w:t>
      </w:r>
      <w:r w:rsidRPr="00AE0B87">
        <w:rPr>
          <w:rFonts w:ascii="Times New Roman" w:hAnsi="Times New Roman" w:cs="Times New Roman"/>
          <w:lang w:eastAsia="ko-KR"/>
        </w:rPr>
        <w:t>mL</w:t>
      </w:r>
    </w:p>
    <w:p w14:paraId="22FF935F" w14:textId="77777777" w:rsidR="00AD03D3" w:rsidRPr="00AE0B87" w:rsidRDefault="00AD03D3" w:rsidP="00B0734F">
      <w:pPr>
        <w:ind w:left="113" w:right="113"/>
        <w:rPr>
          <w:rFonts w:ascii="Times New Roman" w:eastAsia="맑은 고딕" w:hAnsi="Times New Roman" w:cs="Times New Roman"/>
          <w:noProof/>
          <w:lang w:eastAsia="ko-KR"/>
        </w:rPr>
      </w:pPr>
    </w:p>
    <w:p w14:paraId="41C56659" w14:textId="77777777" w:rsidR="00047E69" w:rsidRPr="00AE0B87" w:rsidRDefault="00047E69" w:rsidP="00B0734F">
      <w:pPr>
        <w:ind w:left="113" w:right="113"/>
        <w:rPr>
          <w:rFonts w:ascii="Times New Roman" w:eastAsia="맑은 고딕" w:hAnsi="Times New Roman" w:cs="Times New Roman"/>
          <w:noProof/>
          <w:lang w:eastAsia="ko-KR"/>
        </w:rPr>
      </w:pPr>
    </w:p>
    <w:p w14:paraId="4CF43F12"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5.</w:t>
      </w:r>
      <w:r w:rsidRPr="00AE0B87">
        <w:rPr>
          <w:rFonts w:ascii="Times New Roman" w:hAnsi="Times New Roman" w:cs="Times New Roman"/>
          <w:b/>
          <w:noProof/>
        </w:rPr>
        <w:tab/>
        <w:t>METHOD AND ROUTE(S) OF ADMINISTRATION</w:t>
      </w:r>
    </w:p>
    <w:p w14:paraId="51246E1B" w14:textId="77777777" w:rsidR="00047E69" w:rsidRPr="00AE0B87" w:rsidRDefault="00047E69" w:rsidP="00B0734F">
      <w:pPr>
        <w:ind w:left="113" w:right="113"/>
        <w:rPr>
          <w:rFonts w:ascii="Times New Roman" w:hAnsi="Times New Roman" w:cs="Times New Roman"/>
          <w:noProof/>
        </w:rPr>
      </w:pPr>
    </w:p>
    <w:p w14:paraId="7DA0D01B"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For intravenous use after dilution</w:t>
      </w:r>
      <w:r w:rsidRPr="00AE0B87">
        <w:rPr>
          <w:rFonts w:ascii="Times New Roman" w:eastAsia="맑은 고딕" w:hAnsi="Times New Roman" w:cs="Times New Roman"/>
          <w:lang w:eastAsia="ko-KR"/>
        </w:rPr>
        <w:t>.</w:t>
      </w:r>
    </w:p>
    <w:p w14:paraId="1D5C94E5"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Read the package leaflet before use.</w:t>
      </w:r>
    </w:p>
    <w:p w14:paraId="03C8DD0D" w14:textId="77777777" w:rsidR="00047E69" w:rsidRPr="00AE0B87" w:rsidRDefault="00047E69" w:rsidP="00B0734F">
      <w:pPr>
        <w:ind w:left="113" w:right="113"/>
        <w:rPr>
          <w:rFonts w:ascii="Times New Roman" w:hAnsi="Times New Roman" w:cs="Times New Roman"/>
          <w:noProof/>
        </w:rPr>
      </w:pPr>
    </w:p>
    <w:p w14:paraId="4BD4F69E" w14:textId="77777777" w:rsidR="00047E69" w:rsidRPr="00AE0B87" w:rsidRDefault="00047E69" w:rsidP="00B0734F">
      <w:pPr>
        <w:ind w:left="113" w:right="113"/>
        <w:rPr>
          <w:rFonts w:ascii="Times New Roman" w:eastAsia="맑은 고딕" w:hAnsi="Times New Roman" w:cs="Times New Roman"/>
          <w:noProof/>
          <w:lang w:eastAsia="ko-KR"/>
        </w:rPr>
      </w:pPr>
    </w:p>
    <w:p w14:paraId="4405DC65"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720" w:right="113" w:hanging="607"/>
        <w:rPr>
          <w:rFonts w:ascii="Times New Roman" w:hAnsi="Times New Roman" w:cs="Times New Roman"/>
          <w:noProof/>
        </w:rPr>
      </w:pPr>
      <w:r w:rsidRPr="00AE0B87">
        <w:rPr>
          <w:rFonts w:ascii="Times New Roman" w:hAnsi="Times New Roman" w:cs="Times New Roman"/>
          <w:b/>
          <w:noProof/>
        </w:rPr>
        <w:t>6.</w:t>
      </w:r>
      <w:r w:rsidRPr="00AE0B87">
        <w:rPr>
          <w:rFonts w:ascii="Times New Roman" w:hAnsi="Times New Roman" w:cs="Times New Roman"/>
          <w:b/>
          <w:noProof/>
        </w:rPr>
        <w:tab/>
        <w:t>SPECIAL WARNING THAT THE MEDICINAL PRODUCT MUST BE STORED OUT OF THE SIGHT AND REACH OF CHILDREN</w:t>
      </w:r>
    </w:p>
    <w:p w14:paraId="2FE4F618" w14:textId="77777777" w:rsidR="00047E69" w:rsidRPr="00AE0B87" w:rsidRDefault="00047E69" w:rsidP="00B0734F">
      <w:pPr>
        <w:ind w:left="113" w:right="113"/>
        <w:rPr>
          <w:rFonts w:ascii="Times New Roman" w:hAnsi="Times New Roman" w:cs="Times New Roman"/>
          <w:noProof/>
        </w:rPr>
      </w:pPr>
    </w:p>
    <w:p w14:paraId="7DC1C3AB" w14:textId="77777777" w:rsidR="00047E69" w:rsidRPr="00AE0B87" w:rsidRDefault="00C210A5" w:rsidP="00B0734F">
      <w:pPr>
        <w:ind w:left="113" w:right="113"/>
        <w:rPr>
          <w:rFonts w:ascii="Times New Roman" w:hAnsi="Times New Roman" w:cs="Times New Roman"/>
          <w:noProof/>
        </w:rPr>
      </w:pPr>
      <w:r w:rsidRPr="00AE0B87">
        <w:rPr>
          <w:rFonts w:ascii="Times New Roman" w:hAnsi="Times New Roman" w:cs="Times New Roman"/>
        </w:rPr>
        <w:t>Keep</w:t>
      </w:r>
      <w:r w:rsidRPr="00AE0B87">
        <w:rPr>
          <w:rFonts w:ascii="Times New Roman" w:hAnsi="Times New Roman" w:cs="Times New Roman"/>
          <w:noProof/>
        </w:rPr>
        <w:t xml:space="preserve"> out of the sight and reach of children.</w:t>
      </w:r>
    </w:p>
    <w:p w14:paraId="0D7C65DE" w14:textId="77777777" w:rsidR="00047E69" w:rsidRPr="00AE0B87" w:rsidRDefault="00047E69" w:rsidP="00B0734F">
      <w:pPr>
        <w:ind w:left="113" w:right="113"/>
        <w:rPr>
          <w:rFonts w:ascii="Times New Roman" w:hAnsi="Times New Roman" w:cs="Times New Roman"/>
          <w:noProof/>
        </w:rPr>
      </w:pPr>
    </w:p>
    <w:p w14:paraId="785CBB1B" w14:textId="77777777" w:rsidR="00047E69" w:rsidRPr="00AE0B87" w:rsidRDefault="00047E69" w:rsidP="00B0734F">
      <w:pPr>
        <w:ind w:left="113" w:right="113"/>
        <w:rPr>
          <w:rFonts w:ascii="Times New Roman" w:hAnsi="Times New Roman" w:cs="Times New Roman"/>
          <w:noProof/>
        </w:rPr>
      </w:pPr>
    </w:p>
    <w:p w14:paraId="1882E343"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7.</w:t>
      </w:r>
      <w:r w:rsidRPr="00AE0B87">
        <w:rPr>
          <w:rFonts w:ascii="Times New Roman" w:hAnsi="Times New Roman" w:cs="Times New Roman"/>
          <w:b/>
          <w:noProof/>
        </w:rPr>
        <w:tab/>
        <w:t>OTHER SPECIAL WARNING(S), IF NECESSARY</w:t>
      </w:r>
    </w:p>
    <w:p w14:paraId="70553CE8" w14:textId="77777777" w:rsidR="00047E69" w:rsidRPr="00AE0B87" w:rsidRDefault="00047E69" w:rsidP="00B0734F">
      <w:pPr>
        <w:ind w:left="113" w:right="113"/>
        <w:rPr>
          <w:rFonts w:ascii="Times New Roman" w:hAnsi="Times New Roman" w:cs="Times New Roman"/>
          <w:noProof/>
        </w:rPr>
      </w:pPr>
    </w:p>
    <w:p w14:paraId="110E79A2" w14:textId="77777777" w:rsidR="00047E69" w:rsidRPr="00AE0B87" w:rsidRDefault="00047E69" w:rsidP="00B0734F">
      <w:pPr>
        <w:tabs>
          <w:tab w:val="left" w:pos="749"/>
        </w:tabs>
        <w:ind w:left="113" w:right="113"/>
        <w:rPr>
          <w:rFonts w:ascii="Times New Roman" w:hAnsi="Times New Roman" w:cs="Times New Roman"/>
        </w:rPr>
      </w:pPr>
    </w:p>
    <w:p w14:paraId="735CFE4F"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rPr>
      </w:pPr>
      <w:r w:rsidRPr="00AE0B87">
        <w:rPr>
          <w:rFonts w:ascii="Times New Roman" w:hAnsi="Times New Roman" w:cs="Times New Roman"/>
          <w:b/>
        </w:rPr>
        <w:t>8.</w:t>
      </w:r>
      <w:r w:rsidRPr="00AE0B87">
        <w:rPr>
          <w:rFonts w:ascii="Times New Roman" w:hAnsi="Times New Roman" w:cs="Times New Roman"/>
          <w:b/>
        </w:rPr>
        <w:tab/>
        <w:t>EXPIRY DATE</w:t>
      </w:r>
    </w:p>
    <w:p w14:paraId="51952152" w14:textId="77777777" w:rsidR="00047E69" w:rsidRPr="00AE0B87" w:rsidRDefault="00047E69" w:rsidP="00B0734F">
      <w:pPr>
        <w:ind w:left="113" w:right="113"/>
        <w:rPr>
          <w:rFonts w:ascii="Times New Roman" w:hAnsi="Times New Roman" w:cs="Times New Roman"/>
        </w:rPr>
      </w:pPr>
    </w:p>
    <w:p w14:paraId="612C341C"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EXP</w:t>
      </w:r>
    </w:p>
    <w:p w14:paraId="77D7F088" w14:textId="50280167" w:rsidR="00047E69" w:rsidRPr="00AE0B87" w:rsidRDefault="00047E69" w:rsidP="00B0734F">
      <w:pPr>
        <w:ind w:left="113" w:right="113"/>
        <w:rPr>
          <w:rFonts w:ascii="Times New Roman" w:eastAsia="맑은 고딕" w:hAnsi="Times New Roman" w:cs="Times New Roman"/>
          <w:lang w:eastAsia="ko-KR"/>
        </w:rPr>
      </w:pPr>
    </w:p>
    <w:p w14:paraId="29CAAD27" w14:textId="77777777" w:rsidR="007A22A2" w:rsidRPr="00AE0B87" w:rsidRDefault="007A22A2" w:rsidP="00B0734F">
      <w:pPr>
        <w:ind w:left="113" w:right="113"/>
        <w:rPr>
          <w:rFonts w:ascii="Times New Roman" w:eastAsia="맑은 고딕" w:hAnsi="Times New Roman" w:cs="Times New Roman"/>
          <w:lang w:eastAsia="ko-KR"/>
        </w:rPr>
      </w:pPr>
    </w:p>
    <w:p w14:paraId="148334CC" w14:textId="77777777" w:rsidR="007A22A2" w:rsidRPr="00AE0B87" w:rsidRDefault="007A22A2"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9.</w:t>
      </w:r>
      <w:r w:rsidRPr="00AE0B87">
        <w:rPr>
          <w:rFonts w:ascii="Times New Roman" w:hAnsi="Times New Roman" w:cs="Times New Roman"/>
          <w:b/>
          <w:noProof/>
        </w:rPr>
        <w:tab/>
        <w:t>SPECIAL STORAGE CONDITIONS</w:t>
      </w:r>
    </w:p>
    <w:p w14:paraId="088D27A4" w14:textId="77777777" w:rsidR="007A22A2" w:rsidRPr="00AE0B87" w:rsidRDefault="007A22A2" w:rsidP="00B0734F">
      <w:pPr>
        <w:ind w:left="113" w:right="113"/>
        <w:rPr>
          <w:rFonts w:ascii="Times New Roman" w:hAnsi="Times New Roman" w:cs="Times New Roman"/>
          <w:noProof/>
        </w:rPr>
      </w:pPr>
    </w:p>
    <w:p w14:paraId="2A367487" w14:textId="77777777" w:rsidR="007A22A2" w:rsidRPr="00AE0B87" w:rsidRDefault="007A22A2" w:rsidP="00B0734F">
      <w:pPr>
        <w:ind w:left="113" w:right="113"/>
        <w:rPr>
          <w:rFonts w:ascii="Times New Roman" w:hAnsi="Times New Roman" w:cs="Times New Roman"/>
          <w:noProof/>
        </w:rPr>
      </w:pPr>
      <w:r w:rsidRPr="00AE0B87">
        <w:rPr>
          <w:rFonts w:ascii="Times New Roman" w:hAnsi="Times New Roman" w:cs="Times New Roman"/>
          <w:noProof/>
        </w:rPr>
        <w:t>Store in a refrigerator (2ºC - 8ºC).</w:t>
      </w:r>
    </w:p>
    <w:p w14:paraId="0621307E" w14:textId="77777777" w:rsidR="007A22A2" w:rsidRPr="00AE0B87" w:rsidRDefault="007A22A2" w:rsidP="00B0734F">
      <w:pPr>
        <w:autoSpaceDE w:val="0"/>
        <w:autoSpaceDN w:val="0"/>
        <w:adjustRightInd w:val="0"/>
        <w:ind w:left="113" w:right="113"/>
        <w:rPr>
          <w:rFonts w:ascii="Times New Roman" w:hAnsi="Times New Roman" w:cs="Times New Roman"/>
        </w:rPr>
      </w:pPr>
      <w:r w:rsidRPr="00AE0B87">
        <w:rPr>
          <w:rFonts w:ascii="Times New Roman" w:hAnsi="Times New Roman" w:cs="Times New Roman"/>
        </w:rPr>
        <w:t>Do not freeze.</w:t>
      </w:r>
    </w:p>
    <w:p w14:paraId="424E1642" w14:textId="77777777" w:rsidR="007A22A2" w:rsidRPr="00AE0B87" w:rsidRDefault="007A22A2" w:rsidP="00B0734F">
      <w:pPr>
        <w:ind w:left="113" w:right="113"/>
        <w:rPr>
          <w:rFonts w:ascii="Times New Roman" w:hAnsi="Times New Roman" w:cs="Times New Roman"/>
        </w:rPr>
      </w:pPr>
      <w:r w:rsidRPr="00AE0B87">
        <w:rPr>
          <w:rFonts w:ascii="Times New Roman" w:hAnsi="Times New Roman" w:cs="Times New Roman"/>
        </w:rPr>
        <w:lastRenderedPageBreak/>
        <w:t>Keep the vial in the outer carton in order to protect from light.</w:t>
      </w:r>
    </w:p>
    <w:p w14:paraId="48B8BC91" w14:textId="77777777" w:rsidR="007A22A2" w:rsidRPr="00AE0B87" w:rsidRDefault="007A22A2" w:rsidP="00B0734F">
      <w:pPr>
        <w:ind w:left="113" w:right="113"/>
        <w:rPr>
          <w:rFonts w:ascii="Times New Roman" w:hAnsi="Times New Roman" w:cs="Times New Roman"/>
          <w:noProof/>
        </w:rPr>
      </w:pPr>
    </w:p>
    <w:p w14:paraId="7226D14D" w14:textId="77777777" w:rsidR="007A22A2" w:rsidRPr="00AE0B87" w:rsidRDefault="007A22A2" w:rsidP="00B0734F">
      <w:pPr>
        <w:ind w:left="113" w:right="113"/>
        <w:rPr>
          <w:rFonts w:ascii="Times New Roman" w:hAnsi="Times New Roman" w:cs="Times New Roman"/>
          <w:noProof/>
        </w:rPr>
      </w:pPr>
    </w:p>
    <w:p w14:paraId="563873E1" w14:textId="77777777" w:rsidR="007A22A2" w:rsidRPr="00AE0B87" w:rsidRDefault="007A22A2" w:rsidP="00B0734F">
      <w:pPr>
        <w:pBdr>
          <w:top w:val="single" w:sz="4" w:space="1" w:color="auto"/>
          <w:left w:val="single" w:sz="4" w:space="4" w:color="auto"/>
          <w:bottom w:val="single" w:sz="4" w:space="1" w:color="auto"/>
          <w:right w:val="single" w:sz="4" w:space="4" w:color="auto"/>
        </w:pBdr>
        <w:ind w:left="720" w:right="113" w:hanging="607"/>
        <w:rPr>
          <w:rFonts w:ascii="Times New Roman" w:hAnsi="Times New Roman" w:cs="Times New Roman"/>
          <w:b/>
          <w:noProof/>
        </w:rPr>
      </w:pPr>
      <w:r w:rsidRPr="00AE0B87">
        <w:rPr>
          <w:rFonts w:ascii="Times New Roman" w:hAnsi="Times New Roman" w:cs="Times New Roman"/>
          <w:b/>
          <w:noProof/>
        </w:rPr>
        <w:t>10.</w:t>
      </w:r>
      <w:r w:rsidRPr="00AE0B87">
        <w:rPr>
          <w:rFonts w:ascii="Times New Roman" w:hAnsi="Times New Roman" w:cs="Times New Roman"/>
          <w:b/>
          <w:noProof/>
        </w:rPr>
        <w:tab/>
        <w:t>SPECIAL PRECAUTIONS FOR DISPOSAL OF UNUSED MEDICINAL PRODUCTS OR WASTE MATERIALS DERIVED FROM SUCH MEDICINAL PRODUCTS, IF APPROPRIATE</w:t>
      </w:r>
    </w:p>
    <w:p w14:paraId="1698F282" w14:textId="0FA204E4" w:rsidR="00047E69" w:rsidRPr="00AE0B87" w:rsidRDefault="00047E69" w:rsidP="00B0734F">
      <w:pPr>
        <w:ind w:right="113"/>
        <w:rPr>
          <w:rFonts w:ascii="Times New Roman" w:hAnsi="Times New Roman" w:cs="Times New Roman"/>
          <w:noProof/>
        </w:rPr>
      </w:pPr>
    </w:p>
    <w:p w14:paraId="55A25872" w14:textId="77777777" w:rsidR="007A22A2" w:rsidRPr="00AE0B87" w:rsidRDefault="007A22A2" w:rsidP="00B0734F">
      <w:pPr>
        <w:ind w:right="113"/>
        <w:rPr>
          <w:rFonts w:ascii="Times New Roman" w:hAnsi="Times New Roman" w:cs="Times New Roman"/>
          <w:noProof/>
        </w:rPr>
      </w:pPr>
    </w:p>
    <w:p w14:paraId="049C2A3D"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11.</w:t>
      </w:r>
      <w:r w:rsidRPr="00AE0B87">
        <w:rPr>
          <w:rFonts w:ascii="Times New Roman" w:hAnsi="Times New Roman" w:cs="Times New Roman"/>
          <w:b/>
          <w:noProof/>
        </w:rPr>
        <w:tab/>
        <w:t>NAME AND ADDRESS OF THE MARKETING AUTHORISATION HOLDER</w:t>
      </w:r>
    </w:p>
    <w:p w14:paraId="760D24CC" w14:textId="77777777" w:rsidR="00047E69" w:rsidRPr="00AE0B87" w:rsidRDefault="00047E69" w:rsidP="00B0734F">
      <w:pPr>
        <w:ind w:left="113" w:right="113"/>
        <w:rPr>
          <w:rFonts w:ascii="Times New Roman" w:hAnsi="Times New Roman" w:cs="Times New Roman"/>
          <w:noProof/>
        </w:rPr>
      </w:pPr>
    </w:p>
    <w:p w14:paraId="7149A09D"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 xml:space="preserve">Celltrion Healthcare Hungary Kft. </w:t>
      </w:r>
    </w:p>
    <w:p w14:paraId="30A3A6A4"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바탕" w:hAnsi="Times New Roman" w:cs="Times New Roman"/>
        </w:rPr>
        <w:t xml:space="preserve">1062 </w:t>
      </w:r>
      <w:r w:rsidRPr="00AE0B87">
        <w:rPr>
          <w:rFonts w:ascii="Times New Roman" w:eastAsia="맑은 고딕" w:hAnsi="Times New Roman" w:cs="Times New Roman"/>
          <w:lang w:eastAsia="ko-KR"/>
        </w:rPr>
        <w:t>Budapest</w:t>
      </w:r>
    </w:p>
    <w:p w14:paraId="113CA1F2" w14:textId="77777777" w:rsidR="00047E69" w:rsidRPr="00AE0B87" w:rsidRDefault="00C210A5" w:rsidP="00B0734F">
      <w:pPr>
        <w:ind w:left="113" w:right="113"/>
        <w:rPr>
          <w:rFonts w:ascii="Times New Roman" w:eastAsia="바탕" w:hAnsi="Times New Roman" w:cs="Times New Roman"/>
        </w:rPr>
      </w:pPr>
      <w:r w:rsidRPr="00AE0B87">
        <w:rPr>
          <w:rFonts w:ascii="Times New Roman" w:eastAsia="바탕" w:hAnsi="Times New Roman" w:cs="Times New Roman"/>
        </w:rPr>
        <w:t>Váci út 1-3. WestEnd Office Building B torony</w:t>
      </w:r>
    </w:p>
    <w:p w14:paraId="5E1D7583"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Hungary</w:t>
      </w:r>
    </w:p>
    <w:p w14:paraId="2B321010" w14:textId="77777777" w:rsidR="00047E69" w:rsidRPr="00AE0B87" w:rsidRDefault="00047E69" w:rsidP="00B0734F">
      <w:pPr>
        <w:ind w:left="113" w:right="113"/>
        <w:rPr>
          <w:rFonts w:ascii="Times New Roman" w:hAnsi="Times New Roman" w:cs="Times New Roman"/>
          <w:noProof/>
        </w:rPr>
      </w:pPr>
    </w:p>
    <w:p w14:paraId="3A9EF7C0" w14:textId="77777777" w:rsidR="00047E69" w:rsidRPr="00AE0B87" w:rsidRDefault="00047E69" w:rsidP="00B0734F">
      <w:pPr>
        <w:ind w:left="113" w:right="113"/>
        <w:rPr>
          <w:rFonts w:ascii="Times New Roman" w:hAnsi="Times New Roman" w:cs="Times New Roman"/>
          <w:noProof/>
        </w:rPr>
      </w:pPr>
    </w:p>
    <w:p w14:paraId="7F935497"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12.</w:t>
      </w:r>
      <w:r w:rsidRPr="00AE0B87">
        <w:rPr>
          <w:rFonts w:ascii="Times New Roman" w:hAnsi="Times New Roman" w:cs="Times New Roman"/>
          <w:b/>
          <w:noProof/>
        </w:rPr>
        <w:tab/>
        <w:t xml:space="preserve">MARKETING AUTHORISATION NUMBER(S) </w:t>
      </w:r>
    </w:p>
    <w:p w14:paraId="52212EDF" w14:textId="77777777" w:rsidR="00047E69" w:rsidRPr="00AE0B87" w:rsidRDefault="00047E69" w:rsidP="00B0734F">
      <w:pPr>
        <w:ind w:left="113" w:right="113"/>
        <w:rPr>
          <w:rFonts w:ascii="Times New Roman" w:hAnsi="Times New Roman" w:cs="Times New Roman"/>
          <w:noProof/>
        </w:rPr>
      </w:pPr>
    </w:p>
    <w:p w14:paraId="5E101154" w14:textId="1FDFBEB3" w:rsidR="00A01A22" w:rsidRPr="00AE0B87" w:rsidRDefault="00C210A5" w:rsidP="00B0734F">
      <w:pPr>
        <w:ind w:left="113" w:right="113"/>
        <w:rPr>
          <w:rFonts w:ascii="Times New Roman" w:eastAsia="바탕" w:hAnsi="Times New Roman" w:cs="Times New Roman"/>
          <w:highlight w:val="lightGray"/>
        </w:rPr>
      </w:pPr>
      <w:bookmarkStart w:id="25" w:name="_Hlk107231072"/>
      <w:bookmarkStart w:id="26" w:name="_Hlk107301723"/>
      <w:r w:rsidRPr="00AE0B87">
        <w:rPr>
          <w:rFonts w:ascii="Times New Roman" w:eastAsia="바탕" w:hAnsi="Times New Roman" w:cs="Times New Roman"/>
        </w:rPr>
        <w:t>E</w:t>
      </w:r>
      <w:bookmarkStart w:id="27" w:name="_Hlk107294143"/>
      <w:r w:rsidRPr="00AE0B87">
        <w:rPr>
          <w:rFonts w:ascii="Times New Roman" w:eastAsia="바탕" w:hAnsi="Times New Roman" w:cs="Times New Roman"/>
        </w:rPr>
        <w:t>U</w:t>
      </w:r>
      <w:bookmarkStart w:id="28" w:name="_Hlk107293242"/>
      <w:r w:rsidR="00AC3D30" w:rsidRPr="00AE0B87">
        <w:rPr>
          <w:rFonts w:ascii="Times New Roman" w:eastAsia="바탕" w:hAnsi="Times New Roman" w:cs="Times New Roman"/>
        </w:rPr>
        <w:t>/</w:t>
      </w:r>
      <w:bookmarkStart w:id="29" w:name="_Hlk107293709"/>
      <w:r w:rsidR="00AC3D30" w:rsidRPr="00AE0B87">
        <w:rPr>
          <w:rFonts w:ascii="Times New Roman" w:eastAsia="바탕" w:hAnsi="Times New Roman" w:cs="Times New Roman"/>
        </w:rPr>
        <w:t xml:space="preserve">1/22/1667/002 </w:t>
      </w:r>
      <w:bookmarkEnd w:id="25"/>
      <w:bookmarkEnd w:id="27"/>
      <w:bookmarkEnd w:id="28"/>
      <w:bookmarkEnd w:id="29"/>
      <w:r w:rsidRPr="00AE0B87">
        <w:rPr>
          <w:rFonts w:ascii="Times New Roman" w:eastAsia="바탕" w:hAnsi="Times New Roman" w:cs="Times New Roman"/>
          <w:highlight w:val="lightGray"/>
        </w:rPr>
        <w:t>1 vial</w:t>
      </w:r>
    </w:p>
    <w:p w14:paraId="2975A812" w14:textId="16A6676C" w:rsidR="00047E69" w:rsidRDefault="00C210A5" w:rsidP="00B0734F">
      <w:pPr>
        <w:ind w:left="113" w:right="113"/>
        <w:rPr>
          <w:rFonts w:ascii="Times New Roman" w:eastAsia="바탕" w:hAnsi="Times New Roman" w:cs="Times New Roman"/>
        </w:rPr>
      </w:pPr>
      <w:bookmarkStart w:id="30" w:name="_Hlk107231083"/>
      <w:r w:rsidRPr="00AE0B87">
        <w:rPr>
          <w:rFonts w:ascii="Times New Roman" w:eastAsia="바탕" w:hAnsi="Times New Roman" w:cs="Times New Roman"/>
          <w:highlight w:val="lightGray"/>
        </w:rPr>
        <w:t>EU/</w:t>
      </w:r>
      <w:r w:rsidR="00AC3D30" w:rsidRPr="00AE0B87">
        <w:rPr>
          <w:rFonts w:ascii="Times New Roman" w:eastAsia="바탕" w:hAnsi="Times New Roman" w:cs="Times New Roman"/>
          <w:highlight w:val="lightGray"/>
        </w:rPr>
        <w:t>1/22/1667/004</w:t>
      </w:r>
      <w:r w:rsidRPr="00AE0B87">
        <w:rPr>
          <w:rFonts w:ascii="Times New Roman" w:eastAsia="바탕" w:hAnsi="Times New Roman" w:cs="Times New Roman"/>
          <w:highlight w:val="lightGray"/>
        </w:rPr>
        <w:t xml:space="preserve"> </w:t>
      </w:r>
      <w:bookmarkEnd w:id="26"/>
      <w:bookmarkEnd w:id="30"/>
      <w:r w:rsidRPr="00AE0B87">
        <w:rPr>
          <w:rFonts w:ascii="Times New Roman" w:eastAsia="바탕" w:hAnsi="Times New Roman" w:cs="Times New Roman"/>
          <w:highlight w:val="lightGray"/>
        </w:rPr>
        <w:t>10 vials</w:t>
      </w:r>
    </w:p>
    <w:p w14:paraId="5797EB93" w14:textId="479B014E" w:rsidR="0067699B" w:rsidRPr="005C287F" w:rsidRDefault="0067699B" w:rsidP="00B0734F">
      <w:pPr>
        <w:ind w:left="113" w:right="113"/>
        <w:rPr>
          <w:rFonts w:ascii="Times New Roman" w:eastAsia="바탕" w:hAnsi="Times New Roman" w:cs="Times New Roman"/>
          <w:highlight w:val="lightGray"/>
        </w:rPr>
      </w:pPr>
      <w:r w:rsidRPr="005C287F">
        <w:rPr>
          <w:rFonts w:ascii="Times New Roman" w:eastAsia="바탕" w:hAnsi="Times New Roman" w:cs="Times New Roman" w:hint="eastAsia"/>
          <w:highlight w:val="lightGray"/>
        </w:rPr>
        <w:t>EU/1/22/1667/005 2 vials</w:t>
      </w:r>
    </w:p>
    <w:p w14:paraId="21BD8B3D" w14:textId="18BA1B2B" w:rsidR="00047E69" w:rsidRPr="00AE0B87" w:rsidRDefault="00047E69" w:rsidP="00B0734F">
      <w:pPr>
        <w:ind w:left="113" w:right="113"/>
        <w:rPr>
          <w:rFonts w:ascii="Times New Roman" w:hAnsi="Times New Roman" w:cs="Times New Roman"/>
          <w:noProof/>
          <w:lang w:eastAsia="ko-KR"/>
        </w:rPr>
      </w:pPr>
    </w:p>
    <w:p w14:paraId="36B0FCDD" w14:textId="77777777" w:rsidR="00865E0E" w:rsidRPr="00AE0B87" w:rsidRDefault="00865E0E" w:rsidP="00B0734F">
      <w:pPr>
        <w:ind w:left="113" w:right="113"/>
        <w:rPr>
          <w:rFonts w:ascii="Times New Roman" w:hAnsi="Times New Roman" w:cs="Times New Roman"/>
          <w:noProof/>
          <w:lang w:eastAsia="ko-KR"/>
        </w:rPr>
      </w:pPr>
    </w:p>
    <w:p w14:paraId="7F936EAF"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13.</w:t>
      </w:r>
      <w:r w:rsidRPr="00AE0B87">
        <w:rPr>
          <w:rFonts w:ascii="Times New Roman" w:hAnsi="Times New Roman" w:cs="Times New Roman"/>
          <w:b/>
          <w:noProof/>
        </w:rPr>
        <w:tab/>
        <w:t>BATCH NUMBER</w:t>
      </w:r>
    </w:p>
    <w:p w14:paraId="560A335F" w14:textId="77777777" w:rsidR="00047E69" w:rsidRPr="00AE0B87" w:rsidRDefault="00047E69" w:rsidP="00B0734F">
      <w:pPr>
        <w:ind w:left="113" w:right="113"/>
        <w:rPr>
          <w:rFonts w:ascii="Times New Roman" w:hAnsi="Times New Roman" w:cs="Times New Roman"/>
          <w:i/>
          <w:noProof/>
        </w:rPr>
      </w:pPr>
    </w:p>
    <w:p w14:paraId="6061B0D5"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eastAsia="맑은 고딕" w:hAnsi="Times New Roman" w:cs="Times New Roman"/>
          <w:lang w:eastAsia="ko-KR"/>
        </w:rPr>
        <w:t>Lot</w:t>
      </w:r>
    </w:p>
    <w:p w14:paraId="1EC9B5BF" w14:textId="77777777" w:rsidR="00047E69" w:rsidRPr="00AE0B87" w:rsidRDefault="00047E69" w:rsidP="00B0734F">
      <w:pPr>
        <w:ind w:left="113" w:right="113"/>
        <w:rPr>
          <w:rFonts w:ascii="Times New Roman" w:eastAsia="맑은 고딕" w:hAnsi="Times New Roman" w:cs="Times New Roman"/>
          <w:noProof/>
          <w:lang w:eastAsia="ko-KR"/>
        </w:rPr>
      </w:pPr>
    </w:p>
    <w:p w14:paraId="3B4E161C" w14:textId="77777777" w:rsidR="00047E69" w:rsidRPr="00AE0B87" w:rsidRDefault="00047E69" w:rsidP="00B0734F">
      <w:pPr>
        <w:ind w:left="113" w:right="113"/>
        <w:rPr>
          <w:rFonts w:ascii="Times New Roman" w:eastAsia="맑은 고딕" w:hAnsi="Times New Roman" w:cs="Times New Roman"/>
          <w:noProof/>
          <w:lang w:eastAsia="ko-KR"/>
        </w:rPr>
      </w:pPr>
    </w:p>
    <w:p w14:paraId="3DB31314"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14.</w:t>
      </w:r>
      <w:r w:rsidRPr="00AE0B87">
        <w:rPr>
          <w:rFonts w:ascii="Times New Roman" w:hAnsi="Times New Roman" w:cs="Times New Roman"/>
          <w:b/>
          <w:noProof/>
        </w:rPr>
        <w:tab/>
        <w:t>GENERAL CLASSIFICATION FOR SUPPLY</w:t>
      </w:r>
    </w:p>
    <w:p w14:paraId="19EFB71E" w14:textId="77777777" w:rsidR="00047E69" w:rsidRPr="00AE0B87" w:rsidRDefault="00047E69" w:rsidP="00B0734F">
      <w:pPr>
        <w:ind w:left="113" w:right="113"/>
        <w:rPr>
          <w:rFonts w:ascii="Times New Roman" w:eastAsia="SimSun" w:hAnsi="Times New Roman" w:cs="Times New Roman"/>
          <w:lang w:eastAsia="ko-KR"/>
        </w:rPr>
      </w:pPr>
    </w:p>
    <w:p w14:paraId="1C50AD01" w14:textId="77777777" w:rsidR="00047E69" w:rsidRPr="00AE0B87" w:rsidRDefault="00C210A5" w:rsidP="00B0734F">
      <w:pPr>
        <w:ind w:left="113" w:right="113"/>
        <w:rPr>
          <w:rFonts w:ascii="Times New Roman" w:eastAsia="SimSun" w:hAnsi="Times New Roman" w:cs="Times New Roman"/>
          <w:lang w:eastAsia="ko-KR"/>
        </w:rPr>
      </w:pPr>
      <w:r w:rsidRPr="00AE0B87">
        <w:rPr>
          <w:rFonts w:ascii="Times New Roman" w:eastAsia="SimSun" w:hAnsi="Times New Roman" w:cs="Times New Roman"/>
          <w:lang w:eastAsia="ko-KR"/>
        </w:rPr>
        <w:t>Medicinal product subject to medical prescription</w:t>
      </w:r>
    </w:p>
    <w:p w14:paraId="5E09AE31" w14:textId="77777777" w:rsidR="00047E69" w:rsidRPr="00AE0B87" w:rsidRDefault="00047E69" w:rsidP="00B0734F">
      <w:pPr>
        <w:ind w:left="113" w:right="113"/>
        <w:rPr>
          <w:rFonts w:ascii="Times New Roman" w:hAnsi="Times New Roman" w:cs="Times New Roman"/>
          <w:i/>
          <w:noProof/>
        </w:rPr>
      </w:pPr>
    </w:p>
    <w:p w14:paraId="346C7BCC" w14:textId="77777777" w:rsidR="00047E69" w:rsidRPr="00AE0B87" w:rsidRDefault="00047E69" w:rsidP="00B0734F">
      <w:pPr>
        <w:ind w:left="113" w:right="113"/>
        <w:rPr>
          <w:rFonts w:ascii="Times New Roman" w:hAnsi="Times New Roman" w:cs="Times New Roman"/>
          <w:noProof/>
        </w:rPr>
      </w:pPr>
    </w:p>
    <w:p w14:paraId="40D60D76"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15.</w:t>
      </w:r>
      <w:r w:rsidRPr="00AE0B87">
        <w:rPr>
          <w:rFonts w:ascii="Times New Roman" w:hAnsi="Times New Roman" w:cs="Times New Roman"/>
          <w:b/>
          <w:noProof/>
        </w:rPr>
        <w:tab/>
        <w:t>INSTRUCTIONS ON USE</w:t>
      </w:r>
    </w:p>
    <w:p w14:paraId="6ECF453A" w14:textId="77777777" w:rsidR="00047E69" w:rsidRPr="00AE0B87" w:rsidRDefault="00047E69" w:rsidP="00B0734F">
      <w:pPr>
        <w:ind w:left="113" w:right="113"/>
        <w:rPr>
          <w:rFonts w:ascii="Times New Roman" w:hAnsi="Times New Roman" w:cs="Times New Roman"/>
          <w:noProof/>
        </w:rPr>
      </w:pPr>
    </w:p>
    <w:p w14:paraId="209FA85A" w14:textId="77777777" w:rsidR="00047E69" w:rsidRPr="00AE0B87" w:rsidRDefault="00047E69" w:rsidP="00B0734F">
      <w:pPr>
        <w:ind w:left="113" w:right="113"/>
        <w:rPr>
          <w:rFonts w:ascii="Times New Roman" w:hAnsi="Times New Roman" w:cs="Times New Roman"/>
          <w:noProof/>
        </w:rPr>
      </w:pPr>
    </w:p>
    <w:p w14:paraId="280A35ED" w14:textId="77777777" w:rsidR="00047E69" w:rsidRPr="00AE0B87" w:rsidRDefault="00C210A5" w:rsidP="00B0734F">
      <w:pPr>
        <w:pBdr>
          <w:top w:val="single" w:sz="4" w:space="1" w:color="auto"/>
          <w:left w:val="single" w:sz="4" w:space="4" w:color="auto"/>
          <w:bottom w:val="single" w:sz="4" w:space="0" w:color="auto"/>
          <w:right w:val="single" w:sz="4" w:space="4" w:color="auto"/>
        </w:pBdr>
        <w:ind w:left="113" w:right="113"/>
        <w:rPr>
          <w:rFonts w:ascii="Times New Roman" w:hAnsi="Times New Roman" w:cs="Times New Roman"/>
          <w:noProof/>
        </w:rPr>
      </w:pPr>
      <w:r w:rsidRPr="00AE0B87">
        <w:rPr>
          <w:rFonts w:ascii="Times New Roman" w:hAnsi="Times New Roman" w:cs="Times New Roman"/>
          <w:b/>
          <w:noProof/>
        </w:rPr>
        <w:t>16.</w:t>
      </w:r>
      <w:r w:rsidRPr="00AE0B87">
        <w:rPr>
          <w:rFonts w:ascii="Times New Roman" w:hAnsi="Times New Roman" w:cs="Times New Roman"/>
          <w:b/>
          <w:noProof/>
        </w:rPr>
        <w:tab/>
        <w:t>INFORMATION IN BRAILLE</w:t>
      </w:r>
    </w:p>
    <w:p w14:paraId="2AC3858A" w14:textId="77777777" w:rsidR="00047E69" w:rsidRPr="00AE0B87" w:rsidRDefault="00047E69" w:rsidP="00B0734F">
      <w:pPr>
        <w:ind w:left="113" w:right="113"/>
        <w:rPr>
          <w:rFonts w:ascii="Times New Roman" w:hAnsi="Times New Roman" w:cs="Times New Roman"/>
          <w:noProof/>
        </w:rPr>
      </w:pPr>
    </w:p>
    <w:p w14:paraId="29E6BAB4" w14:textId="77777777" w:rsidR="00047E69" w:rsidRPr="00AE0B87" w:rsidRDefault="00C210A5" w:rsidP="00B0734F">
      <w:pPr>
        <w:ind w:left="113" w:right="113"/>
        <w:rPr>
          <w:rFonts w:ascii="Times New Roman" w:eastAsia="SimSun" w:hAnsi="Times New Roman" w:cs="Times New Roman"/>
          <w:lang w:eastAsia="ko-KR"/>
        </w:rPr>
      </w:pPr>
      <w:r w:rsidRPr="00AE0B87">
        <w:rPr>
          <w:rFonts w:ascii="Times New Roman" w:eastAsia="SimSun" w:hAnsi="Times New Roman" w:cs="Times New Roman"/>
          <w:highlight w:val="lightGray"/>
          <w:lang w:eastAsia="ko-KR"/>
        </w:rPr>
        <w:t>Justification for not including Braille accepted.</w:t>
      </w:r>
    </w:p>
    <w:p w14:paraId="13954E61" w14:textId="77777777" w:rsidR="00047E69" w:rsidRPr="00AE0B87" w:rsidRDefault="00047E69" w:rsidP="00B0734F">
      <w:pPr>
        <w:ind w:left="113" w:right="113"/>
        <w:rPr>
          <w:rFonts w:ascii="Times New Roman" w:hAnsi="Times New Roman" w:cs="Times New Roman"/>
          <w:noProof/>
          <w:shd w:val="clear" w:color="auto" w:fill="CCCCCC"/>
        </w:rPr>
      </w:pPr>
    </w:p>
    <w:p w14:paraId="61ECA18C" w14:textId="77777777" w:rsidR="00047E69" w:rsidRPr="00AE0B87" w:rsidRDefault="00047E69" w:rsidP="00B0734F">
      <w:pPr>
        <w:ind w:left="113" w:right="113"/>
        <w:rPr>
          <w:rFonts w:ascii="Times New Roman" w:hAnsi="Times New Roman" w:cs="Times New Roman"/>
          <w:noProof/>
          <w:shd w:val="clear" w:color="auto" w:fill="CCCCCC"/>
        </w:rPr>
      </w:pPr>
    </w:p>
    <w:p w14:paraId="4DFE6E8C" w14:textId="77777777" w:rsidR="00047E69" w:rsidRPr="00AE0B87" w:rsidRDefault="00C210A5" w:rsidP="00B0734F">
      <w:pPr>
        <w:pBdr>
          <w:top w:val="single" w:sz="4" w:space="1" w:color="auto"/>
          <w:left w:val="single" w:sz="4" w:space="4" w:color="auto"/>
          <w:bottom w:val="single" w:sz="4" w:space="0" w:color="auto"/>
          <w:right w:val="single" w:sz="4" w:space="4" w:color="auto"/>
        </w:pBdr>
        <w:ind w:left="113" w:right="113"/>
        <w:rPr>
          <w:rFonts w:ascii="Times New Roman" w:hAnsi="Times New Roman" w:cs="Times New Roman"/>
          <w:i/>
          <w:noProof/>
        </w:rPr>
      </w:pPr>
      <w:r w:rsidRPr="00AE0B87">
        <w:rPr>
          <w:rFonts w:ascii="Times New Roman" w:hAnsi="Times New Roman" w:cs="Times New Roman"/>
          <w:b/>
          <w:noProof/>
        </w:rPr>
        <w:t>17.</w:t>
      </w:r>
      <w:r w:rsidRPr="00AE0B87">
        <w:rPr>
          <w:rFonts w:ascii="Times New Roman" w:hAnsi="Times New Roman" w:cs="Times New Roman"/>
          <w:b/>
          <w:noProof/>
        </w:rPr>
        <w:tab/>
        <w:t>UNIQUE IDENTIFIER - 2D BARCODE</w:t>
      </w:r>
    </w:p>
    <w:p w14:paraId="34E3BFE9" w14:textId="77777777" w:rsidR="00047E69" w:rsidRPr="00AE0B87" w:rsidRDefault="00047E69" w:rsidP="00B0734F">
      <w:pPr>
        <w:ind w:left="113" w:right="113"/>
        <w:rPr>
          <w:rFonts w:ascii="Times New Roman" w:hAnsi="Times New Roman" w:cs="Times New Roman"/>
          <w:noProof/>
        </w:rPr>
      </w:pPr>
    </w:p>
    <w:p w14:paraId="20461953" w14:textId="77777777" w:rsidR="00047E69" w:rsidRPr="00AE0B87" w:rsidRDefault="00C210A5" w:rsidP="00B0734F">
      <w:pPr>
        <w:ind w:left="113" w:right="113"/>
        <w:rPr>
          <w:rFonts w:ascii="Times New Roman" w:hAnsi="Times New Roman" w:cs="Times New Roman"/>
          <w:noProof/>
          <w:shd w:val="clear" w:color="auto" w:fill="CCCCCC"/>
        </w:rPr>
      </w:pPr>
      <w:r w:rsidRPr="00AE0B87">
        <w:rPr>
          <w:rFonts w:ascii="Times New Roman" w:hAnsi="Times New Roman" w:cs="Times New Roman"/>
          <w:noProof/>
          <w:shd w:val="clear" w:color="auto" w:fill="CCCCCC"/>
        </w:rPr>
        <w:t>2D barcode carrying the unique identifier included.</w:t>
      </w:r>
    </w:p>
    <w:p w14:paraId="3C464A29" w14:textId="77777777" w:rsidR="00047E69" w:rsidRPr="00AE0B87" w:rsidRDefault="00047E69" w:rsidP="00B0734F">
      <w:pPr>
        <w:ind w:left="113" w:right="113"/>
        <w:rPr>
          <w:rFonts w:ascii="Times New Roman" w:hAnsi="Times New Roman" w:cs="Times New Roman"/>
          <w:noProof/>
          <w:vanish/>
        </w:rPr>
      </w:pPr>
    </w:p>
    <w:p w14:paraId="6F97EBE5" w14:textId="77777777" w:rsidR="00047E69" w:rsidRPr="00AE0B87" w:rsidRDefault="00047E69" w:rsidP="00B0734F">
      <w:pPr>
        <w:ind w:left="113" w:right="113"/>
        <w:rPr>
          <w:rFonts w:ascii="Times New Roman" w:hAnsi="Times New Roman" w:cs="Times New Roman"/>
          <w:b/>
          <w:noProof/>
          <w:u w:val="single"/>
        </w:rPr>
      </w:pPr>
    </w:p>
    <w:p w14:paraId="3241AAB3" w14:textId="77777777" w:rsidR="00047E69" w:rsidRPr="00AE0B87" w:rsidRDefault="00047E69" w:rsidP="00B0734F">
      <w:pPr>
        <w:ind w:left="113" w:right="113"/>
        <w:rPr>
          <w:rFonts w:ascii="Times New Roman" w:hAnsi="Times New Roman" w:cs="Times New Roman"/>
          <w:noProof/>
        </w:rPr>
      </w:pPr>
    </w:p>
    <w:p w14:paraId="1C3E6E45" w14:textId="77777777" w:rsidR="00047E69" w:rsidRPr="00AE0B87" w:rsidRDefault="00C210A5" w:rsidP="00B0734F">
      <w:pPr>
        <w:pBdr>
          <w:top w:val="single" w:sz="4" w:space="1" w:color="auto"/>
          <w:left w:val="single" w:sz="4" w:space="4" w:color="auto"/>
          <w:bottom w:val="single" w:sz="4" w:space="0" w:color="auto"/>
          <w:right w:val="single" w:sz="4" w:space="4" w:color="auto"/>
        </w:pBdr>
        <w:ind w:left="113" w:right="113"/>
        <w:rPr>
          <w:rFonts w:ascii="Times New Roman" w:hAnsi="Times New Roman" w:cs="Times New Roman"/>
          <w:i/>
          <w:noProof/>
        </w:rPr>
      </w:pPr>
      <w:r w:rsidRPr="00AE0B87">
        <w:rPr>
          <w:rFonts w:ascii="Times New Roman" w:hAnsi="Times New Roman" w:cs="Times New Roman"/>
          <w:b/>
          <w:noProof/>
        </w:rPr>
        <w:t>18.</w:t>
      </w:r>
      <w:r w:rsidRPr="00AE0B87">
        <w:rPr>
          <w:rFonts w:ascii="Times New Roman" w:hAnsi="Times New Roman" w:cs="Times New Roman"/>
          <w:b/>
          <w:noProof/>
        </w:rPr>
        <w:tab/>
        <w:t>UNIQUE IDENTIFIER - HUMAN READABLE DATA</w:t>
      </w:r>
    </w:p>
    <w:p w14:paraId="22190D5B" w14:textId="77777777" w:rsidR="00047E69" w:rsidRPr="00AE0B87" w:rsidRDefault="00047E69" w:rsidP="00B0734F">
      <w:pPr>
        <w:ind w:left="113" w:right="113"/>
        <w:rPr>
          <w:rFonts w:ascii="Times New Roman" w:hAnsi="Times New Roman" w:cs="Times New Roman"/>
          <w:noProof/>
        </w:rPr>
      </w:pPr>
    </w:p>
    <w:p w14:paraId="3622300E" w14:textId="4FFB6F65"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PC</w:t>
      </w:r>
    </w:p>
    <w:p w14:paraId="589A5450" w14:textId="7BED52F9"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SN</w:t>
      </w:r>
    </w:p>
    <w:p w14:paraId="33A168FD" w14:textId="5A952021"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NN</w:t>
      </w:r>
    </w:p>
    <w:p w14:paraId="52458947" w14:textId="77777777" w:rsidR="00047E69" w:rsidRPr="00AE0B87" w:rsidRDefault="00047E69" w:rsidP="00B0734F">
      <w:pPr>
        <w:ind w:right="113"/>
        <w:rPr>
          <w:rFonts w:ascii="Times New Roman" w:eastAsia="맑은 고딕" w:hAnsi="Times New Roman" w:cs="Times New Roman"/>
          <w:lang w:eastAsia="ko-KR"/>
        </w:rPr>
      </w:pPr>
    </w:p>
    <w:p w14:paraId="50B03AB0" w14:textId="77777777" w:rsidR="00047E69" w:rsidRDefault="00047E69" w:rsidP="00B0734F">
      <w:pPr>
        <w:ind w:left="113" w:right="113"/>
        <w:rPr>
          <w:rFonts w:ascii="Times New Roman" w:hAnsi="Times New Roman" w:cs="Times New Roman"/>
          <w:noProof/>
          <w:vanish/>
        </w:rPr>
      </w:pPr>
    </w:p>
    <w:p w14:paraId="13C8603C" w14:textId="77777777" w:rsidR="00047E69" w:rsidRDefault="00047E69" w:rsidP="00B0734F">
      <w:pPr>
        <w:ind w:left="113" w:right="113"/>
        <w:rPr>
          <w:rFonts w:ascii="Times New Roman" w:hAnsi="Times New Roman" w:cs="Times New Roman"/>
          <w:noProof/>
          <w:vanish/>
        </w:rPr>
      </w:pPr>
    </w:p>
    <w:p w14:paraId="09209FAA" w14:textId="77777777" w:rsidR="00047E69" w:rsidRDefault="00047E69" w:rsidP="00B0734F">
      <w:pPr>
        <w:ind w:right="113"/>
        <w:rPr>
          <w:rFonts w:ascii="Times New Roman" w:hAnsi="Times New Roman" w:cs="Times New Roman"/>
          <w:b/>
          <w:noProof/>
        </w:rPr>
      </w:pPr>
    </w:p>
    <w:p w14:paraId="4399E345" w14:textId="77777777" w:rsidR="00811842" w:rsidRPr="00AE0B87" w:rsidRDefault="00811842" w:rsidP="00B0734F">
      <w:pPr>
        <w:pBdr>
          <w:top w:val="single" w:sz="4" w:space="1" w:color="auto"/>
          <w:left w:val="single" w:sz="4" w:space="4" w:color="auto"/>
          <w:bottom w:val="single" w:sz="4" w:space="1" w:color="auto"/>
          <w:right w:val="single" w:sz="4" w:space="4" w:color="auto"/>
        </w:pBdr>
        <w:ind w:left="113" w:right="113"/>
        <w:rPr>
          <w:rFonts w:ascii="Times New Roman" w:eastAsia="맑은 고딕" w:hAnsi="Times New Roman" w:cs="Times New Roman"/>
          <w:b/>
          <w:noProof/>
          <w:lang w:eastAsia="ko-KR"/>
        </w:rPr>
        <w:sectPr w:rsidR="00811842" w:rsidRPr="00AE0B87" w:rsidSect="0060266A">
          <w:endnotePr>
            <w:numFmt w:val="decimal"/>
          </w:endnotePr>
          <w:pgSz w:w="11910" w:h="16840" w:code="9"/>
          <w:pgMar w:top="1134" w:right="1418" w:bottom="1134" w:left="1418" w:header="737" w:footer="737" w:gutter="0"/>
          <w:cols w:space="720"/>
          <w:docGrid w:linePitch="299"/>
        </w:sectPr>
      </w:pPr>
    </w:p>
    <w:p w14:paraId="01B0B5D9"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eastAsia="맑은 고딕" w:hAnsi="Times New Roman" w:cs="Times New Roman"/>
          <w:b/>
          <w:noProof/>
          <w:lang w:eastAsia="ko-KR"/>
        </w:rPr>
        <w:lastRenderedPageBreak/>
        <w:t>MINIMUM</w:t>
      </w:r>
      <w:r w:rsidRPr="00AE0B87">
        <w:rPr>
          <w:rFonts w:ascii="Times New Roman" w:hAnsi="Times New Roman" w:cs="Times New Roman"/>
          <w:b/>
          <w:noProof/>
        </w:rPr>
        <w:t xml:space="preserve"> PARTICULARS TO APPEAR ON SMALL IMMEDIATE PACKAGING UNITS</w:t>
      </w:r>
    </w:p>
    <w:p w14:paraId="733CE8E5" w14:textId="77777777" w:rsidR="00047E69" w:rsidRPr="00AE0B87" w:rsidRDefault="00047E69"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p>
    <w:p w14:paraId="02BF99B3"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eastAsia="맑은 고딕" w:hAnsi="Times New Roman" w:cs="Times New Roman"/>
          <w:b/>
          <w:noProof/>
          <w:lang w:eastAsia="ko-KR"/>
        </w:rPr>
      </w:pPr>
      <w:r w:rsidRPr="00AE0B87">
        <w:rPr>
          <w:rFonts w:ascii="Times New Roman" w:eastAsia="맑은 고딕" w:hAnsi="Times New Roman" w:cs="Times New Roman"/>
          <w:b/>
          <w:noProof/>
          <w:lang w:eastAsia="ko-KR"/>
        </w:rPr>
        <w:t>VIAL</w:t>
      </w:r>
    </w:p>
    <w:p w14:paraId="0B781FDA" w14:textId="77777777" w:rsidR="00047E69" w:rsidRPr="00AE0B87" w:rsidRDefault="00047E69" w:rsidP="00B0734F">
      <w:pPr>
        <w:ind w:left="113" w:right="113"/>
        <w:rPr>
          <w:rFonts w:ascii="Times New Roman" w:hAnsi="Times New Roman" w:cs="Times New Roman"/>
          <w:noProof/>
        </w:rPr>
      </w:pPr>
    </w:p>
    <w:p w14:paraId="1A6AAE0A" w14:textId="77777777" w:rsidR="00047E69" w:rsidRPr="00AE0B87" w:rsidRDefault="00047E69" w:rsidP="00B0734F">
      <w:pPr>
        <w:ind w:left="113" w:right="113"/>
        <w:rPr>
          <w:rFonts w:ascii="Times New Roman" w:hAnsi="Times New Roman" w:cs="Times New Roman"/>
          <w:noProof/>
        </w:rPr>
      </w:pPr>
    </w:p>
    <w:p w14:paraId="09A376D1"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1.</w:t>
      </w:r>
      <w:r w:rsidRPr="00AE0B87">
        <w:rPr>
          <w:rFonts w:ascii="Times New Roman" w:hAnsi="Times New Roman" w:cs="Times New Roman"/>
          <w:b/>
          <w:noProof/>
        </w:rPr>
        <w:tab/>
        <w:t>NAME OF THE MEDICINAL PRODUCT AND ROUTE(S) OF ADMINISTRATION</w:t>
      </w:r>
    </w:p>
    <w:p w14:paraId="5F11D533" w14:textId="77777777" w:rsidR="00047E69" w:rsidRPr="00AE0B87" w:rsidRDefault="00047E69" w:rsidP="00B0734F">
      <w:pPr>
        <w:ind w:left="113" w:right="113" w:hanging="567"/>
        <w:rPr>
          <w:rFonts w:ascii="Times New Roman" w:hAnsi="Times New Roman" w:cs="Times New Roman"/>
          <w:noProof/>
        </w:rPr>
      </w:pPr>
    </w:p>
    <w:p w14:paraId="4A2D0099" w14:textId="67128E61" w:rsidR="00047E69" w:rsidRPr="00AE0B87" w:rsidRDefault="00A32819" w:rsidP="00B0734F">
      <w:pPr>
        <w:autoSpaceDE w:val="0"/>
        <w:autoSpaceDN w:val="0"/>
        <w:adjustRightInd w:val="0"/>
        <w:ind w:left="113" w:right="113"/>
        <w:rPr>
          <w:rFonts w:ascii="Times New Roman" w:hAnsi="Times New Roman" w:cs="Times New Roman"/>
        </w:rPr>
      </w:pPr>
      <w:r>
        <w:rPr>
          <w:rFonts w:ascii="Times New Roman" w:hAnsi="Times New Roman" w:cs="Times New Roman"/>
        </w:rPr>
        <w:t>Vegzelma</w:t>
      </w:r>
      <w:r>
        <w:rPr>
          <w:rFonts w:ascii="Times New Roman" w:hAnsi="Times New Roman" w:cs="Times New Roman" w:hint="eastAsia"/>
          <w:lang w:eastAsia="ko-KR"/>
        </w:rPr>
        <w:t xml:space="preserve"> </w:t>
      </w:r>
      <w:r w:rsidR="00C210A5" w:rsidRPr="00AE0B87">
        <w:rPr>
          <w:rFonts w:ascii="Times New Roman" w:hAnsi="Times New Roman" w:cs="Times New Roman"/>
        </w:rPr>
        <w:t xml:space="preserve">25 mg/mL </w:t>
      </w:r>
      <w:r w:rsidR="00AC3D30" w:rsidRPr="00AE0B87">
        <w:rPr>
          <w:rFonts w:ascii="Times New Roman" w:hAnsi="Times New Roman" w:cs="Times New Roman"/>
        </w:rPr>
        <w:t xml:space="preserve">Sterile </w:t>
      </w:r>
      <w:r w:rsidR="00FC79E2" w:rsidRPr="00AE0B87">
        <w:rPr>
          <w:rFonts w:ascii="Times New Roman" w:eastAsia="맑은 고딕" w:hAnsi="Times New Roman" w:cs="Times New Roman"/>
          <w:lang w:eastAsia="ko-KR"/>
        </w:rPr>
        <w:t>concentrate</w:t>
      </w:r>
    </w:p>
    <w:p w14:paraId="3B7CC181" w14:textId="77777777" w:rsidR="00047E69" w:rsidRPr="00AE0B87" w:rsidRDefault="00C210A5" w:rsidP="00B0734F">
      <w:pPr>
        <w:autoSpaceDE w:val="0"/>
        <w:autoSpaceDN w:val="0"/>
        <w:adjustRightInd w:val="0"/>
        <w:ind w:left="113" w:right="113"/>
        <w:rPr>
          <w:rFonts w:ascii="Times New Roman" w:hAnsi="Times New Roman" w:cs="Times New Roman"/>
        </w:rPr>
      </w:pPr>
      <w:r w:rsidRPr="00AE0B87">
        <w:rPr>
          <w:rFonts w:ascii="Times New Roman" w:hAnsi="Times New Roman" w:cs="Times New Roman"/>
        </w:rPr>
        <w:t>bevacizumab</w:t>
      </w:r>
    </w:p>
    <w:p w14:paraId="3C183620" w14:textId="77777777" w:rsidR="00047E69" w:rsidRPr="00AE0B87" w:rsidRDefault="00C210A5" w:rsidP="00B0734F">
      <w:pPr>
        <w:ind w:left="113" w:right="113"/>
        <w:rPr>
          <w:rFonts w:ascii="Times New Roman" w:hAnsi="Times New Roman" w:cs="Times New Roman"/>
          <w:noProof/>
        </w:rPr>
      </w:pPr>
      <w:r w:rsidRPr="00AE0B87">
        <w:rPr>
          <w:rFonts w:ascii="Times New Roman" w:hAnsi="Times New Roman" w:cs="Times New Roman"/>
        </w:rPr>
        <w:t>IV</w:t>
      </w:r>
      <w:r w:rsidRPr="00AE0B87">
        <w:rPr>
          <w:rFonts w:ascii="Times New Roman" w:hAnsi="Times New Roman" w:cs="Times New Roman"/>
          <w:noProof/>
        </w:rPr>
        <w:t xml:space="preserve"> </w:t>
      </w:r>
    </w:p>
    <w:p w14:paraId="07E12F50" w14:textId="77777777" w:rsidR="00047E69" w:rsidRPr="00AE0B87" w:rsidRDefault="00047E69" w:rsidP="00B0734F">
      <w:pPr>
        <w:ind w:left="113" w:right="113"/>
        <w:rPr>
          <w:rFonts w:ascii="Times New Roman" w:hAnsi="Times New Roman" w:cs="Times New Roman"/>
          <w:noProof/>
        </w:rPr>
      </w:pPr>
    </w:p>
    <w:p w14:paraId="64E0C0B0" w14:textId="77777777" w:rsidR="00047E69" w:rsidRPr="00AE0B87" w:rsidRDefault="00047E69" w:rsidP="00B0734F">
      <w:pPr>
        <w:ind w:left="113" w:right="113"/>
        <w:rPr>
          <w:rFonts w:ascii="Times New Roman" w:hAnsi="Times New Roman" w:cs="Times New Roman"/>
          <w:noProof/>
        </w:rPr>
      </w:pPr>
    </w:p>
    <w:p w14:paraId="1D4D1BB9"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2.</w:t>
      </w:r>
      <w:r w:rsidRPr="00AE0B87">
        <w:rPr>
          <w:rFonts w:ascii="Times New Roman" w:hAnsi="Times New Roman" w:cs="Times New Roman"/>
          <w:b/>
          <w:noProof/>
        </w:rPr>
        <w:tab/>
        <w:t>METHOD OF ADMINISTRATION</w:t>
      </w:r>
    </w:p>
    <w:p w14:paraId="322D3E62" w14:textId="77777777" w:rsidR="00047E69" w:rsidRPr="00AE0B87" w:rsidRDefault="00047E69" w:rsidP="00B0734F">
      <w:pPr>
        <w:ind w:left="113" w:right="113"/>
        <w:rPr>
          <w:rFonts w:ascii="Times New Roman" w:hAnsi="Times New Roman" w:cs="Times New Roman"/>
          <w:noProof/>
        </w:rPr>
      </w:pPr>
    </w:p>
    <w:p w14:paraId="0CBEF598" w14:textId="2CC07296" w:rsidR="00047E69" w:rsidRPr="00AE0B87" w:rsidRDefault="00C210A5" w:rsidP="00B0734F">
      <w:pPr>
        <w:ind w:left="113" w:right="113"/>
        <w:rPr>
          <w:rFonts w:ascii="Times New Roman" w:hAnsi="Times New Roman" w:cs="Times New Roman"/>
          <w:noProof/>
          <w:lang w:eastAsia="ko-KR"/>
        </w:rPr>
      </w:pPr>
      <w:r w:rsidRPr="00AE0B87">
        <w:rPr>
          <w:rFonts w:ascii="Times New Roman" w:hAnsi="Times New Roman" w:cs="Times New Roman" w:hint="eastAsia"/>
          <w:noProof/>
          <w:lang w:eastAsia="ko-KR"/>
        </w:rPr>
        <w:t xml:space="preserve">For </w:t>
      </w:r>
      <w:r w:rsidR="00865E0E" w:rsidRPr="00AE0B87">
        <w:rPr>
          <w:rFonts w:ascii="Times New Roman" w:hAnsi="Times New Roman" w:cs="Times New Roman"/>
          <w:noProof/>
          <w:lang w:eastAsia="ko-KR"/>
        </w:rPr>
        <w:t>IV</w:t>
      </w:r>
      <w:r w:rsidRPr="00AE0B87">
        <w:rPr>
          <w:rFonts w:ascii="Times New Roman" w:hAnsi="Times New Roman" w:cs="Times New Roman" w:hint="eastAsia"/>
          <w:noProof/>
          <w:lang w:eastAsia="ko-KR"/>
        </w:rPr>
        <w:t xml:space="preserve"> use after dilution</w:t>
      </w:r>
    </w:p>
    <w:p w14:paraId="14E08058" w14:textId="77777777" w:rsidR="00047E69" w:rsidRPr="00AE0B87" w:rsidRDefault="00047E69" w:rsidP="00B0734F">
      <w:pPr>
        <w:ind w:left="113" w:right="113"/>
        <w:rPr>
          <w:rFonts w:ascii="Times New Roman" w:hAnsi="Times New Roman" w:cs="Times New Roman"/>
          <w:noProof/>
          <w:lang w:eastAsia="ko-KR"/>
        </w:rPr>
      </w:pPr>
    </w:p>
    <w:p w14:paraId="03A86552" w14:textId="77777777" w:rsidR="00047E69" w:rsidRPr="00AE0B87" w:rsidRDefault="00047E69" w:rsidP="00B0734F">
      <w:pPr>
        <w:ind w:left="113" w:right="113"/>
        <w:rPr>
          <w:rFonts w:ascii="Times New Roman" w:hAnsi="Times New Roman" w:cs="Times New Roman"/>
          <w:noProof/>
          <w:lang w:eastAsia="ko-KR"/>
        </w:rPr>
      </w:pPr>
    </w:p>
    <w:p w14:paraId="6E43BADA"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3.</w:t>
      </w:r>
      <w:r w:rsidRPr="00AE0B87">
        <w:rPr>
          <w:rFonts w:ascii="Times New Roman" w:hAnsi="Times New Roman" w:cs="Times New Roman"/>
          <w:b/>
          <w:noProof/>
        </w:rPr>
        <w:tab/>
        <w:t>EXPIRY DATE</w:t>
      </w:r>
    </w:p>
    <w:p w14:paraId="376422A6" w14:textId="77777777" w:rsidR="00047E69" w:rsidRPr="00AE0B87" w:rsidRDefault="00047E69" w:rsidP="00B0734F">
      <w:pPr>
        <w:ind w:left="113" w:right="113"/>
        <w:rPr>
          <w:rFonts w:ascii="Times New Roman" w:eastAsia="맑은 고딕" w:hAnsi="Times New Roman" w:cs="Times New Roman"/>
          <w:lang w:eastAsia="ko-KR"/>
        </w:rPr>
      </w:pPr>
    </w:p>
    <w:p w14:paraId="1792120C" w14:textId="77777777" w:rsidR="00047E69" w:rsidRPr="00AE0B87" w:rsidRDefault="00C210A5" w:rsidP="00B0734F">
      <w:pPr>
        <w:ind w:left="113" w:right="113"/>
        <w:rPr>
          <w:rFonts w:ascii="Times New Roman" w:eastAsia="맑은 고딕" w:hAnsi="Times New Roman" w:cs="Times New Roman"/>
          <w:lang w:eastAsia="ko-KR"/>
        </w:rPr>
      </w:pPr>
      <w:r w:rsidRPr="00AE0B87">
        <w:rPr>
          <w:rFonts w:ascii="Times New Roman" w:hAnsi="Times New Roman" w:cs="Times New Roman"/>
        </w:rPr>
        <w:t>EXP</w:t>
      </w:r>
    </w:p>
    <w:p w14:paraId="59CB24BC" w14:textId="77777777" w:rsidR="00047E69" w:rsidRPr="00AE0B87" w:rsidRDefault="00047E69" w:rsidP="00B0734F">
      <w:pPr>
        <w:ind w:left="113" w:right="113"/>
        <w:rPr>
          <w:rFonts w:ascii="Times New Roman" w:eastAsia="맑은 고딕" w:hAnsi="Times New Roman" w:cs="Times New Roman"/>
          <w:lang w:eastAsia="ko-KR"/>
        </w:rPr>
      </w:pPr>
    </w:p>
    <w:p w14:paraId="614D19FC" w14:textId="77777777" w:rsidR="00047E69" w:rsidRPr="00AE0B87" w:rsidRDefault="00047E69" w:rsidP="00B0734F">
      <w:pPr>
        <w:ind w:left="113" w:right="113"/>
        <w:rPr>
          <w:rFonts w:ascii="Times New Roman" w:hAnsi="Times New Roman" w:cs="Times New Roman"/>
        </w:rPr>
      </w:pPr>
    </w:p>
    <w:p w14:paraId="65EAC2A5"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rPr>
      </w:pPr>
      <w:r w:rsidRPr="00AE0B87">
        <w:rPr>
          <w:rFonts w:ascii="Times New Roman" w:hAnsi="Times New Roman" w:cs="Times New Roman"/>
          <w:b/>
        </w:rPr>
        <w:t>4.</w:t>
      </w:r>
      <w:r w:rsidRPr="00AE0B87">
        <w:rPr>
          <w:rFonts w:ascii="Times New Roman" w:hAnsi="Times New Roman" w:cs="Times New Roman"/>
          <w:b/>
        </w:rPr>
        <w:tab/>
        <w:t xml:space="preserve">BATCH </w:t>
      </w:r>
      <w:r w:rsidRPr="00AE0B87">
        <w:rPr>
          <w:rFonts w:ascii="Times New Roman" w:hAnsi="Times New Roman" w:cs="Times New Roman"/>
          <w:b/>
          <w:noProof/>
        </w:rPr>
        <w:t>NUMBER</w:t>
      </w:r>
    </w:p>
    <w:p w14:paraId="7A3A1592" w14:textId="77777777" w:rsidR="00047E69" w:rsidRPr="00AE0B87" w:rsidRDefault="00047E69" w:rsidP="00B0734F">
      <w:pPr>
        <w:ind w:left="113" w:right="113"/>
        <w:rPr>
          <w:rFonts w:ascii="Times New Roman" w:hAnsi="Times New Roman" w:cs="Times New Roman"/>
        </w:rPr>
      </w:pPr>
    </w:p>
    <w:p w14:paraId="215A75E1" w14:textId="77777777" w:rsidR="00047E69" w:rsidRPr="00AE0B87" w:rsidRDefault="00C210A5" w:rsidP="00B0734F">
      <w:pPr>
        <w:ind w:left="113" w:right="113"/>
        <w:rPr>
          <w:rFonts w:ascii="Times New Roman" w:hAnsi="Times New Roman" w:cs="Times New Roman"/>
        </w:rPr>
      </w:pPr>
      <w:r w:rsidRPr="00AE0B87">
        <w:rPr>
          <w:rFonts w:ascii="Times New Roman" w:hAnsi="Times New Roman" w:cs="Times New Roman"/>
        </w:rPr>
        <w:t>Lot</w:t>
      </w:r>
    </w:p>
    <w:p w14:paraId="26690BB0" w14:textId="77777777" w:rsidR="00047E69" w:rsidRPr="00AE0B87" w:rsidRDefault="00047E69" w:rsidP="00B0734F">
      <w:pPr>
        <w:ind w:left="113" w:right="113"/>
        <w:rPr>
          <w:rFonts w:ascii="Times New Roman" w:eastAsia="맑은 고딕" w:hAnsi="Times New Roman" w:cs="Times New Roman"/>
          <w:lang w:eastAsia="ko-KR"/>
        </w:rPr>
      </w:pPr>
    </w:p>
    <w:p w14:paraId="26F21556" w14:textId="77777777" w:rsidR="00047E69" w:rsidRPr="00AE0B87" w:rsidRDefault="00047E69" w:rsidP="00B0734F">
      <w:pPr>
        <w:ind w:left="113" w:right="113"/>
        <w:rPr>
          <w:rFonts w:ascii="Times New Roman" w:eastAsia="맑은 고딕" w:hAnsi="Times New Roman" w:cs="Times New Roman"/>
          <w:lang w:eastAsia="ko-KR"/>
        </w:rPr>
      </w:pPr>
    </w:p>
    <w:p w14:paraId="30295923"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5.</w:t>
      </w:r>
      <w:r w:rsidRPr="00AE0B87">
        <w:rPr>
          <w:rFonts w:ascii="Times New Roman" w:hAnsi="Times New Roman" w:cs="Times New Roman"/>
          <w:b/>
          <w:noProof/>
        </w:rPr>
        <w:tab/>
        <w:t>CONTENTS BY WEIGHT, BY VOLUME OR BY UNIT</w:t>
      </w:r>
    </w:p>
    <w:p w14:paraId="3D4D65D6" w14:textId="77777777" w:rsidR="00047E69" w:rsidRPr="00AE0B87" w:rsidRDefault="00047E69" w:rsidP="00B0734F">
      <w:pPr>
        <w:ind w:left="113" w:right="113"/>
        <w:rPr>
          <w:rFonts w:ascii="Times New Roman" w:hAnsi="Times New Roman" w:cs="Times New Roman"/>
          <w:noProof/>
        </w:rPr>
      </w:pPr>
    </w:p>
    <w:p w14:paraId="5D489F94" w14:textId="77777777" w:rsidR="00047E69" w:rsidRPr="00AE0B87" w:rsidRDefault="00C210A5" w:rsidP="00B0734F">
      <w:pPr>
        <w:ind w:left="113" w:right="113"/>
        <w:rPr>
          <w:rFonts w:ascii="Times New Roman" w:hAnsi="Times New Roman" w:cs="Times New Roman"/>
          <w:noProof/>
          <w:lang w:eastAsia="ko-KR"/>
        </w:rPr>
      </w:pPr>
      <w:r w:rsidRPr="00AE0B87">
        <w:rPr>
          <w:rFonts w:ascii="Times New Roman" w:hAnsi="Times New Roman" w:cs="Times New Roman" w:hint="eastAsia"/>
          <w:noProof/>
          <w:lang w:eastAsia="ko-KR"/>
        </w:rPr>
        <w:t>400 mg</w:t>
      </w:r>
      <w:r w:rsidRPr="00AE0B87">
        <w:rPr>
          <w:rFonts w:ascii="Times New Roman" w:hAnsi="Times New Roman" w:cs="Times New Roman"/>
          <w:noProof/>
          <w:lang w:eastAsia="ko-KR"/>
        </w:rPr>
        <w:t>/16 mL</w:t>
      </w:r>
    </w:p>
    <w:p w14:paraId="461ECCA1" w14:textId="77777777" w:rsidR="00047E69" w:rsidRPr="00AE0B87" w:rsidRDefault="00047E69" w:rsidP="00B0734F">
      <w:pPr>
        <w:ind w:left="113" w:right="113"/>
        <w:rPr>
          <w:rFonts w:ascii="Times New Roman" w:hAnsi="Times New Roman" w:cs="Times New Roman"/>
          <w:noProof/>
          <w:lang w:eastAsia="ko-KR"/>
        </w:rPr>
      </w:pPr>
    </w:p>
    <w:p w14:paraId="269D0A7E" w14:textId="77777777" w:rsidR="00047E69" w:rsidRPr="00AE0B87" w:rsidRDefault="00047E69" w:rsidP="00B0734F">
      <w:pPr>
        <w:ind w:left="113" w:right="113"/>
        <w:rPr>
          <w:rFonts w:ascii="Times New Roman" w:hAnsi="Times New Roman" w:cs="Times New Roman"/>
          <w:noProof/>
          <w:lang w:eastAsia="ko-KR"/>
        </w:rPr>
      </w:pPr>
    </w:p>
    <w:p w14:paraId="71A83A9E" w14:textId="77777777" w:rsidR="00047E69" w:rsidRPr="00AE0B87" w:rsidRDefault="00C210A5" w:rsidP="00B0734F">
      <w:pPr>
        <w:pBdr>
          <w:top w:val="single" w:sz="4" w:space="1" w:color="auto"/>
          <w:left w:val="single" w:sz="4" w:space="4" w:color="auto"/>
          <w:bottom w:val="single" w:sz="4" w:space="1" w:color="auto"/>
          <w:right w:val="single" w:sz="4" w:space="4" w:color="auto"/>
        </w:pBdr>
        <w:ind w:left="113" w:right="113"/>
        <w:rPr>
          <w:rFonts w:ascii="Times New Roman" w:hAnsi="Times New Roman" w:cs="Times New Roman"/>
          <w:b/>
          <w:noProof/>
        </w:rPr>
      </w:pPr>
      <w:r w:rsidRPr="00AE0B87">
        <w:rPr>
          <w:rFonts w:ascii="Times New Roman" w:hAnsi="Times New Roman" w:cs="Times New Roman"/>
          <w:b/>
          <w:noProof/>
        </w:rPr>
        <w:t>6.</w:t>
      </w:r>
      <w:r w:rsidRPr="00AE0B87">
        <w:rPr>
          <w:rFonts w:ascii="Times New Roman" w:hAnsi="Times New Roman" w:cs="Times New Roman"/>
          <w:b/>
          <w:noProof/>
        </w:rPr>
        <w:tab/>
        <w:t>OTHER</w:t>
      </w:r>
    </w:p>
    <w:p w14:paraId="5DDDBE1A" w14:textId="77777777" w:rsidR="00047E69" w:rsidRPr="00AE0B87" w:rsidRDefault="00047E69" w:rsidP="00B0734F">
      <w:pPr>
        <w:ind w:left="113" w:right="113"/>
        <w:rPr>
          <w:rFonts w:ascii="Times New Roman" w:hAnsi="Times New Roman" w:cs="Times New Roman"/>
          <w:noProof/>
        </w:rPr>
      </w:pPr>
    </w:p>
    <w:p w14:paraId="17CD48D9" w14:textId="77777777" w:rsidR="00047E69" w:rsidRPr="00AE0B87" w:rsidRDefault="00047E69" w:rsidP="00B0734F">
      <w:pPr>
        <w:ind w:left="113" w:right="113"/>
        <w:rPr>
          <w:rFonts w:ascii="Times New Roman" w:hAnsi="Times New Roman" w:cs="Times New Roman"/>
        </w:rPr>
      </w:pPr>
    </w:p>
    <w:p w14:paraId="39706F72" w14:textId="77777777" w:rsidR="00047E69" w:rsidRPr="00AE0B87" w:rsidRDefault="00C210A5">
      <w:pPr>
        <w:rPr>
          <w:rFonts w:ascii="Times New Roman" w:hAnsi="Times New Roman" w:cs="Times New Roman"/>
        </w:rPr>
      </w:pPr>
      <w:r w:rsidRPr="00AE0B87">
        <w:rPr>
          <w:rFonts w:ascii="Times New Roman" w:hAnsi="Times New Roman" w:cs="Times New Roman"/>
          <w:b/>
        </w:rPr>
        <w:br w:type="page"/>
      </w:r>
    </w:p>
    <w:p w14:paraId="29702E40" w14:textId="77777777" w:rsidR="00047E69" w:rsidRPr="00AE0B87" w:rsidRDefault="00047E69">
      <w:pPr>
        <w:rPr>
          <w:rFonts w:ascii="Times New Roman" w:hAnsi="Times New Roman" w:cs="Times New Roman"/>
        </w:rPr>
      </w:pPr>
    </w:p>
    <w:p w14:paraId="4FAB0BD1" w14:textId="77777777" w:rsidR="00047E69" w:rsidRPr="00AE0B87" w:rsidRDefault="00047E69">
      <w:pPr>
        <w:rPr>
          <w:rFonts w:ascii="Times New Roman" w:hAnsi="Times New Roman" w:cs="Times New Roman"/>
        </w:rPr>
      </w:pPr>
    </w:p>
    <w:p w14:paraId="6FF11E19" w14:textId="77777777" w:rsidR="00047E69" w:rsidRPr="00AE0B87" w:rsidRDefault="00047E69">
      <w:pPr>
        <w:rPr>
          <w:rFonts w:ascii="Times New Roman" w:hAnsi="Times New Roman" w:cs="Times New Roman"/>
        </w:rPr>
      </w:pPr>
    </w:p>
    <w:p w14:paraId="101CA8BC" w14:textId="77777777" w:rsidR="00047E69" w:rsidRPr="00AE0B87" w:rsidRDefault="00047E69">
      <w:pPr>
        <w:rPr>
          <w:rFonts w:ascii="Times New Roman" w:hAnsi="Times New Roman" w:cs="Times New Roman"/>
        </w:rPr>
      </w:pPr>
    </w:p>
    <w:p w14:paraId="3681ED51" w14:textId="77777777" w:rsidR="00047E69" w:rsidRPr="00AE0B87" w:rsidRDefault="00047E69">
      <w:pPr>
        <w:rPr>
          <w:rFonts w:ascii="Times New Roman" w:hAnsi="Times New Roman" w:cs="Times New Roman"/>
        </w:rPr>
      </w:pPr>
    </w:p>
    <w:p w14:paraId="317A1F08" w14:textId="77777777" w:rsidR="00047E69" w:rsidRPr="00AE0B87" w:rsidRDefault="00047E69">
      <w:pPr>
        <w:rPr>
          <w:rFonts w:ascii="Times New Roman" w:hAnsi="Times New Roman" w:cs="Times New Roman"/>
        </w:rPr>
      </w:pPr>
    </w:p>
    <w:p w14:paraId="3505513F" w14:textId="77777777" w:rsidR="00047E69" w:rsidRPr="00AE0B87" w:rsidRDefault="00047E69">
      <w:pPr>
        <w:rPr>
          <w:rFonts w:ascii="Times New Roman" w:hAnsi="Times New Roman" w:cs="Times New Roman"/>
        </w:rPr>
      </w:pPr>
    </w:p>
    <w:p w14:paraId="280AA179" w14:textId="77777777" w:rsidR="00047E69" w:rsidRPr="00AE0B87" w:rsidRDefault="00047E69">
      <w:pPr>
        <w:rPr>
          <w:rFonts w:ascii="Times New Roman" w:hAnsi="Times New Roman" w:cs="Times New Roman"/>
        </w:rPr>
      </w:pPr>
    </w:p>
    <w:p w14:paraId="3AE172A7" w14:textId="77777777" w:rsidR="00047E69" w:rsidRPr="00AE0B87" w:rsidRDefault="00047E69">
      <w:pPr>
        <w:rPr>
          <w:rFonts w:ascii="Times New Roman" w:hAnsi="Times New Roman" w:cs="Times New Roman"/>
        </w:rPr>
      </w:pPr>
    </w:p>
    <w:p w14:paraId="75F84662" w14:textId="77777777" w:rsidR="00047E69" w:rsidRPr="00AE0B87" w:rsidRDefault="00047E69">
      <w:pPr>
        <w:rPr>
          <w:rFonts w:ascii="Times New Roman" w:hAnsi="Times New Roman" w:cs="Times New Roman"/>
        </w:rPr>
      </w:pPr>
    </w:p>
    <w:p w14:paraId="50B11603" w14:textId="77777777" w:rsidR="00047E69" w:rsidRPr="00AE0B87" w:rsidRDefault="00047E69">
      <w:pPr>
        <w:rPr>
          <w:rFonts w:ascii="Times New Roman" w:hAnsi="Times New Roman" w:cs="Times New Roman"/>
        </w:rPr>
      </w:pPr>
    </w:p>
    <w:p w14:paraId="34A64709" w14:textId="77777777" w:rsidR="00047E69" w:rsidRPr="00AE0B87" w:rsidRDefault="00047E69">
      <w:pPr>
        <w:rPr>
          <w:rFonts w:ascii="Times New Roman" w:hAnsi="Times New Roman" w:cs="Times New Roman"/>
        </w:rPr>
      </w:pPr>
    </w:p>
    <w:p w14:paraId="69FFE4DB" w14:textId="77777777" w:rsidR="00047E69" w:rsidRPr="00AE0B87" w:rsidRDefault="00047E69">
      <w:pPr>
        <w:rPr>
          <w:rFonts w:ascii="Times New Roman" w:hAnsi="Times New Roman" w:cs="Times New Roman"/>
        </w:rPr>
      </w:pPr>
    </w:p>
    <w:p w14:paraId="18FB956E" w14:textId="77777777" w:rsidR="00047E69" w:rsidRPr="00AE0B87" w:rsidRDefault="00047E69">
      <w:pPr>
        <w:rPr>
          <w:rFonts w:ascii="Times New Roman" w:hAnsi="Times New Roman" w:cs="Times New Roman"/>
        </w:rPr>
      </w:pPr>
    </w:p>
    <w:p w14:paraId="06A057B5" w14:textId="77777777" w:rsidR="00047E69" w:rsidRPr="00AE0B87" w:rsidRDefault="00047E69">
      <w:pPr>
        <w:rPr>
          <w:rFonts w:ascii="Times New Roman" w:hAnsi="Times New Roman" w:cs="Times New Roman"/>
        </w:rPr>
      </w:pPr>
    </w:p>
    <w:p w14:paraId="50517DD0" w14:textId="77777777" w:rsidR="00047E69" w:rsidRPr="00AE0B87" w:rsidRDefault="00047E69">
      <w:pPr>
        <w:rPr>
          <w:rFonts w:ascii="Times New Roman" w:hAnsi="Times New Roman" w:cs="Times New Roman"/>
        </w:rPr>
      </w:pPr>
    </w:p>
    <w:p w14:paraId="61548434" w14:textId="77777777" w:rsidR="00047E69" w:rsidRPr="00AE0B87" w:rsidRDefault="00047E69">
      <w:pPr>
        <w:rPr>
          <w:rFonts w:ascii="Times New Roman" w:hAnsi="Times New Roman" w:cs="Times New Roman"/>
        </w:rPr>
      </w:pPr>
    </w:p>
    <w:p w14:paraId="0260B176" w14:textId="77777777" w:rsidR="00047E69" w:rsidRPr="00AE0B87" w:rsidRDefault="00047E69">
      <w:pPr>
        <w:rPr>
          <w:rFonts w:ascii="Times New Roman" w:hAnsi="Times New Roman" w:cs="Times New Roman"/>
        </w:rPr>
      </w:pPr>
    </w:p>
    <w:p w14:paraId="5284A4ED" w14:textId="77777777" w:rsidR="00047E69" w:rsidRPr="00AE0B87" w:rsidRDefault="00047E69">
      <w:pPr>
        <w:rPr>
          <w:rFonts w:ascii="Times New Roman" w:hAnsi="Times New Roman" w:cs="Times New Roman"/>
        </w:rPr>
      </w:pPr>
    </w:p>
    <w:p w14:paraId="45B8069F" w14:textId="77777777" w:rsidR="00047E69" w:rsidRPr="00AE0B87" w:rsidRDefault="00047E69">
      <w:pPr>
        <w:rPr>
          <w:rFonts w:ascii="Times New Roman" w:hAnsi="Times New Roman" w:cs="Times New Roman"/>
        </w:rPr>
      </w:pPr>
    </w:p>
    <w:p w14:paraId="3FE2C92B" w14:textId="77777777" w:rsidR="00047E69" w:rsidRPr="00AE0B87" w:rsidRDefault="00047E69">
      <w:pPr>
        <w:rPr>
          <w:rFonts w:ascii="Times New Roman" w:hAnsi="Times New Roman" w:cs="Times New Roman"/>
        </w:rPr>
      </w:pPr>
    </w:p>
    <w:p w14:paraId="7A4C546E" w14:textId="77777777" w:rsidR="00047E69" w:rsidRPr="00AE0B87" w:rsidRDefault="00047E69">
      <w:pPr>
        <w:rPr>
          <w:rFonts w:ascii="Times New Roman" w:hAnsi="Times New Roman" w:cs="Times New Roman"/>
          <w:b/>
          <w:noProof/>
        </w:rPr>
      </w:pPr>
    </w:p>
    <w:p w14:paraId="5D4FE9AF" w14:textId="77777777" w:rsidR="00047E69" w:rsidRPr="00AE0B87" w:rsidRDefault="00C210A5">
      <w:pPr>
        <w:jc w:val="center"/>
        <w:outlineLvl w:val="0"/>
        <w:rPr>
          <w:rFonts w:ascii="Times New Roman" w:hAnsi="Times New Roman" w:cs="Times New Roman"/>
          <w:b/>
          <w:noProof/>
        </w:rPr>
      </w:pPr>
      <w:r w:rsidRPr="00AE0B87">
        <w:rPr>
          <w:rFonts w:ascii="Times New Roman" w:hAnsi="Times New Roman" w:cs="Times New Roman"/>
          <w:b/>
          <w:noProof/>
        </w:rPr>
        <w:t xml:space="preserve">B. </w:t>
      </w:r>
      <w:bookmarkStart w:id="31" w:name="b_package"/>
      <w:r w:rsidRPr="00AE0B87">
        <w:rPr>
          <w:rFonts w:ascii="Times New Roman" w:hAnsi="Times New Roman" w:cs="Times New Roman"/>
          <w:b/>
          <w:noProof/>
        </w:rPr>
        <w:t xml:space="preserve">PACKAGE </w:t>
      </w:r>
      <w:bookmarkEnd w:id="31"/>
      <w:r w:rsidRPr="00AE0B87">
        <w:rPr>
          <w:rFonts w:ascii="Times New Roman" w:hAnsi="Times New Roman" w:cs="Times New Roman"/>
          <w:b/>
          <w:noProof/>
        </w:rPr>
        <w:t>LEAFLET</w:t>
      </w:r>
    </w:p>
    <w:p w14:paraId="5DC4C3CD" w14:textId="77777777" w:rsidR="00047E69" w:rsidRPr="00AE0B87" w:rsidRDefault="00C210A5" w:rsidP="00B0734F">
      <w:pPr>
        <w:widowControl/>
        <w:jc w:val="center"/>
        <w:rPr>
          <w:rFonts w:ascii="Times New Roman" w:hAnsi="Times New Roman" w:cs="Times New Roman"/>
          <w:noProof/>
        </w:rPr>
      </w:pPr>
      <w:r w:rsidRPr="00AE0B87">
        <w:rPr>
          <w:rFonts w:ascii="Times New Roman" w:hAnsi="Times New Roman" w:cs="Times New Roman"/>
          <w:noProof/>
        </w:rPr>
        <w:br w:type="page"/>
      </w:r>
      <w:r w:rsidRPr="00AE0B87">
        <w:rPr>
          <w:rFonts w:ascii="Times New Roman" w:hAnsi="Times New Roman" w:cs="Times New Roman"/>
          <w:b/>
          <w:noProof/>
        </w:rPr>
        <w:lastRenderedPageBreak/>
        <w:t>Package leaflet: Information for the user</w:t>
      </w:r>
    </w:p>
    <w:p w14:paraId="60987885" w14:textId="77777777" w:rsidR="00047E69" w:rsidRPr="00AE0B87" w:rsidRDefault="00047E69" w:rsidP="00B0734F">
      <w:pPr>
        <w:widowControl/>
        <w:numPr>
          <w:ilvl w:val="12"/>
          <w:numId w:val="0"/>
        </w:numPr>
        <w:shd w:val="clear" w:color="auto" w:fill="FFFFFF"/>
        <w:jc w:val="center"/>
        <w:rPr>
          <w:rFonts w:ascii="Times New Roman" w:hAnsi="Times New Roman" w:cs="Times New Roman"/>
          <w:noProof/>
        </w:rPr>
      </w:pPr>
    </w:p>
    <w:p w14:paraId="5454797B" w14:textId="4DED03B7" w:rsidR="00047E69" w:rsidRPr="00AE0B87" w:rsidRDefault="00A32819" w:rsidP="00B0734F">
      <w:pPr>
        <w:widowControl/>
        <w:tabs>
          <w:tab w:val="left" w:pos="9190"/>
        </w:tabs>
        <w:ind w:left="118" w:right="-24"/>
        <w:jc w:val="center"/>
        <w:rPr>
          <w:rFonts w:ascii="Times New Roman" w:eastAsia="맑은 고딕" w:hAnsi="Times New Roman" w:cs="Times New Roman"/>
          <w:b/>
        </w:rPr>
      </w:pPr>
      <w:r>
        <w:rPr>
          <w:rFonts w:ascii="Times New Roman" w:eastAsia="맑은 고딕" w:hAnsi="Times New Roman" w:cs="Times New Roman"/>
          <w:b/>
          <w:lang w:eastAsia="ko-KR"/>
        </w:rPr>
        <w:t>Vegzelma</w:t>
      </w:r>
      <w:r w:rsidR="00C210A5" w:rsidRPr="00AE0B87">
        <w:rPr>
          <w:rFonts w:ascii="Times New Roman" w:eastAsia="맑은 고딕" w:hAnsi="Times New Roman" w:cs="Times New Roman"/>
          <w:b/>
          <w:lang w:eastAsia="ko-KR"/>
        </w:rPr>
        <w:t xml:space="preserve"> 25</w:t>
      </w:r>
      <w:r w:rsidR="00D65229">
        <w:rPr>
          <w:rFonts w:ascii="Times New Roman" w:eastAsia="맑은 고딕" w:hAnsi="Times New Roman" w:cs="Times New Roman" w:hint="eastAsia"/>
          <w:b/>
          <w:lang w:eastAsia="ko-KR"/>
        </w:rPr>
        <w:t xml:space="preserve"> </w:t>
      </w:r>
      <w:r w:rsidR="00C210A5" w:rsidRPr="00AE0B87">
        <w:rPr>
          <w:rFonts w:ascii="Times New Roman" w:eastAsia="맑은 고딕" w:hAnsi="Times New Roman" w:cs="Times New Roman"/>
          <w:b/>
          <w:lang w:eastAsia="ko-KR"/>
        </w:rPr>
        <w:t xml:space="preserve">mg/mL </w:t>
      </w:r>
      <w:r w:rsidR="00C210A5" w:rsidRPr="00AE0B87">
        <w:rPr>
          <w:rFonts w:ascii="Times New Roman" w:eastAsia="맑은 고딕" w:hAnsi="Times New Roman" w:cs="Times New Roman"/>
          <w:b/>
        </w:rPr>
        <w:t>concentrate for solution for infusion</w:t>
      </w:r>
    </w:p>
    <w:p w14:paraId="47C5447E" w14:textId="77777777" w:rsidR="00047E69" w:rsidRPr="00AE0B87" w:rsidRDefault="00C210A5" w:rsidP="00B0734F">
      <w:pPr>
        <w:widowControl/>
        <w:numPr>
          <w:ilvl w:val="12"/>
          <w:numId w:val="0"/>
        </w:numPr>
        <w:jc w:val="center"/>
        <w:rPr>
          <w:rFonts w:ascii="Times New Roman" w:eastAsia="맑은 고딕" w:hAnsi="Times New Roman" w:cs="Times New Roman"/>
          <w:noProof/>
          <w:lang w:eastAsia="ko-KR"/>
        </w:rPr>
      </w:pPr>
      <w:r w:rsidRPr="00AE0B87">
        <w:rPr>
          <w:rFonts w:ascii="Times New Roman" w:eastAsia="맑은 고딕" w:hAnsi="Times New Roman" w:cs="Times New Roman"/>
          <w:noProof/>
          <w:lang w:eastAsia="ko-KR"/>
        </w:rPr>
        <w:t>bevacizumab</w:t>
      </w:r>
    </w:p>
    <w:p w14:paraId="75E16352" w14:textId="77777777" w:rsidR="00047E69" w:rsidRPr="00AE0B87" w:rsidRDefault="00047E69" w:rsidP="00B0734F">
      <w:pPr>
        <w:widowControl/>
        <w:rPr>
          <w:rFonts w:ascii="Times New Roman" w:hAnsi="Times New Roman" w:cs="Times New Roman"/>
          <w:noProof/>
        </w:rPr>
      </w:pPr>
    </w:p>
    <w:p w14:paraId="62AC40EA" w14:textId="77777777" w:rsidR="00047E69" w:rsidRPr="00AE0B87" w:rsidRDefault="00C210A5" w:rsidP="00B0734F">
      <w:pPr>
        <w:widowControl/>
        <w:adjustRightInd w:val="0"/>
        <w:snapToGrid w:val="0"/>
        <w:rPr>
          <w:rFonts w:ascii="Times New Roman" w:hAnsi="Times New Roman" w:cs="Times New Roman"/>
        </w:rPr>
      </w:pPr>
      <w:r w:rsidRPr="00AE0B87">
        <w:rPr>
          <w:rFonts w:ascii="Times New Roman" w:hAnsi="Times New Roman" w:cs="Times New Roman"/>
          <w:noProof/>
          <w:lang w:eastAsia="ko-KR"/>
        </w:rPr>
        <w:drawing>
          <wp:inline distT="0" distB="0" distL="0" distR="0" wp14:anchorId="472F3DA3" wp14:editId="7A5C67E2">
            <wp:extent cx="196850" cy="171450"/>
            <wp:effectExtent l="0" t="0" r="0" b="0"/>
            <wp:docPr id="61" name="Picture 6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06331" name="Picture 11"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AE0B87">
        <w:rPr>
          <w:rFonts w:ascii="Times New Roman" w:hAnsi="Times New Roman" w:cs="Times New Roman"/>
        </w:rPr>
        <w:t>This medicine is subject to additional monitoring. This will allow quick identification of new safety informatio</w:t>
      </w:r>
      <w:r w:rsidRPr="00AE0B87">
        <w:rPr>
          <w:rFonts w:ascii="Times New Roman" w:eastAsia="Times New Roman" w:hAnsi="Times New Roman" w:cs="Arial"/>
        </w:rPr>
        <w:t>n. You can he</w:t>
      </w:r>
      <w:r w:rsidRPr="00AE0B87">
        <w:rPr>
          <w:rFonts w:ascii="Times New Roman" w:hAnsi="Times New Roman" w:cs="Times New Roman"/>
        </w:rPr>
        <w:t>lp by reporting any side effects you may get. See the end of section 4 for how to report side effects.</w:t>
      </w:r>
    </w:p>
    <w:p w14:paraId="0543423A" w14:textId="77777777" w:rsidR="00047E69" w:rsidRPr="00AE0B87" w:rsidRDefault="00047E69" w:rsidP="00B0734F">
      <w:pPr>
        <w:widowControl/>
        <w:adjustRightInd w:val="0"/>
        <w:snapToGrid w:val="0"/>
        <w:rPr>
          <w:rFonts w:ascii="Times New Roman" w:hAnsi="Times New Roman" w:cs="Times New Roman"/>
          <w:noProof/>
        </w:rPr>
      </w:pPr>
    </w:p>
    <w:p w14:paraId="00507029" w14:textId="77777777" w:rsidR="00047E69" w:rsidRPr="00AE0B87" w:rsidRDefault="00C210A5" w:rsidP="00B0734F">
      <w:pPr>
        <w:widowControl/>
        <w:suppressAutoHyphens/>
        <w:adjustRightInd w:val="0"/>
        <w:snapToGrid w:val="0"/>
        <w:rPr>
          <w:rFonts w:ascii="Times New Roman" w:hAnsi="Times New Roman" w:cs="Times New Roman"/>
          <w:b/>
          <w:noProof/>
        </w:rPr>
      </w:pPr>
      <w:r w:rsidRPr="00AE0B87">
        <w:rPr>
          <w:rFonts w:ascii="Times New Roman" w:hAnsi="Times New Roman" w:cs="Times New Roman"/>
          <w:b/>
          <w:noProof/>
        </w:rPr>
        <w:t>Read all of this leaflet carefully before you start using this medicine because it contains important information for you.</w:t>
      </w:r>
    </w:p>
    <w:p w14:paraId="28EB7424" w14:textId="77777777" w:rsidR="00047E69" w:rsidRPr="00AE0B87" w:rsidRDefault="00047E69" w:rsidP="00B0734F">
      <w:pPr>
        <w:widowControl/>
        <w:suppressAutoHyphens/>
        <w:adjustRightInd w:val="0"/>
        <w:snapToGrid w:val="0"/>
        <w:rPr>
          <w:rFonts w:ascii="Times New Roman" w:hAnsi="Times New Roman" w:cs="Times New Roman"/>
          <w:noProof/>
        </w:rPr>
      </w:pPr>
    </w:p>
    <w:p w14:paraId="6BD3591A" w14:textId="77777777" w:rsidR="00047E69" w:rsidRPr="00AE0B87" w:rsidRDefault="00C210A5" w:rsidP="00B0734F">
      <w:pPr>
        <w:pStyle w:val="Default"/>
        <w:numPr>
          <w:ilvl w:val="0"/>
          <w:numId w:val="27"/>
        </w:numPr>
        <w:ind w:left="567" w:hanging="567"/>
        <w:rPr>
          <w:noProof/>
        </w:rPr>
      </w:pPr>
      <w:r w:rsidRPr="00AE0B87">
        <w:rPr>
          <w:noProof/>
          <w:sz w:val="22"/>
          <w:szCs w:val="22"/>
        </w:rPr>
        <w:t xml:space="preserve">Keep this leaflet. You may need to read it again. </w:t>
      </w:r>
    </w:p>
    <w:p w14:paraId="260E225F" w14:textId="77777777" w:rsidR="00047E69" w:rsidRPr="00AE0B87" w:rsidRDefault="00C210A5" w:rsidP="00B0734F">
      <w:pPr>
        <w:pStyle w:val="Default"/>
        <w:numPr>
          <w:ilvl w:val="0"/>
          <w:numId w:val="27"/>
        </w:numPr>
        <w:ind w:left="567" w:hanging="567"/>
        <w:rPr>
          <w:noProof/>
        </w:rPr>
      </w:pPr>
      <w:r w:rsidRPr="00AE0B87">
        <w:rPr>
          <w:noProof/>
          <w:sz w:val="22"/>
          <w:szCs w:val="22"/>
        </w:rPr>
        <w:t>If you have any further questions, ask your doctor or pharmacist</w:t>
      </w:r>
      <w:r w:rsidR="00FC79E2" w:rsidRPr="00AE0B87">
        <w:rPr>
          <w:noProof/>
          <w:sz w:val="22"/>
          <w:szCs w:val="22"/>
        </w:rPr>
        <w:t xml:space="preserve"> or nurse</w:t>
      </w:r>
    </w:p>
    <w:p w14:paraId="07496DF5" w14:textId="77777777" w:rsidR="00047E69" w:rsidRPr="00AE0B87" w:rsidRDefault="00C210A5" w:rsidP="00B0734F">
      <w:pPr>
        <w:pStyle w:val="Default"/>
        <w:numPr>
          <w:ilvl w:val="0"/>
          <w:numId w:val="27"/>
        </w:numPr>
        <w:ind w:left="567" w:hanging="567"/>
        <w:rPr>
          <w:noProof/>
        </w:rPr>
      </w:pPr>
      <w:r w:rsidRPr="00AE0B87">
        <w:rPr>
          <w:noProof/>
          <w:sz w:val="22"/>
          <w:szCs w:val="22"/>
        </w:rPr>
        <w:t>If you get any side effects, talk to your doctor, pharmacist or nurse. This includes any possible side effects not listed in this leaflet. See section 4.</w:t>
      </w:r>
    </w:p>
    <w:p w14:paraId="270C0282" w14:textId="77777777" w:rsidR="00047E69" w:rsidRPr="00AE0B87" w:rsidRDefault="00047E69" w:rsidP="00B0734F">
      <w:pPr>
        <w:widowControl/>
        <w:adjustRightInd w:val="0"/>
        <w:snapToGrid w:val="0"/>
        <w:rPr>
          <w:rFonts w:ascii="Times New Roman" w:hAnsi="Times New Roman" w:cs="Times New Roman"/>
          <w:noProof/>
        </w:rPr>
      </w:pPr>
    </w:p>
    <w:p w14:paraId="12C8F90A" w14:textId="77777777" w:rsidR="00047E69" w:rsidRPr="00AE0B87" w:rsidRDefault="00C210A5" w:rsidP="00B0734F">
      <w:pPr>
        <w:widowControl/>
        <w:numPr>
          <w:ilvl w:val="12"/>
          <w:numId w:val="0"/>
        </w:numPr>
        <w:adjustRightInd w:val="0"/>
        <w:snapToGrid w:val="0"/>
        <w:rPr>
          <w:rFonts w:ascii="Times New Roman" w:hAnsi="Times New Roman" w:cs="Times New Roman"/>
          <w:b/>
          <w:noProof/>
        </w:rPr>
      </w:pPr>
      <w:r w:rsidRPr="00AE0B87">
        <w:rPr>
          <w:rFonts w:ascii="Times New Roman" w:hAnsi="Times New Roman" w:cs="Times New Roman"/>
          <w:b/>
          <w:noProof/>
        </w:rPr>
        <w:t>What is in this leaflet</w:t>
      </w:r>
    </w:p>
    <w:p w14:paraId="4306B6DF" w14:textId="77777777" w:rsidR="00047E69" w:rsidRPr="00AE0B87" w:rsidRDefault="00047E69" w:rsidP="00B0734F">
      <w:pPr>
        <w:widowControl/>
        <w:adjustRightInd w:val="0"/>
        <w:snapToGrid w:val="0"/>
        <w:rPr>
          <w:rFonts w:ascii="Times New Roman" w:hAnsi="Times New Roman" w:cs="Times New Roman"/>
          <w:noProof/>
        </w:rPr>
      </w:pPr>
    </w:p>
    <w:p w14:paraId="73A2525D" w14:textId="18B47393" w:rsidR="00047E69" w:rsidRPr="00AE0B87" w:rsidRDefault="00C210A5" w:rsidP="00B0734F">
      <w:pPr>
        <w:widowControl/>
        <w:numPr>
          <w:ilvl w:val="12"/>
          <w:numId w:val="0"/>
        </w:numPr>
        <w:tabs>
          <w:tab w:val="left" w:pos="426"/>
        </w:tabs>
        <w:adjustRightInd w:val="0"/>
        <w:snapToGrid w:val="0"/>
        <w:rPr>
          <w:rFonts w:ascii="Times New Roman" w:hAnsi="Times New Roman" w:cs="Times New Roman"/>
          <w:noProof/>
        </w:rPr>
      </w:pPr>
      <w:r w:rsidRPr="00AE0B87">
        <w:rPr>
          <w:rFonts w:ascii="Times New Roman" w:hAnsi="Times New Roman" w:cs="Times New Roman"/>
          <w:noProof/>
        </w:rPr>
        <w:t>1.</w:t>
      </w:r>
      <w:r w:rsidRPr="00AE0B87">
        <w:rPr>
          <w:rFonts w:ascii="Times New Roman" w:hAnsi="Times New Roman" w:cs="Times New Roman"/>
          <w:noProof/>
        </w:rPr>
        <w:tab/>
        <w:t xml:space="preserve">What </w:t>
      </w:r>
      <w:r w:rsidR="00A32819">
        <w:rPr>
          <w:rFonts w:ascii="Times New Roman" w:eastAsia="맑은 고딕" w:hAnsi="Times New Roman" w:cs="Times New Roman"/>
          <w:noProof/>
          <w:lang w:eastAsia="ko-KR"/>
        </w:rPr>
        <w:t>Vegzelma</w:t>
      </w:r>
      <w:r w:rsidRPr="00AE0B87">
        <w:rPr>
          <w:rFonts w:ascii="Times New Roman" w:hAnsi="Times New Roman" w:cs="Times New Roman"/>
          <w:noProof/>
        </w:rPr>
        <w:t xml:space="preserve"> is and what it is used for </w:t>
      </w:r>
    </w:p>
    <w:p w14:paraId="353EB352" w14:textId="5DC29E0D" w:rsidR="00047E69" w:rsidRPr="00AE0B87" w:rsidRDefault="00C210A5" w:rsidP="00B0734F">
      <w:pPr>
        <w:widowControl/>
        <w:numPr>
          <w:ilvl w:val="12"/>
          <w:numId w:val="0"/>
        </w:numPr>
        <w:tabs>
          <w:tab w:val="left" w:pos="426"/>
        </w:tabs>
        <w:adjustRightInd w:val="0"/>
        <w:snapToGrid w:val="0"/>
        <w:rPr>
          <w:rFonts w:ascii="Times New Roman" w:hAnsi="Times New Roman" w:cs="Times New Roman"/>
          <w:noProof/>
        </w:rPr>
      </w:pPr>
      <w:r w:rsidRPr="00AE0B87">
        <w:rPr>
          <w:rFonts w:ascii="Times New Roman" w:hAnsi="Times New Roman" w:cs="Times New Roman"/>
          <w:noProof/>
        </w:rPr>
        <w:t>2.</w:t>
      </w:r>
      <w:r w:rsidRPr="00AE0B87">
        <w:rPr>
          <w:rFonts w:ascii="Times New Roman" w:hAnsi="Times New Roman" w:cs="Times New Roman"/>
          <w:noProof/>
        </w:rPr>
        <w:tab/>
        <w:t>What you need to know before you are given</w:t>
      </w:r>
      <w:r w:rsidRPr="00AE0B87">
        <w:rPr>
          <w:rFonts w:ascii="Times New Roman" w:eastAsia="맑은 고딕" w:hAnsi="Times New Roman" w:cs="Times New Roman"/>
          <w:noProof/>
          <w:lang w:eastAsia="ko-KR"/>
        </w:rPr>
        <w:t xml:space="preserve"> </w:t>
      </w:r>
      <w:r w:rsidR="00A32819">
        <w:rPr>
          <w:rFonts w:ascii="Times New Roman" w:eastAsia="맑은 고딕" w:hAnsi="Times New Roman" w:cs="Times New Roman"/>
          <w:noProof/>
          <w:lang w:eastAsia="ko-KR"/>
        </w:rPr>
        <w:t>Vegzelma</w:t>
      </w:r>
      <w:r w:rsidRPr="00AE0B87">
        <w:rPr>
          <w:rFonts w:ascii="Times New Roman" w:eastAsia="맑은 고딕" w:hAnsi="Times New Roman" w:cs="Times New Roman"/>
          <w:noProof/>
          <w:lang w:eastAsia="ko-KR"/>
        </w:rPr>
        <w:t xml:space="preserve"> </w:t>
      </w:r>
    </w:p>
    <w:p w14:paraId="41721C3E" w14:textId="0E3635C9" w:rsidR="00047E69" w:rsidRPr="00AE0B87" w:rsidRDefault="00C210A5" w:rsidP="00B0734F">
      <w:pPr>
        <w:widowControl/>
        <w:numPr>
          <w:ilvl w:val="12"/>
          <w:numId w:val="0"/>
        </w:numPr>
        <w:tabs>
          <w:tab w:val="left" w:pos="426"/>
        </w:tabs>
        <w:adjustRightInd w:val="0"/>
        <w:snapToGrid w:val="0"/>
        <w:rPr>
          <w:rFonts w:ascii="Times New Roman" w:hAnsi="Times New Roman" w:cs="Times New Roman"/>
          <w:noProof/>
        </w:rPr>
      </w:pPr>
      <w:r w:rsidRPr="00AE0B87">
        <w:rPr>
          <w:rFonts w:ascii="Times New Roman" w:hAnsi="Times New Roman" w:cs="Times New Roman"/>
          <w:noProof/>
        </w:rPr>
        <w:t>3.</w:t>
      </w:r>
      <w:r w:rsidRPr="00AE0B87">
        <w:rPr>
          <w:rFonts w:ascii="Times New Roman" w:hAnsi="Times New Roman" w:cs="Times New Roman"/>
          <w:noProof/>
        </w:rPr>
        <w:tab/>
        <w:t xml:space="preserve">How to use </w:t>
      </w:r>
      <w:r w:rsidR="00A32819">
        <w:rPr>
          <w:rFonts w:ascii="Times New Roman" w:eastAsia="맑은 고딕" w:hAnsi="Times New Roman" w:cs="Times New Roman"/>
          <w:noProof/>
          <w:lang w:eastAsia="ko-KR"/>
        </w:rPr>
        <w:t>Vegzelma</w:t>
      </w:r>
      <w:r w:rsidRPr="00AE0B87">
        <w:rPr>
          <w:rFonts w:ascii="Times New Roman" w:eastAsia="맑은 고딕" w:hAnsi="Times New Roman" w:cs="Times New Roman"/>
          <w:noProof/>
          <w:lang w:eastAsia="ko-KR"/>
        </w:rPr>
        <w:t xml:space="preserve"> </w:t>
      </w:r>
    </w:p>
    <w:p w14:paraId="51B24CFD" w14:textId="77777777" w:rsidR="00047E69" w:rsidRPr="00AE0B87" w:rsidRDefault="00C210A5" w:rsidP="00B0734F">
      <w:pPr>
        <w:widowControl/>
        <w:numPr>
          <w:ilvl w:val="12"/>
          <w:numId w:val="0"/>
        </w:numPr>
        <w:tabs>
          <w:tab w:val="left" w:pos="426"/>
        </w:tabs>
        <w:adjustRightInd w:val="0"/>
        <w:snapToGrid w:val="0"/>
        <w:rPr>
          <w:rFonts w:ascii="Times New Roman" w:hAnsi="Times New Roman" w:cs="Times New Roman"/>
          <w:noProof/>
        </w:rPr>
      </w:pPr>
      <w:r w:rsidRPr="00AE0B87">
        <w:rPr>
          <w:rFonts w:ascii="Times New Roman" w:hAnsi="Times New Roman" w:cs="Times New Roman"/>
          <w:noProof/>
        </w:rPr>
        <w:t>4.</w:t>
      </w:r>
      <w:r w:rsidRPr="00AE0B87">
        <w:rPr>
          <w:rFonts w:ascii="Times New Roman" w:hAnsi="Times New Roman" w:cs="Times New Roman"/>
          <w:noProof/>
        </w:rPr>
        <w:tab/>
        <w:t xml:space="preserve">Possible side effects </w:t>
      </w:r>
    </w:p>
    <w:p w14:paraId="40407747" w14:textId="50BA2A6C" w:rsidR="00047E69" w:rsidRPr="00AE0B87" w:rsidRDefault="00C210A5" w:rsidP="00B0734F">
      <w:pPr>
        <w:widowControl/>
        <w:tabs>
          <w:tab w:val="left" w:pos="426"/>
        </w:tabs>
        <w:adjustRightInd w:val="0"/>
        <w:snapToGrid w:val="0"/>
        <w:rPr>
          <w:rFonts w:ascii="Times New Roman" w:hAnsi="Times New Roman" w:cs="Times New Roman"/>
          <w:noProof/>
        </w:rPr>
      </w:pPr>
      <w:r w:rsidRPr="00AE0B87">
        <w:rPr>
          <w:rFonts w:ascii="Times New Roman" w:hAnsi="Times New Roman" w:cs="Times New Roman"/>
          <w:noProof/>
        </w:rPr>
        <w:t>5.</w:t>
      </w:r>
      <w:r w:rsidRPr="00AE0B87">
        <w:rPr>
          <w:rFonts w:ascii="Times New Roman" w:hAnsi="Times New Roman" w:cs="Times New Roman"/>
          <w:noProof/>
        </w:rPr>
        <w:tab/>
        <w:t xml:space="preserve">How to store </w:t>
      </w:r>
      <w:r w:rsidR="00A32819">
        <w:rPr>
          <w:rFonts w:ascii="Times New Roman" w:eastAsia="맑은 고딕" w:hAnsi="Times New Roman" w:cs="Times New Roman"/>
          <w:noProof/>
          <w:lang w:eastAsia="ko-KR"/>
        </w:rPr>
        <w:t>Vegzelma</w:t>
      </w:r>
      <w:r w:rsidRPr="00AE0B87">
        <w:rPr>
          <w:rFonts w:ascii="Times New Roman" w:eastAsia="맑은 고딕" w:hAnsi="Times New Roman" w:cs="Times New Roman"/>
          <w:noProof/>
          <w:lang w:eastAsia="ko-KR"/>
        </w:rPr>
        <w:t xml:space="preserve"> </w:t>
      </w:r>
    </w:p>
    <w:p w14:paraId="042CB1D1" w14:textId="77777777" w:rsidR="00047E69" w:rsidRPr="00AE0B87" w:rsidRDefault="00C210A5" w:rsidP="00B0734F">
      <w:pPr>
        <w:widowControl/>
        <w:tabs>
          <w:tab w:val="left" w:pos="426"/>
        </w:tabs>
        <w:adjustRightInd w:val="0"/>
        <w:snapToGrid w:val="0"/>
        <w:rPr>
          <w:rFonts w:ascii="Times New Roman" w:hAnsi="Times New Roman" w:cs="Times New Roman"/>
          <w:noProof/>
        </w:rPr>
      </w:pPr>
      <w:r w:rsidRPr="00AE0B87">
        <w:rPr>
          <w:rFonts w:ascii="Times New Roman" w:hAnsi="Times New Roman" w:cs="Times New Roman"/>
          <w:noProof/>
        </w:rPr>
        <w:t>6.</w:t>
      </w:r>
      <w:r w:rsidRPr="00AE0B87">
        <w:rPr>
          <w:rFonts w:ascii="Times New Roman" w:hAnsi="Times New Roman" w:cs="Times New Roman"/>
          <w:noProof/>
        </w:rPr>
        <w:tab/>
        <w:t>Contents of the pack and other information</w:t>
      </w:r>
    </w:p>
    <w:p w14:paraId="41AE5C4B" w14:textId="77777777" w:rsidR="00047E69" w:rsidRPr="00AE0B87" w:rsidRDefault="00047E69" w:rsidP="00DD6486">
      <w:pPr>
        <w:widowControl/>
        <w:numPr>
          <w:ilvl w:val="12"/>
          <w:numId w:val="0"/>
        </w:numPr>
        <w:adjustRightInd w:val="0"/>
        <w:snapToGrid w:val="0"/>
        <w:rPr>
          <w:rFonts w:ascii="Times New Roman" w:hAnsi="Times New Roman" w:cs="Times New Roman"/>
          <w:noProof/>
        </w:rPr>
      </w:pPr>
    </w:p>
    <w:p w14:paraId="59177A05" w14:textId="77777777" w:rsidR="00047E69" w:rsidRPr="00AE0B87" w:rsidRDefault="00047E69" w:rsidP="00DD6486">
      <w:pPr>
        <w:widowControl/>
        <w:numPr>
          <w:ilvl w:val="12"/>
          <w:numId w:val="0"/>
        </w:numPr>
        <w:adjustRightInd w:val="0"/>
        <w:snapToGrid w:val="0"/>
        <w:rPr>
          <w:rFonts w:ascii="Times New Roman" w:hAnsi="Times New Roman" w:cs="Times New Roman"/>
          <w:noProof/>
        </w:rPr>
      </w:pPr>
    </w:p>
    <w:p w14:paraId="74B0E44F" w14:textId="10FA593D" w:rsidR="00047E69" w:rsidRPr="00AE0B87" w:rsidRDefault="00C210A5" w:rsidP="00DD6486">
      <w:pPr>
        <w:widowControl/>
        <w:adjustRightInd w:val="0"/>
        <w:snapToGrid w:val="0"/>
        <w:rPr>
          <w:rFonts w:ascii="Times New Roman" w:hAnsi="Times New Roman" w:cs="Times New Roman"/>
          <w:b/>
          <w:noProof/>
        </w:rPr>
      </w:pPr>
      <w:r w:rsidRPr="00AE0B87">
        <w:rPr>
          <w:rFonts w:ascii="Times New Roman" w:hAnsi="Times New Roman" w:cs="Times New Roman"/>
          <w:b/>
          <w:noProof/>
        </w:rPr>
        <w:t>1.</w:t>
      </w:r>
      <w:r w:rsidRPr="00AE0B87">
        <w:rPr>
          <w:rFonts w:ascii="Times New Roman" w:hAnsi="Times New Roman" w:cs="Times New Roman"/>
          <w:b/>
          <w:noProof/>
        </w:rPr>
        <w:tab/>
        <w:t xml:space="preserve">What </w:t>
      </w:r>
      <w:r w:rsidR="00A32819">
        <w:rPr>
          <w:rFonts w:ascii="Times New Roman" w:hAnsi="Times New Roman" w:cs="Times New Roman"/>
          <w:b/>
          <w:noProof/>
        </w:rPr>
        <w:t>Vegzelma</w:t>
      </w:r>
      <w:r w:rsidRPr="00AE0B87">
        <w:rPr>
          <w:rFonts w:ascii="Times New Roman" w:hAnsi="Times New Roman" w:cs="Times New Roman"/>
          <w:b/>
          <w:noProof/>
        </w:rPr>
        <w:t xml:space="preserve"> is and what it is used for</w:t>
      </w:r>
    </w:p>
    <w:p w14:paraId="4133AA61" w14:textId="77777777" w:rsidR="00047E69" w:rsidRPr="00AE0B87" w:rsidRDefault="00047E69" w:rsidP="00DD6486">
      <w:pPr>
        <w:widowControl/>
        <w:numPr>
          <w:ilvl w:val="12"/>
          <w:numId w:val="0"/>
        </w:numPr>
        <w:adjustRightInd w:val="0"/>
        <w:snapToGrid w:val="0"/>
        <w:rPr>
          <w:rFonts w:ascii="Times New Roman" w:hAnsi="Times New Roman" w:cs="Times New Roman"/>
          <w:noProof/>
        </w:rPr>
      </w:pPr>
    </w:p>
    <w:p w14:paraId="761C127E" w14:textId="6F3E3121" w:rsidR="00047E69" w:rsidRPr="00AE0B87" w:rsidRDefault="00A32819" w:rsidP="00DD6486">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contains the active substance bevacizumab, which is a humanised monoclonal antibody (a type of protein that is normally made by the immune system to help defend the body from infection and cancer). Bevacizumab binds selectively to a protein called human vascular endothelial growth factor (VEGF), which is found on the lining of blood and lymph vessels in the body. The VEGF protein causes blood vessels to grow within tumours, these blood vessels provide the tumour with nutrients and oxyg</w:t>
      </w:r>
      <w:r w:rsidR="00C210A5" w:rsidRPr="00AE0B87">
        <w:rPr>
          <w:rFonts w:ascii="Times New Roman" w:eastAsia="Times New Roman" w:hAnsi="Times New Roman" w:cs="Arial"/>
        </w:rPr>
        <w:t>en. Once bevaci</w:t>
      </w:r>
      <w:r w:rsidR="00C210A5" w:rsidRPr="00AE0B87">
        <w:rPr>
          <w:rFonts w:ascii="Times New Roman" w:hAnsi="Times New Roman" w:cs="Times New Roman"/>
          <w:color w:val="000000"/>
        </w:rPr>
        <w:t>zumab is bound to VEGF, tumour growth is prevented by blocking the growth of the blood vessels which provide the nutrients and oxygen to the tumour.</w:t>
      </w:r>
    </w:p>
    <w:p w14:paraId="2DFE6203"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1302D8D8" w14:textId="4984FEB1" w:rsidR="00047E69" w:rsidRPr="00AE0B87" w:rsidRDefault="00A32819" w:rsidP="00DD6486">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is a medicine used for the treatment of adult patients with advanced cancer in the large bowel, i.e., in the colon or rectum</w:t>
      </w:r>
      <w:r w:rsidR="00C210A5" w:rsidRPr="00AE0B87">
        <w:rPr>
          <w:rFonts w:ascii="Times New Roman" w:eastAsia="Times New Roman" w:hAnsi="Times New Roman" w:cs="Arial"/>
        </w:rPr>
        <w:t xml:space="preserve">. </w:t>
      </w:r>
      <w:r>
        <w:rPr>
          <w:rFonts w:ascii="Times New Roman" w:eastAsia="Times New Roman" w:hAnsi="Times New Roman" w:cs="Arial"/>
        </w:rPr>
        <w:t>Vegzelma</w:t>
      </w:r>
      <w:r w:rsidR="00C210A5" w:rsidRPr="00AE0B87">
        <w:rPr>
          <w:rFonts w:ascii="Times New Roman" w:hAnsi="Times New Roman" w:cs="Times New Roman"/>
          <w:color w:val="000000"/>
        </w:rPr>
        <w:t xml:space="preserve"> will be administered in combination with chemotherapy treatment containing a fluoropyrimidine medicine.</w:t>
      </w:r>
    </w:p>
    <w:p w14:paraId="6F45A272"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5D75D04B" w14:textId="0E2BA2B2" w:rsidR="00047E69" w:rsidRPr="00AE0B87" w:rsidRDefault="00A32819" w:rsidP="00DD6486">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is also used for the treatment of adult patients with metastatic breast cancer. When used for patients with breast cancer, it will be administered with a chemotherapy medicinal product called paclitaxel or capecitabine.</w:t>
      </w:r>
    </w:p>
    <w:p w14:paraId="0BC4C835"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17414F81" w14:textId="07F78C2C" w:rsidR="00047E69" w:rsidRPr="00AE0B87" w:rsidRDefault="00A32819" w:rsidP="00DD6486">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is also used for the treatment of adult patients with advanced non-small cell lung cancer. </w:t>
      </w:r>
      <w:r>
        <w:rPr>
          <w:rFonts w:ascii="Times New Roman" w:hAnsi="Times New Roman" w:cs="Times New Roman"/>
          <w:color w:val="000000"/>
        </w:rPr>
        <w:t>Vegzelma</w:t>
      </w:r>
      <w:r w:rsidR="00C210A5" w:rsidRPr="00AE0B87">
        <w:rPr>
          <w:rFonts w:ascii="Times New Roman" w:hAnsi="Times New Roman" w:cs="Times New Roman"/>
          <w:color w:val="000000"/>
        </w:rPr>
        <w:t xml:space="preserve"> will be administered together with a chemotherapy regimen containing platinum.</w:t>
      </w:r>
    </w:p>
    <w:p w14:paraId="3F93CED2"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247228A8" w14:textId="4768BB1D" w:rsidR="00047E69" w:rsidRPr="00AE0B87" w:rsidRDefault="00A32819" w:rsidP="00DD6486">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is also used for the treatment of adult patients with advanced non-small cell lung cancer when cancer cells have specific mutations of a protein called epidermal growth factor receptor (EGFR). </w:t>
      </w:r>
      <w:r>
        <w:rPr>
          <w:rFonts w:ascii="Times New Roman" w:hAnsi="Times New Roman" w:cs="Times New Roman"/>
          <w:color w:val="000000"/>
        </w:rPr>
        <w:t>Vegzelma</w:t>
      </w:r>
      <w:r w:rsidR="00C210A5" w:rsidRPr="00AE0B87">
        <w:rPr>
          <w:rFonts w:ascii="Times New Roman" w:hAnsi="Times New Roman" w:cs="Times New Roman"/>
          <w:color w:val="000000"/>
        </w:rPr>
        <w:t xml:space="preserve"> will be administered in combination with erlotinib.</w:t>
      </w:r>
    </w:p>
    <w:p w14:paraId="4A8E6AC1"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54A25105" w14:textId="17DF2EA4" w:rsidR="00047E69" w:rsidRPr="00AE0B87" w:rsidRDefault="00A32819" w:rsidP="00DD6486">
      <w:pPr>
        <w:pStyle w:val="Default"/>
        <w:snapToGrid w:val="0"/>
        <w:rPr>
          <w:sz w:val="22"/>
          <w:szCs w:val="22"/>
        </w:rPr>
      </w:pPr>
      <w:r>
        <w:rPr>
          <w:sz w:val="22"/>
          <w:szCs w:val="22"/>
        </w:rPr>
        <w:t>Vegzelma</w:t>
      </w:r>
      <w:r w:rsidR="00C210A5" w:rsidRPr="00AE0B87">
        <w:rPr>
          <w:sz w:val="22"/>
          <w:szCs w:val="22"/>
        </w:rPr>
        <w:t xml:space="preserve"> is also used for treatment of adult patients with advanced kidney cancer. When used for patients with kidney cancer, it will be administered with another type of medicine called interferon.</w:t>
      </w:r>
    </w:p>
    <w:p w14:paraId="720AFDA9" w14:textId="77777777" w:rsidR="00047E69" w:rsidRPr="00AE0B87" w:rsidRDefault="00047E69" w:rsidP="00DD6486">
      <w:pPr>
        <w:pStyle w:val="Default"/>
        <w:snapToGrid w:val="0"/>
      </w:pPr>
    </w:p>
    <w:p w14:paraId="2AB23C39" w14:textId="680CFAA7" w:rsidR="00047E69" w:rsidRPr="00AE0B87" w:rsidRDefault="00A32819" w:rsidP="00DD6486">
      <w:pPr>
        <w:pStyle w:val="Default"/>
        <w:snapToGrid w:val="0"/>
        <w:rPr>
          <w:rFonts w:eastAsiaTheme="minorEastAsia"/>
          <w:sz w:val="22"/>
          <w:szCs w:val="22"/>
          <w:lang w:eastAsia="en-US"/>
        </w:rPr>
      </w:pPr>
      <w:r>
        <w:lastRenderedPageBreak/>
        <w:t>Vegzelma</w:t>
      </w:r>
      <w:r w:rsidR="00C210A5" w:rsidRPr="00AE0B87">
        <w:rPr>
          <w:rFonts w:eastAsiaTheme="minorEastAsia"/>
          <w:sz w:val="22"/>
          <w:szCs w:val="22"/>
          <w:lang w:eastAsia="en-US"/>
        </w:rPr>
        <w:t xml:space="preserve"> is also used for the treatment of adult patients with advanced epithelial ovarian, fallopian tube, or primary peritoneal cancer. When used for patients with epithelial ovarian, fallopian tube, or primary peritoneal cancer, it will be administered in combination with carboplatin and paclitaxel.</w:t>
      </w:r>
    </w:p>
    <w:p w14:paraId="12BD2C0E" w14:textId="77777777" w:rsidR="00047E69" w:rsidRPr="00AE0B87" w:rsidRDefault="00047E69" w:rsidP="00DD6486">
      <w:pPr>
        <w:pStyle w:val="Default"/>
        <w:snapToGrid w:val="0"/>
        <w:rPr>
          <w:rFonts w:eastAsiaTheme="minorEastAsia"/>
          <w:sz w:val="22"/>
          <w:szCs w:val="22"/>
          <w:lang w:eastAsia="en-US"/>
        </w:rPr>
      </w:pPr>
    </w:p>
    <w:p w14:paraId="7E4FC44A" w14:textId="54F8D7E5" w:rsidR="00047E69" w:rsidRPr="00AE0B87" w:rsidRDefault="00C210A5" w:rsidP="00DD6486">
      <w:pPr>
        <w:widowControl/>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When used for those adult patients with advanced epithelial ovarian, fallopian tube, or primary peritoneal cancer whose disease has come back at least 6 months after the last time they were treated with a chemotherapy regimen containing a platinum agent,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will be administered in combination with carboplatin and gemcitabine or with carboplatin and paclitaxel.</w:t>
      </w:r>
    </w:p>
    <w:p w14:paraId="552A355B" w14:textId="77777777" w:rsidR="00047E69" w:rsidRPr="00AE0B87" w:rsidRDefault="00047E69" w:rsidP="00DD6486">
      <w:pPr>
        <w:widowControl/>
        <w:adjustRightInd w:val="0"/>
        <w:snapToGrid w:val="0"/>
        <w:rPr>
          <w:rFonts w:ascii="Times New Roman" w:hAnsi="Times New Roman" w:cs="Times New Roman"/>
          <w:color w:val="000000"/>
        </w:rPr>
      </w:pPr>
    </w:p>
    <w:p w14:paraId="4F4DC23E" w14:textId="697F565D"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When used for those adult patients with advanced epithelial ovarian, fallopian tube, or primary peritoneal cancer whose disease has come back before 6 months after the last time they were treated with a chemotherapy regimen containing a platinum agent,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will be administered in combination with paclitaxel, or topotecan, or pegylated liposomal doxorubicin. </w:t>
      </w:r>
    </w:p>
    <w:p w14:paraId="7521AAB9"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279F721F" w14:textId="71649D51" w:rsidR="00047E69" w:rsidRPr="00AE0B87" w:rsidRDefault="00A32819" w:rsidP="00DD6486">
      <w:pPr>
        <w:widowControl/>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is also used for the treatment of adult patients with persistent, recurrent or metastatic cervical</w:t>
      </w:r>
      <w:r w:rsidR="00C210A5" w:rsidRPr="00AE0B87">
        <w:rPr>
          <w:rFonts w:ascii="Times New Roman" w:eastAsia="Times New Roman" w:hAnsi="Times New Roman" w:cs="Arial"/>
        </w:rPr>
        <w:t xml:space="preserve"> cancer. </w:t>
      </w:r>
      <w:r>
        <w:rPr>
          <w:rFonts w:ascii="Times New Roman" w:eastAsia="Times New Roman" w:hAnsi="Times New Roman" w:cs="Arial"/>
        </w:rPr>
        <w:t>Vegzelma</w:t>
      </w:r>
      <w:r w:rsidR="00C210A5" w:rsidRPr="00AE0B87">
        <w:rPr>
          <w:rFonts w:ascii="Times New Roman" w:eastAsia="Times New Roman" w:hAnsi="Times New Roman" w:cs="Arial"/>
        </w:rPr>
        <w:t xml:space="preserve"> w</w:t>
      </w:r>
      <w:r w:rsidR="00C210A5" w:rsidRPr="00AE0B87">
        <w:rPr>
          <w:rFonts w:ascii="Times New Roman" w:hAnsi="Times New Roman" w:cs="Times New Roman"/>
          <w:color w:val="000000"/>
        </w:rPr>
        <w:t xml:space="preserve">ill be administered in combination with paclitaxel and cisplatin or, alternatively, paclitaxel and topotecan in patients who cannot receive platinum therapy. </w:t>
      </w:r>
    </w:p>
    <w:p w14:paraId="2AE9CCEE" w14:textId="77777777" w:rsidR="00047E69" w:rsidRPr="00AE0B87" w:rsidRDefault="00047E69" w:rsidP="00DD6486">
      <w:pPr>
        <w:widowControl/>
        <w:adjustRightInd w:val="0"/>
        <w:snapToGrid w:val="0"/>
        <w:rPr>
          <w:rFonts w:ascii="Times New Roman" w:hAnsi="Times New Roman" w:cs="Times New Roman"/>
          <w:noProof/>
        </w:rPr>
      </w:pPr>
    </w:p>
    <w:p w14:paraId="66678CBE" w14:textId="77777777" w:rsidR="00047E69" w:rsidRPr="00AE0B87" w:rsidRDefault="00047E69" w:rsidP="00DD6486">
      <w:pPr>
        <w:widowControl/>
        <w:adjustRightInd w:val="0"/>
        <w:snapToGrid w:val="0"/>
        <w:rPr>
          <w:rFonts w:ascii="Times New Roman" w:hAnsi="Times New Roman" w:cs="Times New Roman"/>
          <w:noProof/>
        </w:rPr>
      </w:pPr>
    </w:p>
    <w:p w14:paraId="2D8F3D66" w14:textId="3BF425F6" w:rsidR="00047E69" w:rsidRPr="00AE0B87" w:rsidRDefault="00C210A5" w:rsidP="00DD6486">
      <w:pPr>
        <w:widowControl/>
        <w:adjustRightInd w:val="0"/>
        <w:snapToGrid w:val="0"/>
        <w:rPr>
          <w:rFonts w:ascii="Times New Roman" w:hAnsi="Times New Roman" w:cs="Times New Roman"/>
          <w:b/>
          <w:noProof/>
        </w:rPr>
      </w:pPr>
      <w:r w:rsidRPr="00AE0B87">
        <w:rPr>
          <w:rFonts w:ascii="Times New Roman" w:hAnsi="Times New Roman" w:cs="Times New Roman"/>
          <w:b/>
          <w:noProof/>
        </w:rPr>
        <w:t>2.</w:t>
      </w:r>
      <w:r w:rsidRPr="00AE0B87">
        <w:rPr>
          <w:rFonts w:ascii="Times New Roman" w:hAnsi="Times New Roman" w:cs="Times New Roman"/>
          <w:b/>
          <w:noProof/>
        </w:rPr>
        <w:tab/>
        <w:t xml:space="preserve">What you need to know before you are given </w:t>
      </w:r>
      <w:r w:rsidR="00A32819">
        <w:rPr>
          <w:rFonts w:ascii="Times New Roman" w:hAnsi="Times New Roman" w:cs="Times New Roman"/>
          <w:b/>
          <w:noProof/>
        </w:rPr>
        <w:t>Vegzelma</w:t>
      </w:r>
    </w:p>
    <w:p w14:paraId="6B334CDE" w14:textId="77777777" w:rsidR="00047E69" w:rsidRPr="00AE0B87" w:rsidRDefault="00047E69" w:rsidP="00DD6486">
      <w:pPr>
        <w:widowControl/>
        <w:adjustRightInd w:val="0"/>
        <w:snapToGrid w:val="0"/>
        <w:rPr>
          <w:rFonts w:ascii="Times New Roman" w:hAnsi="Times New Roman" w:cs="Times New Roman"/>
          <w:i/>
          <w:noProof/>
        </w:rPr>
      </w:pPr>
    </w:p>
    <w:p w14:paraId="2A18C02F" w14:textId="5087D47B" w:rsidR="00047E69" w:rsidRPr="00AE0B87" w:rsidRDefault="00C210A5" w:rsidP="00DD6486">
      <w:pPr>
        <w:widowControl/>
        <w:numPr>
          <w:ilvl w:val="12"/>
          <w:numId w:val="0"/>
        </w:numPr>
        <w:adjustRightInd w:val="0"/>
        <w:snapToGrid w:val="0"/>
        <w:rPr>
          <w:rFonts w:ascii="Times New Roman" w:hAnsi="Times New Roman" w:cs="Times New Roman"/>
          <w:noProof/>
        </w:rPr>
      </w:pPr>
      <w:r w:rsidRPr="00AE0B87">
        <w:rPr>
          <w:rFonts w:ascii="Times New Roman" w:hAnsi="Times New Roman" w:cs="Times New Roman"/>
          <w:b/>
          <w:noProof/>
        </w:rPr>
        <w:t xml:space="preserve">Do not use </w:t>
      </w:r>
      <w:r w:rsidR="00A32819">
        <w:rPr>
          <w:rFonts w:ascii="Times New Roman" w:hAnsi="Times New Roman" w:cs="Times New Roman"/>
          <w:b/>
          <w:noProof/>
        </w:rPr>
        <w:t>Vegzelma</w:t>
      </w:r>
      <w:r w:rsidRPr="00AE0B87">
        <w:rPr>
          <w:rFonts w:ascii="Times New Roman" w:eastAsia="맑은 고딕" w:hAnsi="Times New Roman" w:cs="Times New Roman"/>
          <w:b/>
          <w:noProof/>
          <w:lang w:eastAsia="ko-KR"/>
        </w:rPr>
        <w:t xml:space="preserve"> if</w:t>
      </w:r>
      <w:r w:rsidRPr="00AE0B87">
        <w:rPr>
          <w:rFonts w:ascii="Times New Roman" w:hAnsi="Times New Roman" w:cs="Times New Roman"/>
          <w:b/>
          <w:noProof/>
        </w:rPr>
        <w:t>:</w:t>
      </w:r>
    </w:p>
    <w:p w14:paraId="12919555" w14:textId="106E9ED8" w:rsidR="00047E69" w:rsidRPr="00AE0B87" w:rsidRDefault="00C210A5" w:rsidP="00DD6486">
      <w:pPr>
        <w:pStyle w:val="a5"/>
        <w:widowControl/>
        <w:numPr>
          <w:ilvl w:val="0"/>
          <w:numId w:val="34"/>
        </w:numPr>
        <w:tabs>
          <w:tab w:val="left" w:pos="836"/>
        </w:tabs>
        <w:snapToGrid w:val="0"/>
        <w:ind w:left="567" w:right="531" w:hanging="567"/>
        <w:rPr>
          <w:rFonts w:eastAsiaTheme="minorEastAsia"/>
        </w:rPr>
      </w:pPr>
      <w:r w:rsidRPr="00AE0B87">
        <w:rPr>
          <w:noProof/>
        </w:rPr>
        <w:t xml:space="preserve">you are allergic </w:t>
      </w:r>
      <w:r w:rsidRPr="00AE0B87">
        <w:rPr>
          <w:rFonts w:eastAsiaTheme="minorEastAsia"/>
        </w:rPr>
        <w:t>(hypersensitive) to bevacizumab or to any of the other ingredients of this medicine (listed in section 6).</w:t>
      </w:r>
      <w:bookmarkStart w:id="32" w:name="_Hlk183099922"/>
      <w:r w:rsidRPr="00AE0B87">
        <w:rPr>
          <w:rFonts w:eastAsiaTheme="minorEastAsia"/>
        </w:rPr>
        <w:t xml:space="preserve"> </w:t>
      </w:r>
      <w:bookmarkEnd w:id="32"/>
    </w:p>
    <w:p w14:paraId="761A9194" w14:textId="77777777" w:rsidR="00047E69" w:rsidRPr="00AE0B87" w:rsidRDefault="00C210A5" w:rsidP="00DD6486">
      <w:pPr>
        <w:pStyle w:val="a6"/>
        <w:widowControl/>
        <w:numPr>
          <w:ilvl w:val="0"/>
          <w:numId w:val="34"/>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you are allergic (hypersensitive) to Chinese hamster ovary (CHO) cell products or to other recombinant human or humanised antibodies. </w:t>
      </w:r>
    </w:p>
    <w:p w14:paraId="744FC157" w14:textId="77777777" w:rsidR="00047E69" w:rsidRPr="00AE0B87" w:rsidRDefault="00C210A5" w:rsidP="00DD6486">
      <w:pPr>
        <w:pStyle w:val="a6"/>
        <w:widowControl/>
        <w:numPr>
          <w:ilvl w:val="0"/>
          <w:numId w:val="34"/>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you are pregnant.</w:t>
      </w:r>
    </w:p>
    <w:p w14:paraId="32B91A12" w14:textId="77777777" w:rsidR="00047E69" w:rsidRPr="00AE0B87" w:rsidRDefault="00047E69" w:rsidP="00DD6486">
      <w:pPr>
        <w:pStyle w:val="a6"/>
        <w:widowControl/>
        <w:adjustRightInd w:val="0"/>
        <w:snapToGrid w:val="0"/>
        <w:rPr>
          <w:rFonts w:eastAsia="맑은 고딕"/>
          <w:noProof/>
          <w:lang w:eastAsia="ko-KR"/>
        </w:rPr>
      </w:pPr>
    </w:p>
    <w:p w14:paraId="1F8C66DD" w14:textId="77777777" w:rsidR="00047E69" w:rsidRPr="00AE0B87" w:rsidRDefault="00C210A5" w:rsidP="00DD6486">
      <w:pPr>
        <w:keepNext/>
        <w:widowControl/>
        <w:numPr>
          <w:ilvl w:val="12"/>
          <w:numId w:val="0"/>
        </w:numPr>
        <w:adjustRightInd w:val="0"/>
        <w:snapToGrid w:val="0"/>
        <w:rPr>
          <w:rFonts w:ascii="Times New Roman" w:eastAsia="맑은 고딕" w:hAnsi="Times New Roman" w:cs="Times New Roman"/>
          <w:b/>
          <w:noProof/>
          <w:lang w:eastAsia="ko-KR"/>
        </w:rPr>
      </w:pPr>
      <w:r w:rsidRPr="00AE0B87">
        <w:rPr>
          <w:rFonts w:ascii="Times New Roman" w:hAnsi="Times New Roman" w:cs="Times New Roman"/>
          <w:b/>
          <w:noProof/>
        </w:rPr>
        <w:t xml:space="preserve">Warnings and precautions </w:t>
      </w:r>
    </w:p>
    <w:p w14:paraId="6852DD10" w14:textId="77777777" w:rsidR="00047E69" w:rsidRPr="00AE0B87" w:rsidRDefault="00047E69" w:rsidP="00DD6486">
      <w:pPr>
        <w:keepNext/>
        <w:widowControl/>
        <w:adjustRightInd w:val="0"/>
        <w:snapToGrid w:val="0"/>
        <w:rPr>
          <w:rFonts w:ascii="Times New Roman" w:eastAsia="맑은 고딕" w:hAnsi="Times New Roman" w:cs="Times New Roman"/>
          <w:lang w:eastAsia="ko-KR"/>
        </w:rPr>
      </w:pPr>
    </w:p>
    <w:p w14:paraId="4DF7A92B" w14:textId="05EF45B5"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Talk to your doctor, pharmacist or nurse before using </w:t>
      </w:r>
      <w:r w:rsidR="00A32819">
        <w:rPr>
          <w:rFonts w:ascii="Times New Roman" w:hAnsi="Times New Roman" w:cs="Times New Roman"/>
          <w:color w:val="000000"/>
        </w:rPr>
        <w:t>Vegzelma</w:t>
      </w:r>
    </w:p>
    <w:p w14:paraId="3121C837"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780AA78A" w14:textId="4751EE1F" w:rsidR="00047E69" w:rsidRPr="00AE0B87" w:rsidRDefault="00C210A5"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It is possible that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may increase the risk of developing holes in the gut wall. If you have conditions causing inflammation inside the abdomen (e.g. diverticulitis, stomach ulcers, colitis associated with chemotherapy), please discuss this with your doctor. </w:t>
      </w:r>
    </w:p>
    <w:p w14:paraId="4BCA56DD" w14:textId="77777777" w:rsidR="00047E69" w:rsidRPr="00AE0B87" w:rsidRDefault="00047E69" w:rsidP="00DD6486">
      <w:pPr>
        <w:pStyle w:val="a6"/>
        <w:widowControl/>
        <w:autoSpaceDE w:val="0"/>
        <w:autoSpaceDN w:val="0"/>
        <w:adjustRightInd w:val="0"/>
        <w:snapToGrid w:val="0"/>
        <w:ind w:left="567" w:hanging="567"/>
        <w:rPr>
          <w:rFonts w:ascii="Times New Roman" w:hAnsi="Times New Roman" w:cs="Times New Roman"/>
          <w:color w:val="000000"/>
        </w:rPr>
      </w:pPr>
    </w:p>
    <w:p w14:paraId="2C732E55" w14:textId="2D28EC09"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may increase the risk of developing an abnormal connection or passageway between two organs or vessels. The risk of developing connections between the vagina and any parts of the gut can increase if you have persistent, recurrent or metastatic cervical cancer. </w:t>
      </w:r>
    </w:p>
    <w:p w14:paraId="59C548BF" w14:textId="77777777" w:rsidR="00047E69" w:rsidRPr="00AE0B87" w:rsidRDefault="00047E69" w:rsidP="00DD6486">
      <w:pPr>
        <w:pStyle w:val="a6"/>
        <w:widowControl/>
        <w:autoSpaceDE w:val="0"/>
        <w:autoSpaceDN w:val="0"/>
        <w:adjustRightInd w:val="0"/>
        <w:snapToGrid w:val="0"/>
        <w:ind w:left="567" w:hanging="567"/>
        <w:rPr>
          <w:rFonts w:ascii="Times New Roman" w:hAnsi="Times New Roman" w:cs="Times New Roman"/>
          <w:color w:val="000000"/>
        </w:rPr>
      </w:pPr>
    </w:p>
    <w:p w14:paraId="0084A760" w14:textId="15F3E7C5"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can increase the risk of bleeding or increase the risk of problems with wound healing after surgery. If you are going to have an operation, if you have had major surgery within the last 28 days or if you still have an unhealed wound following surgery, you should not receive this medicine. </w:t>
      </w:r>
    </w:p>
    <w:p w14:paraId="7C15B522"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67D2E072" w14:textId="490F2384" w:rsidR="00047E69" w:rsidRPr="00AE0B87" w:rsidRDefault="00A32819" w:rsidP="00DD6486">
      <w:pPr>
        <w:pStyle w:val="a6"/>
        <w:widowControl/>
        <w:numPr>
          <w:ilvl w:val="0"/>
          <w:numId w:val="35"/>
        </w:numPr>
        <w:adjustRightInd w:val="0"/>
        <w:snapToGrid w:val="0"/>
        <w:ind w:left="567" w:hanging="567"/>
        <w:rPr>
          <w:rFonts w:ascii="Times New Roman" w:hAnsi="Times New Roman" w:cs="Times New Roman"/>
          <w:noProof/>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may increase the risk of developing serious infections of the skin or deeper layers under the skin, especially if you had holes in the gut wall or problems with wound healing. </w:t>
      </w:r>
    </w:p>
    <w:p w14:paraId="1FF96DFA" w14:textId="77777777" w:rsidR="00047E69" w:rsidRPr="00AE0B87" w:rsidRDefault="00047E69" w:rsidP="00DD6486">
      <w:pPr>
        <w:widowControl/>
        <w:adjustRightInd w:val="0"/>
        <w:snapToGrid w:val="0"/>
        <w:ind w:left="567" w:hanging="567"/>
        <w:rPr>
          <w:rFonts w:ascii="Times New Roman" w:hAnsi="Times New Roman" w:cs="Times New Roman"/>
          <w:noProof/>
        </w:rPr>
      </w:pPr>
    </w:p>
    <w:p w14:paraId="3EFCCD43" w14:textId="779C1346"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can increase the incidence of high blood pressure. If you have high blood pressure which is not well controlled with blood pressure medicines, please consult your doctor as it is important to make sure that your blood pressure is under control before starting </w:t>
      </w:r>
      <w:r>
        <w:rPr>
          <w:rFonts w:ascii="Times New Roman" w:hAnsi="Times New Roman" w:cs="Times New Roman"/>
          <w:color w:val="000000"/>
        </w:rPr>
        <w:t>Vegzelma</w:t>
      </w:r>
      <w:r w:rsidR="00C210A5" w:rsidRPr="00AE0B87">
        <w:rPr>
          <w:rFonts w:ascii="Times New Roman" w:hAnsi="Times New Roman" w:cs="Times New Roman"/>
          <w:color w:val="000000"/>
        </w:rPr>
        <w:t xml:space="preserve"> treatment. </w:t>
      </w:r>
    </w:p>
    <w:p w14:paraId="035B5B16" w14:textId="77777777" w:rsidR="00047E69" w:rsidRPr="00AE0B87" w:rsidRDefault="00047E69" w:rsidP="00DD6486">
      <w:pPr>
        <w:pStyle w:val="a6"/>
        <w:widowControl/>
        <w:autoSpaceDE w:val="0"/>
        <w:autoSpaceDN w:val="0"/>
        <w:adjustRightInd w:val="0"/>
        <w:snapToGrid w:val="0"/>
        <w:ind w:left="567" w:hanging="567"/>
        <w:rPr>
          <w:rFonts w:ascii="Times New Roman" w:hAnsi="Times New Roman" w:cs="Times New Roman"/>
          <w:color w:val="000000"/>
        </w:rPr>
      </w:pPr>
    </w:p>
    <w:p w14:paraId="62C20301" w14:textId="77777777" w:rsidR="00047E69" w:rsidRPr="00AE0B87" w:rsidRDefault="00C210A5"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If you have or have had an aneurysm (enlargement and weakening of a blood vessel wall) or a tear in a blood vessel wall.</w:t>
      </w:r>
    </w:p>
    <w:p w14:paraId="47FA170D"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605337D2" w14:textId="399C5665"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lastRenderedPageBreak/>
        <w:t>Vegzelma</w:t>
      </w:r>
      <w:r w:rsidR="00C210A5" w:rsidRPr="00AE0B87">
        <w:rPr>
          <w:rFonts w:ascii="Times New Roman" w:hAnsi="Times New Roman" w:cs="Times New Roman"/>
          <w:color w:val="000000"/>
        </w:rPr>
        <w:t xml:space="preserve"> increases the risk of having protein in your urine especially if you already have high blood pressure.</w:t>
      </w:r>
    </w:p>
    <w:p w14:paraId="739154EB" w14:textId="77777777" w:rsidR="00047E69" w:rsidRPr="00AE0B87" w:rsidRDefault="00047E69" w:rsidP="00DD6486">
      <w:pPr>
        <w:pStyle w:val="a6"/>
        <w:widowControl/>
        <w:autoSpaceDE w:val="0"/>
        <w:autoSpaceDN w:val="0"/>
        <w:adjustRightInd w:val="0"/>
        <w:snapToGrid w:val="0"/>
        <w:ind w:left="567" w:hanging="567"/>
        <w:rPr>
          <w:rFonts w:ascii="Times New Roman" w:hAnsi="Times New Roman" w:cs="Times New Roman"/>
          <w:color w:val="000000"/>
        </w:rPr>
      </w:pPr>
    </w:p>
    <w:p w14:paraId="2973AF36" w14:textId="77777777" w:rsidR="00047E69" w:rsidRPr="00AE0B87" w:rsidRDefault="00C210A5" w:rsidP="00DD6486">
      <w:pPr>
        <w:pStyle w:val="a6"/>
        <w:widowControl/>
        <w:numPr>
          <w:ilvl w:val="0"/>
          <w:numId w:val="35"/>
        </w:numPr>
        <w:adjustRightInd w:val="0"/>
        <w:snapToGrid w:val="0"/>
        <w:ind w:left="567" w:hanging="567"/>
        <w:rPr>
          <w:rFonts w:ascii="Times New Roman" w:hAnsi="Times New Roman" w:cs="Times New Roman"/>
          <w:noProof/>
        </w:rPr>
      </w:pPr>
      <w:r w:rsidRPr="00AE0B87">
        <w:rPr>
          <w:rFonts w:ascii="Times New Roman" w:hAnsi="Times New Roman" w:cs="Times New Roman"/>
          <w:color w:val="000000"/>
        </w:rPr>
        <w:t>The risk of developing blood clots in your arteries (a type of blood vessel) can increase if you are over 65 years old, if you have diabetes, or if you have had previous blood clots in your arteries. Please talk to your doctor since blood clots can lead to heart attack and stroke.</w:t>
      </w:r>
    </w:p>
    <w:p w14:paraId="56157D90" w14:textId="77777777" w:rsidR="00047E69" w:rsidRPr="00AE0B87" w:rsidRDefault="00047E69" w:rsidP="00DD6486">
      <w:pPr>
        <w:pStyle w:val="a6"/>
        <w:widowControl/>
        <w:adjustRightInd w:val="0"/>
        <w:snapToGrid w:val="0"/>
        <w:ind w:left="567" w:hanging="567"/>
        <w:rPr>
          <w:rFonts w:ascii="Times New Roman" w:hAnsi="Times New Roman" w:cs="Times New Roman"/>
          <w:noProof/>
        </w:rPr>
      </w:pPr>
    </w:p>
    <w:p w14:paraId="117EDA14" w14:textId="3DAB452C"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can also increase the risk of developing blood clots in your veins (a type of blood vessel). </w:t>
      </w:r>
    </w:p>
    <w:p w14:paraId="4A80DFCC"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4D16673B" w14:textId="6E8972B6"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may cause bleeding, especially tumour-related bleeding. Please consult your doctor if you or your family tend to suffer from bleeding problems or you are taking medicines to thin the blood for any reason. </w:t>
      </w:r>
    </w:p>
    <w:p w14:paraId="6F831F44"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145375EE" w14:textId="2A02A622" w:rsidR="00047E69" w:rsidRPr="00AE0B87" w:rsidRDefault="00C210A5"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It is possible that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may cause bleeding in and around your brain. Please discuss this with your doctor if you have metastatic cancer affecting your brain. </w:t>
      </w:r>
    </w:p>
    <w:p w14:paraId="60DFF99C"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0B77C0D3" w14:textId="42AC1D20" w:rsidR="00047E69" w:rsidRPr="00AE0B87" w:rsidRDefault="00C210A5"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It is possible that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can increase the risk of bleeding in your lungs, including coughing or spitting blood. Please discuss with your doctor if you noticed this previously. </w:t>
      </w:r>
    </w:p>
    <w:p w14:paraId="0C2D0864"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36A79E79" w14:textId="5FE625FF"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can increase the risk of developing a weak heart. It is important that your doctor knows if you have ever received anthracyclines (for example doxorubicin, a specific type of chemotherapy used to treat some cancers) or had radiotherapy to your chest, or if you have heart disease. </w:t>
      </w:r>
    </w:p>
    <w:p w14:paraId="57775FFF"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19AAA3E3" w14:textId="1B4C8B85" w:rsidR="00047E69" w:rsidRPr="00AE0B87" w:rsidRDefault="00A32819"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may cause infections and a decreased number of your neutrophils (a type of blood cell important for your protection against bacteria). </w:t>
      </w:r>
    </w:p>
    <w:p w14:paraId="425E04AC"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2BE5FFB8" w14:textId="629125A9" w:rsidR="00047E69" w:rsidRPr="00AE0B87" w:rsidRDefault="00C210A5" w:rsidP="00DD6486">
      <w:pPr>
        <w:pStyle w:val="a6"/>
        <w:widowControl/>
        <w:numPr>
          <w:ilvl w:val="0"/>
          <w:numId w:val="35"/>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It is possible that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can cause hypersensitivity</w:t>
      </w:r>
      <w:r w:rsidR="00A768A9" w:rsidRPr="00AE0B87">
        <w:rPr>
          <w:rFonts w:ascii="Times New Roman" w:hAnsi="Times New Roman" w:cs="Times New Roman"/>
          <w:color w:val="000000"/>
        </w:rPr>
        <w:t xml:space="preserve"> (including anaphylactic shock)</w:t>
      </w:r>
      <w:r w:rsidRPr="00AE0B87">
        <w:rPr>
          <w:rFonts w:ascii="Times New Roman" w:hAnsi="Times New Roman" w:cs="Times New Roman"/>
          <w:color w:val="000000"/>
        </w:rPr>
        <w:t xml:space="preserve"> and/or infusion reactions (reactions related to your injection of the medicine). Please let your doctor, pharmacist or nurse know if you have previously experienced problems after injections, such as dizziness/feeling of fainting, breathlessness, swelling or skin rash. </w:t>
      </w:r>
    </w:p>
    <w:p w14:paraId="31900964" w14:textId="77777777" w:rsidR="00047E69" w:rsidRPr="00AE0B87" w:rsidRDefault="00047E69" w:rsidP="00DD6486">
      <w:pPr>
        <w:widowControl/>
        <w:autoSpaceDE w:val="0"/>
        <w:autoSpaceDN w:val="0"/>
        <w:adjustRightInd w:val="0"/>
        <w:snapToGrid w:val="0"/>
        <w:ind w:left="567" w:hanging="567"/>
        <w:rPr>
          <w:rFonts w:ascii="Times New Roman" w:hAnsi="Times New Roman" w:cs="Times New Roman"/>
          <w:color w:val="000000"/>
        </w:rPr>
      </w:pPr>
    </w:p>
    <w:p w14:paraId="7DC5091B" w14:textId="755EB502" w:rsidR="00047E69" w:rsidRPr="00AE0B87" w:rsidRDefault="00C210A5" w:rsidP="00DD6486">
      <w:pPr>
        <w:pStyle w:val="a6"/>
        <w:widowControl/>
        <w:numPr>
          <w:ilvl w:val="0"/>
          <w:numId w:val="35"/>
        </w:numPr>
        <w:adjustRightInd w:val="0"/>
        <w:snapToGrid w:val="0"/>
        <w:ind w:left="567" w:hanging="567"/>
        <w:rPr>
          <w:rFonts w:ascii="Times New Roman" w:hAnsi="Times New Roman" w:cs="Times New Roman"/>
          <w:noProof/>
        </w:rPr>
      </w:pPr>
      <w:r w:rsidRPr="00AE0B87">
        <w:rPr>
          <w:rFonts w:ascii="Times New Roman" w:hAnsi="Times New Roman" w:cs="Times New Roman"/>
          <w:color w:val="000000"/>
        </w:rPr>
        <w:t xml:space="preserve">A rare neurological side effect named posterior reversible encephalopathy syndrome (PRES) has been associated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treatment. If you have headache, vision changes, confus</w:t>
      </w:r>
      <w:r w:rsidRPr="00AE0B87">
        <w:rPr>
          <w:rFonts w:ascii="Times New Roman" w:eastAsia="Times New Roman" w:hAnsi="Times New Roman" w:cs="Arial"/>
        </w:rPr>
        <w:t xml:space="preserve">ion or seizure with </w:t>
      </w:r>
      <w:r w:rsidRPr="00AE0B87">
        <w:rPr>
          <w:rFonts w:ascii="Times New Roman" w:hAnsi="Times New Roman" w:cs="Times New Roman"/>
          <w:color w:val="000000"/>
        </w:rPr>
        <w:t>or without high blood pressure, please contact your doctor.</w:t>
      </w:r>
    </w:p>
    <w:p w14:paraId="0AFB5177" w14:textId="77777777" w:rsidR="00047E69" w:rsidRPr="00AE0B87" w:rsidRDefault="00047E69" w:rsidP="00DD6486">
      <w:pPr>
        <w:widowControl/>
        <w:adjustRightInd w:val="0"/>
        <w:snapToGrid w:val="0"/>
        <w:rPr>
          <w:rFonts w:ascii="Times New Roman" w:hAnsi="Times New Roman" w:cs="Times New Roman"/>
          <w:noProof/>
        </w:rPr>
      </w:pPr>
    </w:p>
    <w:p w14:paraId="6670F10F" w14:textId="77777777"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Please consult your doctor, even if these above statements were only applicable to you in the past. </w:t>
      </w:r>
    </w:p>
    <w:p w14:paraId="15DCBA72"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4FE973C4" w14:textId="0652D4E6"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Before you are given </w:t>
      </w:r>
      <w:r w:rsidR="00A32819">
        <w:rPr>
          <w:rFonts w:ascii="Times New Roman" w:hAnsi="Times New Roman" w:cs="Times New Roman"/>
          <w:color w:val="000000"/>
        </w:rPr>
        <w:t>Vegzelma</w:t>
      </w:r>
      <w:r w:rsidRPr="00AE0B87">
        <w:rPr>
          <w:rFonts w:ascii="Times New Roman" w:hAnsi="Times New Roman" w:cs="Times New Roman"/>
          <w:color w:val="000000"/>
        </w:rPr>
        <w:t xml:space="preserve"> or while you are being treated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w:t>
      </w:r>
    </w:p>
    <w:p w14:paraId="4A0B0390"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23949197" w14:textId="77777777" w:rsidR="00047E69" w:rsidRPr="00AE0B87" w:rsidRDefault="00C210A5" w:rsidP="00DD6486">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if you</w:t>
      </w:r>
      <w:r w:rsidRPr="00AE0B87">
        <w:rPr>
          <w:rFonts w:ascii="Times New Roman" w:eastAsia="Times New Roman" w:hAnsi="Times New Roman" w:cs="Arial"/>
        </w:rPr>
        <w:t xml:space="preserve"> have or have had pain in the mouth, teeth and/or jaw, swelling or sores inside the mouth, numbness or a feeling of h</w:t>
      </w:r>
      <w:r w:rsidRPr="00AE0B87">
        <w:rPr>
          <w:rFonts w:ascii="Times New Roman" w:hAnsi="Times New Roman" w:cs="Times New Roman"/>
          <w:color w:val="000000"/>
        </w:rPr>
        <w:t>eaviness in the jaw, or loosening of a tooth tell your doctor and dentist immediately</w:t>
      </w:r>
      <w:r w:rsidRPr="00AE0B87">
        <w:rPr>
          <w:rFonts w:ascii="Times New Roman" w:hAnsi="Times New Roman" w:cs="Times New Roman"/>
          <w:i/>
          <w:iCs/>
          <w:color w:val="000000"/>
        </w:rPr>
        <w:t xml:space="preserve">. </w:t>
      </w:r>
    </w:p>
    <w:p w14:paraId="15A22560" w14:textId="32BE3028" w:rsidR="00047E69" w:rsidRPr="00AE0B87" w:rsidRDefault="00C210A5" w:rsidP="00DD6486">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if you need to undergo an invasive dental treatment or dental surgery, tell your dentist that you are being treated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(bevacizumab), in particular when you are also receiving or have received an injection of bisphosphonate into your blood. </w:t>
      </w:r>
    </w:p>
    <w:p w14:paraId="08808D59" w14:textId="77777777" w:rsidR="00047E69" w:rsidRPr="00AE0B87" w:rsidRDefault="00047E69" w:rsidP="00DD6486">
      <w:pPr>
        <w:widowControl/>
        <w:adjustRightInd w:val="0"/>
        <w:snapToGrid w:val="0"/>
        <w:rPr>
          <w:rFonts w:ascii="Times New Roman" w:hAnsi="Times New Roman" w:cs="Times New Roman"/>
          <w:color w:val="000000"/>
        </w:rPr>
      </w:pPr>
    </w:p>
    <w:p w14:paraId="46BB4F05" w14:textId="454A35A3" w:rsidR="00047E69" w:rsidRPr="00AE0B87" w:rsidRDefault="00C210A5" w:rsidP="00DD6486">
      <w:pPr>
        <w:widowControl/>
        <w:adjustRightInd w:val="0"/>
        <w:snapToGrid w:val="0"/>
        <w:rPr>
          <w:rFonts w:ascii="Times New Roman" w:hAnsi="Times New Roman" w:cs="Times New Roman"/>
          <w:noProof/>
        </w:rPr>
      </w:pPr>
      <w:r w:rsidRPr="00AE0B87">
        <w:rPr>
          <w:rFonts w:ascii="Times New Roman" w:hAnsi="Times New Roman" w:cs="Times New Roman"/>
          <w:color w:val="000000"/>
        </w:rPr>
        <w:t xml:space="preserve">You may be advised to have a dental check-up before you start treatment with </w:t>
      </w:r>
      <w:r w:rsidR="00A32819">
        <w:rPr>
          <w:rFonts w:ascii="Times New Roman" w:hAnsi="Times New Roman" w:cs="Times New Roman"/>
          <w:color w:val="000000"/>
        </w:rPr>
        <w:t>Vegzelma</w:t>
      </w:r>
      <w:r w:rsidRPr="00AE0B87">
        <w:rPr>
          <w:rFonts w:ascii="Times New Roman" w:hAnsi="Times New Roman" w:cs="Times New Roman"/>
          <w:color w:val="000000"/>
        </w:rPr>
        <w:t>.</w:t>
      </w:r>
    </w:p>
    <w:p w14:paraId="1AD35BCB" w14:textId="77777777" w:rsidR="00047E69" w:rsidRPr="00AE0B87" w:rsidRDefault="00047E69" w:rsidP="00DD6486">
      <w:pPr>
        <w:widowControl/>
        <w:adjustRightInd w:val="0"/>
        <w:snapToGrid w:val="0"/>
        <w:rPr>
          <w:rFonts w:ascii="Times New Roman" w:hAnsi="Times New Roman" w:cs="Times New Roman"/>
          <w:noProof/>
        </w:rPr>
      </w:pPr>
    </w:p>
    <w:p w14:paraId="623B52B1" w14:textId="77777777" w:rsidR="00047E69" w:rsidRPr="00AE0B87" w:rsidRDefault="00C210A5" w:rsidP="00DD6486">
      <w:pPr>
        <w:widowControl/>
        <w:adjustRightInd w:val="0"/>
        <w:snapToGrid w:val="0"/>
        <w:rPr>
          <w:rFonts w:ascii="Times New Roman" w:hAnsi="Times New Roman" w:cs="Times New Roman"/>
          <w:b/>
          <w:bCs/>
          <w:noProof/>
        </w:rPr>
      </w:pPr>
      <w:r w:rsidRPr="00AE0B87">
        <w:rPr>
          <w:rFonts w:ascii="Times New Roman" w:hAnsi="Times New Roman" w:cs="Times New Roman"/>
          <w:b/>
          <w:bCs/>
          <w:noProof/>
        </w:rPr>
        <w:t>Children and adolescents</w:t>
      </w:r>
    </w:p>
    <w:p w14:paraId="18E043D8" w14:textId="77777777" w:rsidR="00047E69" w:rsidRPr="00AE0B87" w:rsidRDefault="00047E69" w:rsidP="00DD6486">
      <w:pPr>
        <w:widowControl/>
        <w:numPr>
          <w:ilvl w:val="12"/>
          <w:numId w:val="0"/>
        </w:numPr>
        <w:adjustRightInd w:val="0"/>
        <w:snapToGrid w:val="0"/>
        <w:rPr>
          <w:rFonts w:ascii="Times New Roman" w:eastAsia="맑은 고딕" w:hAnsi="Times New Roman" w:cs="Times New Roman"/>
          <w:b/>
          <w:bCs/>
          <w:noProof/>
          <w:lang w:eastAsia="ko-KR"/>
        </w:rPr>
      </w:pPr>
    </w:p>
    <w:p w14:paraId="6E976C64" w14:textId="4AF89684" w:rsidR="00047E69" w:rsidRPr="00AE0B87" w:rsidRDefault="00A32819" w:rsidP="00DD6486">
      <w:pPr>
        <w:widowControl/>
        <w:numPr>
          <w:ilvl w:val="12"/>
          <w:numId w:val="0"/>
        </w:numPr>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use is not recommended in children and adolescents under the age of 18 years because the</w:t>
      </w:r>
      <w:r w:rsidR="00C210A5" w:rsidRPr="00AE0B87">
        <w:rPr>
          <w:rFonts w:ascii="Times New Roman" w:hAnsi="Times New Roman" w:cs="Times New Roman" w:hint="eastAsia"/>
          <w:color w:val="000000"/>
          <w:lang w:eastAsia="ko-KR"/>
        </w:rPr>
        <w:t xml:space="preserve"> </w:t>
      </w:r>
      <w:r w:rsidR="00C210A5" w:rsidRPr="00AE0B87">
        <w:rPr>
          <w:rFonts w:ascii="Times New Roman" w:hAnsi="Times New Roman" w:cs="Times New Roman"/>
          <w:color w:val="000000"/>
        </w:rPr>
        <w:t>safety and benefit have not been established in these patient populations.</w:t>
      </w:r>
    </w:p>
    <w:p w14:paraId="422617A3" w14:textId="77777777" w:rsidR="00047E69" w:rsidRPr="00AE0B87" w:rsidRDefault="00047E69" w:rsidP="00DD6486">
      <w:pPr>
        <w:widowControl/>
        <w:numPr>
          <w:ilvl w:val="12"/>
          <w:numId w:val="0"/>
        </w:numPr>
        <w:adjustRightInd w:val="0"/>
        <w:snapToGrid w:val="0"/>
        <w:rPr>
          <w:rFonts w:ascii="Times New Roman" w:hAnsi="Times New Roman" w:cs="Times New Roman"/>
          <w:color w:val="000000"/>
        </w:rPr>
      </w:pPr>
    </w:p>
    <w:p w14:paraId="4A65A3DA" w14:textId="77777777" w:rsidR="00047E69" w:rsidRPr="00AE0B87" w:rsidRDefault="00C210A5" w:rsidP="00DD6486">
      <w:pPr>
        <w:widowControl/>
        <w:numPr>
          <w:ilvl w:val="12"/>
          <w:numId w:val="0"/>
        </w:numPr>
        <w:adjustRightInd w:val="0"/>
        <w:snapToGrid w:val="0"/>
        <w:rPr>
          <w:rFonts w:ascii="Times New Roman" w:hAnsi="Times New Roman" w:cs="Times New Roman"/>
          <w:color w:val="000000"/>
        </w:rPr>
      </w:pPr>
      <w:r w:rsidRPr="00AE0B87">
        <w:rPr>
          <w:rFonts w:ascii="Times New Roman" w:hAnsi="Times New Roman" w:cs="Times New Roman"/>
          <w:color w:val="000000"/>
        </w:rPr>
        <w:t>Death of bone tissue (osteonecrosis) in bones other than the jaw have been reported in patients under</w:t>
      </w:r>
    </w:p>
    <w:p w14:paraId="384BC1A8" w14:textId="77777777" w:rsidR="00047E69" w:rsidRPr="00AE0B87" w:rsidRDefault="00C210A5" w:rsidP="00DD6486">
      <w:pPr>
        <w:widowControl/>
        <w:numPr>
          <w:ilvl w:val="12"/>
          <w:numId w:val="0"/>
        </w:numPr>
        <w:adjustRightInd w:val="0"/>
        <w:snapToGrid w:val="0"/>
        <w:rPr>
          <w:rFonts w:ascii="Times New Roman" w:eastAsia="맑은 고딕" w:hAnsi="Times New Roman" w:cs="Times New Roman"/>
          <w:color w:val="000000"/>
          <w:lang w:eastAsia="ko-KR"/>
        </w:rPr>
      </w:pPr>
      <w:r w:rsidRPr="00AE0B87">
        <w:rPr>
          <w:rFonts w:ascii="Times New Roman" w:hAnsi="Times New Roman" w:cs="Times New Roman"/>
          <w:color w:val="000000"/>
        </w:rPr>
        <w:t>18 years old when treated with bevacizumab.</w:t>
      </w:r>
      <w:r w:rsidRPr="00AE0B87">
        <w:rPr>
          <w:rFonts w:ascii="Times New Roman" w:eastAsia="맑은 고딕" w:hAnsi="Times New Roman" w:cs="Times New Roman"/>
          <w:color w:val="000000"/>
          <w:lang w:eastAsia="ko-KR"/>
        </w:rPr>
        <w:t xml:space="preserve"> </w:t>
      </w:r>
    </w:p>
    <w:p w14:paraId="3975DABE" w14:textId="3DB319CC" w:rsidR="00047E69" w:rsidRPr="00AE0B87" w:rsidRDefault="00C210A5" w:rsidP="00DD6486">
      <w:pPr>
        <w:widowControl/>
        <w:numPr>
          <w:ilvl w:val="12"/>
          <w:numId w:val="0"/>
        </w:numPr>
        <w:adjustRightInd w:val="0"/>
        <w:snapToGrid w:val="0"/>
        <w:rPr>
          <w:rFonts w:ascii="Times New Roman" w:eastAsia="맑은 고딕" w:hAnsi="Times New Roman" w:cs="Times New Roman"/>
          <w:b/>
          <w:bCs/>
          <w:lang w:eastAsia="ko-KR"/>
        </w:rPr>
      </w:pPr>
      <w:r w:rsidRPr="00AE0B87">
        <w:rPr>
          <w:rFonts w:ascii="Times New Roman" w:hAnsi="Times New Roman" w:cs="Times New Roman"/>
          <w:b/>
          <w:bCs/>
        </w:rPr>
        <w:lastRenderedPageBreak/>
        <w:t xml:space="preserve">Other medicines and </w:t>
      </w:r>
      <w:r w:rsidR="00A32819">
        <w:rPr>
          <w:rFonts w:ascii="Times New Roman" w:eastAsia="맑은 고딕" w:hAnsi="Times New Roman" w:cs="Times New Roman"/>
          <w:b/>
          <w:bCs/>
          <w:lang w:eastAsia="ko-KR"/>
        </w:rPr>
        <w:t>Vegzelma</w:t>
      </w:r>
    </w:p>
    <w:p w14:paraId="79556EFB" w14:textId="77777777" w:rsidR="00047E69" w:rsidRPr="00AE0B87" w:rsidRDefault="00047E69" w:rsidP="00DD6486">
      <w:pPr>
        <w:widowControl/>
        <w:numPr>
          <w:ilvl w:val="12"/>
          <w:numId w:val="0"/>
        </w:numPr>
        <w:adjustRightInd w:val="0"/>
        <w:snapToGrid w:val="0"/>
        <w:rPr>
          <w:rFonts w:ascii="Times New Roman" w:eastAsia="맑은 고딕" w:hAnsi="Times New Roman" w:cs="Times New Roman"/>
          <w:b/>
          <w:bCs/>
          <w:lang w:eastAsia="ko-KR"/>
        </w:rPr>
      </w:pPr>
    </w:p>
    <w:p w14:paraId="5D8F89B8" w14:textId="77777777" w:rsidR="00047E69" w:rsidRPr="00AE0B87" w:rsidRDefault="00C210A5" w:rsidP="00DD6486">
      <w:pPr>
        <w:widowControl/>
        <w:numPr>
          <w:ilvl w:val="12"/>
          <w:numId w:val="0"/>
        </w:numPr>
        <w:adjustRightInd w:val="0"/>
        <w:snapToGrid w:val="0"/>
        <w:rPr>
          <w:rFonts w:ascii="Times New Roman" w:eastAsia="맑은 고딕" w:hAnsi="Times New Roman" w:cs="Times New Roman"/>
        </w:rPr>
      </w:pPr>
      <w:r w:rsidRPr="00AE0B87">
        <w:rPr>
          <w:rFonts w:ascii="Times New Roman" w:eastAsia="맑은 고딕" w:hAnsi="Times New Roman" w:cs="Times New Roman"/>
        </w:rPr>
        <w:t>Tell your doctor, pharmacist or nurse if you are taking, have recently taken or might take any other medicines.</w:t>
      </w:r>
    </w:p>
    <w:p w14:paraId="66A33F78" w14:textId="77777777" w:rsidR="00047E69" w:rsidRPr="00AE0B87" w:rsidRDefault="00047E69" w:rsidP="00DD6486">
      <w:pPr>
        <w:widowControl/>
        <w:numPr>
          <w:ilvl w:val="12"/>
          <w:numId w:val="0"/>
        </w:numPr>
        <w:adjustRightInd w:val="0"/>
        <w:snapToGrid w:val="0"/>
        <w:rPr>
          <w:rFonts w:ascii="Times New Roman" w:eastAsia="맑은 고딕" w:hAnsi="Times New Roman" w:cs="Times New Roman"/>
        </w:rPr>
      </w:pPr>
    </w:p>
    <w:p w14:paraId="1FC6C074" w14:textId="1AF18AC4" w:rsidR="00047E69" w:rsidRPr="00AE0B87" w:rsidRDefault="00C210A5" w:rsidP="00DD6486">
      <w:pPr>
        <w:widowControl/>
        <w:autoSpaceDE w:val="0"/>
        <w:autoSpaceDN w:val="0"/>
        <w:adjustRightInd w:val="0"/>
        <w:snapToGrid w:val="0"/>
        <w:rPr>
          <w:rFonts w:ascii="Times New Roman" w:eastAsia="맑은 고딕" w:hAnsi="Times New Roman" w:cs="Times New Roman"/>
        </w:rPr>
      </w:pPr>
      <w:r w:rsidRPr="00AE0B87">
        <w:rPr>
          <w:rFonts w:ascii="Times New Roman" w:eastAsia="맑은 고딕" w:hAnsi="Times New Roman" w:cs="Times New Roman"/>
        </w:rPr>
        <w:t xml:space="preserve">Combinations of </w:t>
      </w:r>
      <w:r w:rsidR="00A32819">
        <w:rPr>
          <w:rFonts w:ascii="Times New Roman" w:eastAsia="맑은 고딕" w:hAnsi="Times New Roman" w:cs="Times New Roman"/>
        </w:rPr>
        <w:t>Vegzelma</w:t>
      </w:r>
      <w:r w:rsidRPr="00AE0B87">
        <w:rPr>
          <w:rFonts w:ascii="Times New Roman" w:eastAsia="맑은 고딕" w:hAnsi="Times New Roman" w:cs="Times New Roman"/>
        </w:rPr>
        <w:t xml:space="preserve"> with another medicine called sunitinib malate (prescribed for renal and gastrointestinal cancer) may cause severe side effects. Discuss with your doctor to make sure that you do not combine these medicines. </w:t>
      </w:r>
    </w:p>
    <w:p w14:paraId="26D1DE29" w14:textId="77777777" w:rsidR="00047E69" w:rsidRPr="00AE0B87" w:rsidRDefault="00047E69" w:rsidP="00DD6486">
      <w:pPr>
        <w:widowControl/>
        <w:autoSpaceDE w:val="0"/>
        <w:autoSpaceDN w:val="0"/>
        <w:adjustRightInd w:val="0"/>
        <w:snapToGrid w:val="0"/>
        <w:rPr>
          <w:rFonts w:ascii="Times New Roman" w:eastAsia="맑은 고딕" w:hAnsi="Times New Roman" w:cs="Times New Roman"/>
        </w:rPr>
      </w:pPr>
    </w:p>
    <w:p w14:paraId="5C449153" w14:textId="3F654B02"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Tell your doctor if you are using platinum</w:t>
      </w:r>
      <w:r w:rsidRPr="00AE0B87">
        <w:rPr>
          <w:rFonts w:ascii="Times New Roman" w:eastAsia="Times New Roman" w:hAnsi="Times New Roman" w:cs="Arial"/>
        </w:rPr>
        <w:t>- or taxane-based</w:t>
      </w:r>
      <w:r w:rsidRPr="00AE0B87">
        <w:rPr>
          <w:rFonts w:ascii="Times New Roman" w:hAnsi="Times New Roman" w:cs="Times New Roman"/>
          <w:color w:val="000000"/>
        </w:rPr>
        <w:t xml:space="preserve"> therapies for lung or metastatic breast cancer. These therapies in combination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may increase the risk of severe side effects. </w:t>
      </w:r>
    </w:p>
    <w:p w14:paraId="4D881377"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785F8ECC" w14:textId="77777777"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Please tell your doctor if you have recently received, or are receiving, radiotherapy. </w:t>
      </w:r>
    </w:p>
    <w:p w14:paraId="04F62EC2" w14:textId="77777777" w:rsidR="00047E69" w:rsidRPr="00AE0B87" w:rsidRDefault="00047E69" w:rsidP="00DD6486">
      <w:pPr>
        <w:widowControl/>
        <w:autoSpaceDE w:val="0"/>
        <w:autoSpaceDN w:val="0"/>
        <w:adjustRightInd w:val="0"/>
        <w:snapToGrid w:val="0"/>
        <w:rPr>
          <w:rFonts w:ascii="Times New Roman" w:eastAsia="맑은 고딕" w:hAnsi="Times New Roman" w:cs="Times New Roman"/>
          <w:lang w:eastAsia="ko-KR"/>
        </w:rPr>
      </w:pPr>
    </w:p>
    <w:p w14:paraId="736C8BAF" w14:textId="77777777" w:rsidR="00047E69" w:rsidRPr="00AE0B87" w:rsidRDefault="00C210A5" w:rsidP="00DD6486">
      <w:pPr>
        <w:widowControl/>
        <w:numPr>
          <w:ilvl w:val="12"/>
          <w:numId w:val="0"/>
        </w:numPr>
        <w:adjustRightInd w:val="0"/>
        <w:snapToGrid w:val="0"/>
        <w:rPr>
          <w:rFonts w:ascii="Times New Roman" w:hAnsi="Times New Roman" w:cs="Times New Roman"/>
          <w:b/>
          <w:bCs/>
        </w:rPr>
      </w:pPr>
      <w:r w:rsidRPr="00AE0B87">
        <w:rPr>
          <w:rFonts w:ascii="Times New Roman" w:hAnsi="Times New Roman" w:cs="Times New Roman"/>
          <w:b/>
          <w:bCs/>
        </w:rPr>
        <w:t>Pregnancy, breast feeding and fertility</w:t>
      </w:r>
    </w:p>
    <w:p w14:paraId="2637B628" w14:textId="77777777" w:rsidR="00047E69" w:rsidRPr="00AE0B87" w:rsidRDefault="00047E69" w:rsidP="00DD6486">
      <w:pPr>
        <w:widowControl/>
        <w:numPr>
          <w:ilvl w:val="12"/>
          <w:numId w:val="0"/>
        </w:numPr>
        <w:adjustRightInd w:val="0"/>
        <w:snapToGrid w:val="0"/>
        <w:rPr>
          <w:rFonts w:ascii="Times New Roman" w:hAnsi="Times New Roman" w:cs="Times New Roman"/>
          <w:b/>
          <w:bCs/>
        </w:rPr>
      </w:pPr>
    </w:p>
    <w:p w14:paraId="4253E07E" w14:textId="0E8E8F6D" w:rsidR="00047E69" w:rsidRPr="00AE0B87" w:rsidRDefault="00C210A5" w:rsidP="00DD6486">
      <w:pPr>
        <w:widowControl/>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You must not use this medicine if you are pregnant.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may cause damage to your unborn baby as it may stop the formation of new blood vessels</w:t>
      </w:r>
      <w:r w:rsidR="009B270A" w:rsidRPr="00AE0B87">
        <w:rPr>
          <w:rFonts w:ascii="Times New Roman" w:hAnsi="Times New Roman" w:cs="Times New Roman"/>
          <w:color w:val="000000"/>
        </w:rPr>
        <w:t xml:space="preserve">. </w:t>
      </w:r>
      <w:r w:rsidR="009B270A" w:rsidRPr="00AE0B87">
        <w:rPr>
          <w:rFonts w:ascii="Times New Roman" w:hAnsi="Times New Roman" w:cs="Times New Roman"/>
          <w:color w:val="000000"/>
          <w:lang w:val="en-GB"/>
        </w:rPr>
        <w:t xml:space="preserve">You should be advised by your doctor </w:t>
      </w:r>
      <w:r w:rsidRPr="00AE0B87">
        <w:rPr>
          <w:rFonts w:ascii="Times New Roman" w:hAnsi="Times New Roman" w:cs="Times New Roman"/>
          <w:color w:val="000000"/>
        </w:rPr>
        <w:t xml:space="preserve">about using contraception during treatment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and for at least 6 months after the last dose of </w:t>
      </w:r>
      <w:r w:rsidR="00A32819">
        <w:rPr>
          <w:rFonts w:ascii="Times New Roman" w:hAnsi="Times New Roman" w:cs="Times New Roman"/>
          <w:color w:val="000000"/>
        </w:rPr>
        <w:t>Vegzelma</w:t>
      </w:r>
      <w:r w:rsidRPr="00AE0B87">
        <w:rPr>
          <w:rFonts w:ascii="Times New Roman" w:hAnsi="Times New Roman" w:cs="Times New Roman"/>
          <w:color w:val="000000"/>
        </w:rPr>
        <w:t xml:space="preserve">. </w:t>
      </w:r>
    </w:p>
    <w:p w14:paraId="26D811F3"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4A355864" w14:textId="77777777"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Tell your doctor straightaway if you are pregnant, become pregnant during treatment with this medicine, or plan to become pregnant in the near future. </w:t>
      </w:r>
    </w:p>
    <w:p w14:paraId="7B8CC83F"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62EB0382" w14:textId="240B6436"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You must not breast-feed your baby during treatment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and for at least 6 months after the last dose of </w:t>
      </w:r>
      <w:r w:rsidR="00A32819">
        <w:rPr>
          <w:rFonts w:ascii="Times New Roman" w:hAnsi="Times New Roman" w:cs="Times New Roman"/>
          <w:color w:val="000000"/>
        </w:rPr>
        <w:t>Vegzelma</w:t>
      </w:r>
      <w:r w:rsidRPr="00AE0B87">
        <w:rPr>
          <w:rFonts w:ascii="Times New Roman" w:hAnsi="Times New Roman" w:cs="Times New Roman"/>
          <w:color w:val="000000"/>
        </w:rPr>
        <w:t>, as this medicine may interfere with the growth and development of your baby.</w:t>
      </w:r>
    </w:p>
    <w:p w14:paraId="6CF27E58"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2DE5FA4B" w14:textId="64103B44" w:rsidR="00047E69" w:rsidRPr="00AE0B87" w:rsidRDefault="00A32819" w:rsidP="00DD6486">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may impair female fertility. Please consult your doctor for more information. </w:t>
      </w:r>
    </w:p>
    <w:p w14:paraId="6ABFE0B1" w14:textId="77777777" w:rsidR="00047E69" w:rsidRPr="00AE0B87" w:rsidRDefault="00047E69" w:rsidP="00DD6486">
      <w:pPr>
        <w:widowControl/>
        <w:autoSpaceDE w:val="0"/>
        <w:autoSpaceDN w:val="0"/>
        <w:adjustRightInd w:val="0"/>
        <w:snapToGrid w:val="0"/>
        <w:rPr>
          <w:rFonts w:ascii="Times New Roman" w:hAnsi="Times New Roman" w:cs="Times New Roman"/>
          <w:color w:val="000000"/>
        </w:rPr>
      </w:pPr>
    </w:p>
    <w:p w14:paraId="5E1BD126" w14:textId="77777777" w:rsidR="00047E69" w:rsidRPr="00AE0B87" w:rsidRDefault="00C210A5" w:rsidP="00DD6486">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Ask your doctor, pharmacist or nurse for advice before taking any medicine. </w:t>
      </w:r>
    </w:p>
    <w:p w14:paraId="6C337964" w14:textId="77777777" w:rsidR="00047E69" w:rsidRPr="00AE0B87" w:rsidRDefault="00047E69" w:rsidP="00470A28">
      <w:pPr>
        <w:widowControl/>
        <w:autoSpaceDE w:val="0"/>
        <w:autoSpaceDN w:val="0"/>
        <w:adjustRightInd w:val="0"/>
        <w:snapToGrid w:val="0"/>
        <w:rPr>
          <w:rFonts w:ascii="Times New Roman" w:hAnsi="Times New Roman" w:cs="Times New Roman"/>
          <w:color w:val="000000"/>
        </w:rPr>
      </w:pPr>
    </w:p>
    <w:p w14:paraId="0DC4E253" w14:textId="54BAAC7E" w:rsidR="00047E69" w:rsidRDefault="00C210A5" w:rsidP="00470A28">
      <w:pPr>
        <w:widowControl/>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Driving and using machines</w:t>
      </w:r>
    </w:p>
    <w:p w14:paraId="593C19B6" w14:textId="77777777" w:rsidR="00DD6486" w:rsidRPr="00AE0B87" w:rsidRDefault="00DD6486" w:rsidP="00470A28">
      <w:pPr>
        <w:widowControl/>
        <w:autoSpaceDE w:val="0"/>
        <w:autoSpaceDN w:val="0"/>
        <w:adjustRightInd w:val="0"/>
        <w:snapToGrid w:val="0"/>
        <w:rPr>
          <w:rFonts w:ascii="Times New Roman" w:hAnsi="Times New Roman" w:cs="Times New Roman"/>
          <w:color w:val="000000"/>
        </w:rPr>
      </w:pPr>
    </w:p>
    <w:p w14:paraId="552B3A55" w14:textId="6FC5359B" w:rsidR="00047E69" w:rsidRPr="00AE0B87" w:rsidRDefault="00A32819" w:rsidP="00470A28">
      <w:pPr>
        <w:widowControl/>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has not been shown to reduce your ability to drive or to use any tools or machines. However, sleepiness and fainting have been reported with </w:t>
      </w:r>
      <w:r>
        <w:rPr>
          <w:rFonts w:ascii="Times New Roman" w:hAnsi="Times New Roman" w:cs="Times New Roman"/>
          <w:color w:val="000000"/>
        </w:rPr>
        <w:t>Vegzelma</w:t>
      </w:r>
      <w:r w:rsidR="00C210A5" w:rsidRPr="00AE0B87">
        <w:rPr>
          <w:rFonts w:ascii="Times New Roman" w:hAnsi="Times New Roman" w:cs="Times New Roman"/>
          <w:color w:val="000000"/>
        </w:rPr>
        <w:t xml:space="preserve"> use. If you experience symptoms that affect your vision or concentration, or your ability to react, do not drive and use machines until symptoms disappear. </w:t>
      </w:r>
    </w:p>
    <w:p w14:paraId="7669A0D9" w14:textId="77777777" w:rsidR="00047E69" w:rsidRPr="00AE0B87" w:rsidRDefault="00047E69" w:rsidP="00470A28">
      <w:pPr>
        <w:widowControl/>
        <w:autoSpaceDE w:val="0"/>
        <w:autoSpaceDN w:val="0"/>
        <w:adjustRightInd w:val="0"/>
        <w:snapToGrid w:val="0"/>
        <w:rPr>
          <w:rFonts w:ascii="Times New Roman" w:hAnsi="Times New Roman" w:cs="Times New Roman"/>
          <w:color w:val="000000"/>
        </w:rPr>
      </w:pPr>
    </w:p>
    <w:p w14:paraId="4D4C9A18" w14:textId="7BA6634E" w:rsidR="00047E69" w:rsidRDefault="00C210A5" w:rsidP="00470A28">
      <w:pPr>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Important information about some of the ingredients of </w:t>
      </w:r>
      <w:r w:rsidR="00A32819">
        <w:rPr>
          <w:rFonts w:ascii="Times New Roman" w:hAnsi="Times New Roman" w:cs="Times New Roman"/>
          <w:b/>
          <w:bCs/>
          <w:color w:val="000000"/>
        </w:rPr>
        <w:t>Vegzelma</w:t>
      </w:r>
    </w:p>
    <w:p w14:paraId="2742FA1E" w14:textId="77777777" w:rsidR="00DD6486" w:rsidRPr="00AE0B87" w:rsidRDefault="00DD6486" w:rsidP="00470A28">
      <w:pPr>
        <w:autoSpaceDE w:val="0"/>
        <w:autoSpaceDN w:val="0"/>
        <w:adjustRightInd w:val="0"/>
        <w:snapToGrid w:val="0"/>
        <w:rPr>
          <w:rFonts w:ascii="Times New Roman" w:hAnsi="Times New Roman" w:cs="Times New Roman"/>
          <w:color w:val="000000"/>
        </w:rPr>
      </w:pPr>
    </w:p>
    <w:p w14:paraId="0EC06EE7" w14:textId="77777777" w:rsidR="00047E69" w:rsidRPr="00AE0B87" w:rsidRDefault="00C210A5" w:rsidP="00470A28">
      <w:pPr>
        <w:numPr>
          <w:ilvl w:val="12"/>
          <w:numId w:val="0"/>
        </w:numPr>
        <w:adjustRightInd w:val="0"/>
        <w:snapToGrid w:val="0"/>
        <w:rPr>
          <w:rFonts w:ascii="Times New Roman" w:eastAsia="맑은 고딕" w:hAnsi="Times New Roman" w:cs="Times New Roman"/>
          <w:b/>
          <w:bCs/>
          <w:lang w:eastAsia="ko-KR"/>
        </w:rPr>
      </w:pPr>
      <w:r w:rsidRPr="00AE0B87">
        <w:rPr>
          <w:rFonts w:ascii="Times New Roman" w:hAnsi="Times New Roman" w:cs="Times New Roman"/>
          <w:color w:val="000000"/>
        </w:rPr>
        <w:t>This medicine contains less than 1 mmol sodium (23 mg) per vial, that is to say essen</w:t>
      </w:r>
      <w:r w:rsidRPr="00AE0B87">
        <w:rPr>
          <w:rFonts w:ascii="Times New Roman" w:eastAsia="Times New Roman" w:hAnsi="Times New Roman" w:cs="Arial"/>
        </w:rPr>
        <w:t>tially ‘so</w:t>
      </w:r>
      <w:r w:rsidRPr="00AE0B87">
        <w:rPr>
          <w:rFonts w:ascii="Times New Roman" w:hAnsi="Times New Roman" w:cs="Times New Roman"/>
          <w:color w:val="000000"/>
        </w:rPr>
        <w:t xml:space="preserve">dium-free’. </w:t>
      </w:r>
    </w:p>
    <w:p w14:paraId="504298AA" w14:textId="77777777" w:rsidR="00E91F39" w:rsidRDefault="00E91F39" w:rsidP="00E91F39">
      <w:pPr>
        <w:pStyle w:val="a5"/>
        <w:widowControl/>
        <w:adjustRightInd w:val="0"/>
        <w:snapToGrid w:val="0"/>
        <w:rPr>
          <w:rFonts w:eastAsiaTheme="minorEastAsia"/>
          <w:lang w:eastAsia="ko-KR"/>
        </w:rPr>
      </w:pPr>
    </w:p>
    <w:p w14:paraId="422A987E" w14:textId="3A08A000" w:rsidR="00E91F39" w:rsidRDefault="00E91F39" w:rsidP="00E91F39">
      <w:pPr>
        <w:pStyle w:val="a5"/>
        <w:widowControl/>
        <w:adjustRightInd w:val="0"/>
        <w:snapToGrid w:val="0"/>
        <w:rPr>
          <w:rFonts w:eastAsiaTheme="minorEastAsia" w:cs="Times New Roman"/>
          <w:lang w:eastAsia="ko-KR"/>
        </w:rPr>
      </w:pPr>
      <w:bookmarkStart w:id="33" w:name="_Hlk190178958"/>
      <w:r>
        <w:rPr>
          <w:rFonts w:eastAsiaTheme="minorEastAsia" w:hint="eastAsia"/>
          <w:lang w:eastAsia="ko-KR"/>
        </w:rPr>
        <w:t xml:space="preserve">This medicine contains 0.4 mg of polysorbate 20 in each mL. Polysorbates may cause allergic reactions. </w:t>
      </w:r>
      <w:r w:rsidRPr="00AE0B87">
        <w:rPr>
          <w:rFonts w:cs="Times New Roman"/>
        </w:rPr>
        <w:t>Tell your doctor if you have any known allergies.</w:t>
      </w:r>
    </w:p>
    <w:bookmarkEnd w:id="33"/>
    <w:p w14:paraId="71D697B3" w14:textId="77777777" w:rsidR="009253B2" w:rsidRPr="00AE0B87" w:rsidRDefault="009253B2" w:rsidP="00470A28">
      <w:pPr>
        <w:numPr>
          <w:ilvl w:val="12"/>
          <w:numId w:val="0"/>
        </w:numPr>
        <w:adjustRightInd w:val="0"/>
        <w:snapToGrid w:val="0"/>
        <w:rPr>
          <w:rFonts w:ascii="Times New Roman" w:hAnsi="Times New Roman" w:cs="Times New Roman"/>
        </w:rPr>
      </w:pPr>
    </w:p>
    <w:p w14:paraId="38C72910" w14:textId="77777777" w:rsidR="00047E69" w:rsidRPr="00AE0B87" w:rsidRDefault="00047E69" w:rsidP="00470A28">
      <w:pPr>
        <w:numPr>
          <w:ilvl w:val="12"/>
          <w:numId w:val="0"/>
        </w:numPr>
        <w:adjustRightInd w:val="0"/>
        <w:snapToGrid w:val="0"/>
        <w:rPr>
          <w:rFonts w:ascii="Times New Roman" w:hAnsi="Times New Roman" w:cs="Times New Roman"/>
          <w:noProof/>
        </w:rPr>
      </w:pPr>
    </w:p>
    <w:p w14:paraId="4B7F2660" w14:textId="798066B4" w:rsidR="00047E69" w:rsidRPr="00AE0B87" w:rsidRDefault="00C210A5" w:rsidP="00470A28">
      <w:pPr>
        <w:adjustRightInd w:val="0"/>
        <w:snapToGrid w:val="0"/>
        <w:rPr>
          <w:rFonts w:ascii="Times New Roman" w:hAnsi="Times New Roman" w:cs="Times New Roman"/>
          <w:b/>
          <w:noProof/>
          <w:lang w:eastAsia="ko-KR"/>
        </w:rPr>
      </w:pPr>
      <w:r w:rsidRPr="00AE0B87">
        <w:rPr>
          <w:rFonts w:ascii="Times New Roman" w:hAnsi="Times New Roman" w:cs="Times New Roman"/>
          <w:b/>
          <w:noProof/>
        </w:rPr>
        <w:t>3.</w:t>
      </w:r>
      <w:r w:rsidRPr="00AE0B87">
        <w:rPr>
          <w:rFonts w:ascii="Times New Roman" w:hAnsi="Times New Roman" w:cs="Times New Roman"/>
          <w:b/>
          <w:noProof/>
        </w:rPr>
        <w:tab/>
        <w:t xml:space="preserve">How </w:t>
      </w:r>
      <w:r w:rsidRPr="00AE0B87">
        <w:rPr>
          <w:rFonts w:ascii="Times New Roman" w:hAnsi="Times New Roman" w:cs="Times New Roman" w:hint="eastAsia"/>
          <w:b/>
          <w:noProof/>
          <w:lang w:eastAsia="ko-KR"/>
        </w:rPr>
        <w:t xml:space="preserve">to use </w:t>
      </w:r>
      <w:r w:rsidR="00A32819">
        <w:rPr>
          <w:rFonts w:ascii="Times New Roman" w:hAnsi="Times New Roman" w:cs="Times New Roman" w:hint="eastAsia"/>
          <w:b/>
          <w:noProof/>
          <w:lang w:eastAsia="ko-KR"/>
        </w:rPr>
        <w:t>Vegzelma</w:t>
      </w:r>
    </w:p>
    <w:p w14:paraId="67F0095D" w14:textId="77777777" w:rsidR="00047E69" w:rsidRPr="00AE0B87" w:rsidRDefault="00047E69" w:rsidP="00470A28">
      <w:pPr>
        <w:numPr>
          <w:ilvl w:val="12"/>
          <w:numId w:val="0"/>
        </w:numPr>
        <w:adjustRightInd w:val="0"/>
        <w:snapToGrid w:val="0"/>
        <w:rPr>
          <w:rFonts w:ascii="Times New Roman" w:hAnsi="Times New Roman" w:cs="Times New Roman"/>
          <w:noProof/>
        </w:rPr>
      </w:pPr>
    </w:p>
    <w:p w14:paraId="7EA4227A" w14:textId="77467B9B" w:rsidR="00047E69" w:rsidRPr="00AE0B87" w:rsidRDefault="00C210A5" w:rsidP="00470A28">
      <w:pPr>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Dos</w:t>
      </w:r>
      <w:r w:rsidR="00D7629B" w:rsidRPr="00AE0B87">
        <w:rPr>
          <w:rFonts w:ascii="Times New Roman" w:hAnsi="Times New Roman" w:cs="Times New Roman"/>
          <w:b/>
          <w:bCs/>
          <w:color w:val="000000"/>
        </w:rPr>
        <w:t>e</w:t>
      </w:r>
      <w:r w:rsidRPr="00AE0B87">
        <w:rPr>
          <w:rFonts w:ascii="Times New Roman" w:hAnsi="Times New Roman" w:cs="Times New Roman"/>
          <w:b/>
          <w:bCs/>
          <w:color w:val="000000"/>
        </w:rPr>
        <w:t xml:space="preserve"> and frequency of administration </w:t>
      </w:r>
    </w:p>
    <w:p w14:paraId="79CB9F86" w14:textId="77777777" w:rsidR="00047E69" w:rsidRPr="00AE0B87" w:rsidRDefault="00047E69" w:rsidP="00470A28">
      <w:pPr>
        <w:autoSpaceDE w:val="0"/>
        <w:autoSpaceDN w:val="0"/>
        <w:adjustRightInd w:val="0"/>
        <w:snapToGrid w:val="0"/>
        <w:rPr>
          <w:rFonts w:ascii="Times New Roman" w:hAnsi="Times New Roman" w:cs="Times New Roman"/>
          <w:color w:val="000000"/>
        </w:rPr>
      </w:pPr>
    </w:p>
    <w:p w14:paraId="13B3C59A" w14:textId="7EA284E5" w:rsidR="00047E69" w:rsidRPr="00AE0B87" w:rsidRDefault="00C210A5" w:rsidP="00483A65">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The dose of </w:t>
      </w:r>
      <w:r w:rsidR="00A32819">
        <w:rPr>
          <w:rFonts w:ascii="Times New Roman" w:hAnsi="Times New Roman" w:cs="Times New Roman"/>
          <w:color w:val="000000"/>
        </w:rPr>
        <w:t>Vegzelma</w:t>
      </w:r>
      <w:r w:rsidRPr="00AE0B87">
        <w:rPr>
          <w:rFonts w:ascii="Times New Roman" w:hAnsi="Times New Roman" w:cs="Times New Roman"/>
          <w:color w:val="000000"/>
        </w:rPr>
        <w:t xml:space="preserve"> needed depends on your body weight and the kind of cancer to be treated. The recommended dose is 5 mg, 7.5 mg, 10 mg or 15 mg per kilogram of your body weight. Your doctor will prescribe a dose of </w:t>
      </w:r>
      <w:r w:rsidR="00A32819">
        <w:rPr>
          <w:rFonts w:ascii="Times New Roman" w:hAnsi="Times New Roman" w:cs="Times New Roman"/>
          <w:color w:val="000000"/>
        </w:rPr>
        <w:t>Vegzelma</w:t>
      </w:r>
      <w:r w:rsidRPr="00AE0B87">
        <w:rPr>
          <w:rFonts w:ascii="Times New Roman" w:hAnsi="Times New Roman" w:cs="Times New Roman"/>
          <w:color w:val="000000"/>
        </w:rPr>
        <w:t xml:space="preserve"> that is right for you. You will be treated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once every 2 or 3 weeks. The number of infusions that you receive will depend on how you are responding to </w:t>
      </w:r>
      <w:r w:rsidRPr="00AE0B87">
        <w:rPr>
          <w:rFonts w:ascii="Times New Roman" w:hAnsi="Times New Roman" w:cs="Times New Roman"/>
          <w:color w:val="000000"/>
        </w:rPr>
        <w:lastRenderedPageBreak/>
        <w:t xml:space="preserve">treatment; you should continue to receive this medicine until </w:t>
      </w:r>
      <w:r w:rsidR="00A32819">
        <w:rPr>
          <w:rFonts w:ascii="Times New Roman" w:hAnsi="Times New Roman" w:cs="Times New Roman"/>
          <w:color w:val="000000"/>
        </w:rPr>
        <w:t>Vegzelma</w:t>
      </w:r>
      <w:r w:rsidRPr="00AE0B87">
        <w:rPr>
          <w:rFonts w:ascii="Times New Roman" w:hAnsi="Times New Roman" w:cs="Times New Roman"/>
          <w:color w:val="000000"/>
        </w:rPr>
        <w:t xml:space="preserve"> fails to stop your tumour growing. Your doctor will discuss this with you.</w:t>
      </w:r>
    </w:p>
    <w:p w14:paraId="72B06A67" w14:textId="77777777" w:rsidR="00047E69" w:rsidRPr="00AE0B87" w:rsidRDefault="00C210A5" w:rsidP="00483A65">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 </w:t>
      </w:r>
    </w:p>
    <w:p w14:paraId="74EED9DD" w14:textId="77777777" w:rsidR="00047E69" w:rsidRPr="00AE0B87" w:rsidRDefault="00C210A5" w:rsidP="00470A28">
      <w:pPr>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Method and route of administration </w:t>
      </w:r>
    </w:p>
    <w:p w14:paraId="0A28FB95" w14:textId="77777777" w:rsidR="00047E69" w:rsidRPr="00AE0B87" w:rsidRDefault="00047E69" w:rsidP="00470A28">
      <w:pPr>
        <w:autoSpaceDE w:val="0"/>
        <w:autoSpaceDN w:val="0"/>
        <w:adjustRightInd w:val="0"/>
        <w:snapToGrid w:val="0"/>
        <w:rPr>
          <w:rFonts w:ascii="Times New Roman" w:hAnsi="Times New Roman" w:cs="Times New Roman"/>
          <w:color w:val="000000"/>
        </w:rPr>
      </w:pPr>
    </w:p>
    <w:p w14:paraId="61484630" w14:textId="28B1533F" w:rsidR="00047E69" w:rsidRPr="00AE0B87" w:rsidRDefault="00A32819" w:rsidP="00470A28">
      <w:pPr>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is a concentrate for solution for infusion. Depending on the dose prescribed for you, some or all of the contents of the </w:t>
      </w:r>
      <w:r>
        <w:rPr>
          <w:rFonts w:ascii="Times New Roman" w:hAnsi="Times New Roman" w:cs="Times New Roman"/>
          <w:color w:val="000000"/>
        </w:rPr>
        <w:t>Vegzelma</w:t>
      </w:r>
      <w:r w:rsidR="00C210A5" w:rsidRPr="00AE0B87">
        <w:rPr>
          <w:rFonts w:ascii="Times New Roman" w:hAnsi="Times New Roman" w:cs="Times New Roman"/>
          <w:color w:val="000000"/>
        </w:rPr>
        <w:t xml:space="preserve"> vial will be diluted with sodium chloride solution before use. A doc</w:t>
      </w:r>
      <w:r w:rsidR="00C210A5" w:rsidRPr="00AE0B87">
        <w:rPr>
          <w:rFonts w:ascii="Times New Roman" w:eastAsia="Times New Roman" w:hAnsi="Times New Roman" w:cs="Arial"/>
        </w:rPr>
        <w:t xml:space="preserve">tor or nurse will give you this diluted </w:t>
      </w:r>
      <w:r>
        <w:rPr>
          <w:rFonts w:ascii="Times New Roman" w:eastAsia="Times New Roman" w:hAnsi="Times New Roman" w:cs="Arial"/>
        </w:rPr>
        <w:t>Vegzelma</w:t>
      </w:r>
      <w:r w:rsidR="00C210A5" w:rsidRPr="00AE0B87">
        <w:rPr>
          <w:rFonts w:ascii="Times New Roman" w:eastAsia="Times New Roman" w:hAnsi="Times New Roman" w:cs="Arial"/>
        </w:rPr>
        <w:t xml:space="preserve"> solution by intravenous infusion (a drip into your vein). The first in</w:t>
      </w:r>
      <w:r w:rsidR="00C210A5" w:rsidRPr="00AE0B87">
        <w:rPr>
          <w:rFonts w:ascii="Times New Roman" w:hAnsi="Times New Roman" w:cs="Times New Roman"/>
          <w:color w:val="000000"/>
        </w:rPr>
        <w:t xml:space="preserve">fusion will be given to you over 90 minutes. If this is well-tolerated the second infusion may be given over 60 minutes. Later infusions may be given to you over 30 minutes. </w:t>
      </w:r>
    </w:p>
    <w:p w14:paraId="2CB98F15" w14:textId="77777777" w:rsidR="00047E69" w:rsidRPr="00AE0B87" w:rsidRDefault="00047E69" w:rsidP="00470A28">
      <w:pPr>
        <w:autoSpaceDE w:val="0"/>
        <w:autoSpaceDN w:val="0"/>
        <w:adjustRightInd w:val="0"/>
        <w:snapToGrid w:val="0"/>
        <w:rPr>
          <w:rFonts w:ascii="Times New Roman" w:hAnsi="Times New Roman" w:cs="Times New Roman"/>
          <w:color w:val="000000"/>
        </w:rPr>
      </w:pPr>
    </w:p>
    <w:p w14:paraId="65B2E4D4" w14:textId="35D363CA" w:rsidR="00047E69" w:rsidRPr="00AE0B87" w:rsidRDefault="00C210A5" w:rsidP="00470A28">
      <w:pPr>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The administration of </w:t>
      </w:r>
      <w:r w:rsidR="00A32819">
        <w:rPr>
          <w:rFonts w:ascii="Times New Roman" w:hAnsi="Times New Roman" w:cs="Times New Roman"/>
          <w:b/>
          <w:bCs/>
          <w:color w:val="000000"/>
        </w:rPr>
        <w:t>Vegzelma</w:t>
      </w:r>
      <w:r w:rsidRPr="00AE0B87">
        <w:rPr>
          <w:rFonts w:ascii="Times New Roman" w:hAnsi="Times New Roman" w:cs="Times New Roman"/>
          <w:b/>
          <w:bCs/>
          <w:color w:val="000000"/>
        </w:rPr>
        <w:t xml:space="preserve"> should be temporarily discontinued </w:t>
      </w:r>
    </w:p>
    <w:p w14:paraId="1B018ECE"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25D03CFE"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if you develop severe high blood pressure requiring treatment with blood pressure medicines, </w:t>
      </w:r>
    </w:p>
    <w:p w14:paraId="40C0B30A"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if you have problems with wound healing following surgery, </w:t>
      </w:r>
    </w:p>
    <w:p w14:paraId="3BA16D83"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if you undergo surgery </w:t>
      </w:r>
    </w:p>
    <w:p w14:paraId="3AF2FD20" w14:textId="77777777" w:rsidR="00047E69" w:rsidRPr="00AE0B87" w:rsidRDefault="00047E69" w:rsidP="00483A65">
      <w:pPr>
        <w:widowControl/>
        <w:numPr>
          <w:ilvl w:val="12"/>
          <w:numId w:val="0"/>
        </w:numPr>
        <w:adjustRightInd w:val="0"/>
        <w:snapToGrid w:val="0"/>
        <w:rPr>
          <w:rFonts w:ascii="Times New Roman" w:hAnsi="Times New Roman" w:cs="Times New Roman"/>
          <w:color w:val="000000"/>
        </w:rPr>
      </w:pPr>
    </w:p>
    <w:p w14:paraId="16E599DB" w14:textId="09A8164D" w:rsidR="00047E69" w:rsidRPr="00AE0B87" w:rsidRDefault="00C210A5" w:rsidP="00483A65">
      <w:pPr>
        <w:widowControl/>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The administration of </w:t>
      </w:r>
      <w:r w:rsidR="00A32819">
        <w:rPr>
          <w:rFonts w:ascii="Times New Roman" w:hAnsi="Times New Roman" w:cs="Times New Roman"/>
          <w:b/>
          <w:bCs/>
          <w:color w:val="000000"/>
        </w:rPr>
        <w:t>Vegzelma</w:t>
      </w:r>
      <w:r w:rsidRPr="00AE0B87">
        <w:rPr>
          <w:rFonts w:ascii="Times New Roman" w:hAnsi="Times New Roman" w:cs="Times New Roman"/>
          <w:b/>
          <w:bCs/>
          <w:color w:val="000000"/>
        </w:rPr>
        <w:t xml:space="preserve"> should be permanently discontinued if you develop </w:t>
      </w:r>
    </w:p>
    <w:p w14:paraId="014C2940"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61D722B0"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severe high blood pressure which cannot be controlled by blood pressure medicines; or a sudden severe rise in blood pressure, </w:t>
      </w:r>
    </w:p>
    <w:p w14:paraId="155A9AC0"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presence of protein in your urine accompanied by swelling of your body,</w:t>
      </w:r>
    </w:p>
    <w:p w14:paraId="4FEF6A67"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hole in your gut wall, </w:t>
      </w:r>
    </w:p>
    <w:p w14:paraId="2ED1C32B"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an abnormal tube-like connection or passage between the windpipe and the gullet, between internal organs and skin, between the vagina and any parts of the gut or between other tissues that are not normally connected (fistula), and are judged by your doctor to be severe, </w:t>
      </w:r>
    </w:p>
    <w:p w14:paraId="4039029E"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serious infections of the skin or deeper layers under the skin, </w:t>
      </w:r>
    </w:p>
    <w:p w14:paraId="66263180"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blood clot in your arteries, </w:t>
      </w:r>
    </w:p>
    <w:p w14:paraId="6245EDFD"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blood clot in the blood vessels of your lungs, </w:t>
      </w:r>
    </w:p>
    <w:p w14:paraId="2FC7F1BB"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any severe bleeding.</w:t>
      </w:r>
    </w:p>
    <w:p w14:paraId="24915F36" w14:textId="77777777" w:rsidR="00047E69" w:rsidRPr="00AE0B87" w:rsidRDefault="00047E69" w:rsidP="00483A65">
      <w:pPr>
        <w:widowControl/>
        <w:numPr>
          <w:ilvl w:val="12"/>
          <w:numId w:val="0"/>
        </w:numPr>
        <w:adjustRightInd w:val="0"/>
        <w:snapToGrid w:val="0"/>
        <w:rPr>
          <w:rFonts w:ascii="Times New Roman" w:hAnsi="Times New Roman" w:cs="Times New Roman"/>
        </w:rPr>
      </w:pPr>
    </w:p>
    <w:p w14:paraId="77FE7102" w14:textId="106C3A41" w:rsidR="00047E69" w:rsidRPr="00AE0B87" w:rsidRDefault="00C210A5" w:rsidP="00483A65">
      <w:pPr>
        <w:widowControl/>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If too much </w:t>
      </w:r>
      <w:r w:rsidR="00A32819">
        <w:rPr>
          <w:rFonts w:ascii="Times New Roman" w:hAnsi="Times New Roman" w:cs="Times New Roman"/>
          <w:b/>
          <w:bCs/>
          <w:color w:val="000000"/>
        </w:rPr>
        <w:t>Vegzelma</w:t>
      </w:r>
      <w:r w:rsidRPr="00AE0B87">
        <w:rPr>
          <w:rFonts w:ascii="Times New Roman" w:hAnsi="Times New Roman" w:cs="Times New Roman"/>
          <w:b/>
          <w:bCs/>
          <w:color w:val="000000"/>
        </w:rPr>
        <w:t xml:space="preserve"> is given </w:t>
      </w:r>
    </w:p>
    <w:p w14:paraId="7742441F"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443C56C4" w14:textId="77777777"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you may develop a severe migraine. If this happens you should talk to your doctor, pharmacist or nurse immediately. </w:t>
      </w:r>
    </w:p>
    <w:p w14:paraId="59D980A2" w14:textId="77777777" w:rsidR="00047E69" w:rsidRPr="00AE0B87" w:rsidRDefault="00047E69" w:rsidP="00483A65">
      <w:pPr>
        <w:pStyle w:val="a6"/>
        <w:widowControl/>
        <w:autoSpaceDE w:val="0"/>
        <w:autoSpaceDN w:val="0"/>
        <w:adjustRightInd w:val="0"/>
        <w:snapToGrid w:val="0"/>
        <w:rPr>
          <w:rFonts w:ascii="Times New Roman" w:hAnsi="Times New Roman" w:cs="Times New Roman"/>
          <w:color w:val="000000"/>
        </w:rPr>
      </w:pPr>
    </w:p>
    <w:p w14:paraId="0828A21E" w14:textId="23037E85" w:rsidR="00047E69" w:rsidRPr="00AE0B87" w:rsidRDefault="00C210A5" w:rsidP="00483A65">
      <w:pPr>
        <w:widowControl/>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If a dose of </w:t>
      </w:r>
      <w:r w:rsidR="00A32819">
        <w:rPr>
          <w:rFonts w:ascii="Times New Roman" w:hAnsi="Times New Roman" w:cs="Times New Roman"/>
          <w:b/>
          <w:bCs/>
          <w:color w:val="000000"/>
        </w:rPr>
        <w:t>Vegzelma</w:t>
      </w:r>
      <w:r w:rsidRPr="00AE0B87">
        <w:rPr>
          <w:rFonts w:ascii="Times New Roman" w:hAnsi="Times New Roman" w:cs="Times New Roman"/>
          <w:b/>
          <w:bCs/>
          <w:color w:val="000000"/>
        </w:rPr>
        <w:t xml:space="preserve"> is missed </w:t>
      </w:r>
    </w:p>
    <w:p w14:paraId="19E01585"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44A640C5" w14:textId="581982EA" w:rsidR="00047E69" w:rsidRPr="00AE0B87" w:rsidRDefault="00C210A5" w:rsidP="00483A65">
      <w:pPr>
        <w:pStyle w:val="a6"/>
        <w:widowControl/>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your doctor will decide when you should be given your next dose of </w:t>
      </w:r>
      <w:r w:rsidR="00A32819">
        <w:rPr>
          <w:rFonts w:ascii="Times New Roman" w:hAnsi="Times New Roman" w:cs="Times New Roman"/>
          <w:color w:val="000000"/>
        </w:rPr>
        <w:t>Vegzelma</w:t>
      </w:r>
      <w:r w:rsidRPr="00AE0B87">
        <w:rPr>
          <w:rFonts w:ascii="Times New Roman" w:hAnsi="Times New Roman" w:cs="Times New Roman"/>
          <w:color w:val="000000"/>
        </w:rPr>
        <w:t xml:space="preserve">. You should discuss this with your doctor. </w:t>
      </w:r>
    </w:p>
    <w:p w14:paraId="390F9AE9" w14:textId="77777777" w:rsidR="00047E69" w:rsidRPr="00AE0B87" w:rsidRDefault="00047E69" w:rsidP="00483A65">
      <w:pPr>
        <w:pStyle w:val="a6"/>
        <w:widowControl/>
        <w:autoSpaceDE w:val="0"/>
        <w:autoSpaceDN w:val="0"/>
        <w:adjustRightInd w:val="0"/>
        <w:snapToGrid w:val="0"/>
        <w:rPr>
          <w:rFonts w:ascii="Times New Roman" w:hAnsi="Times New Roman" w:cs="Times New Roman"/>
          <w:color w:val="000000"/>
        </w:rPr>
      </w:pPr>
    </w:p>
    <w:p w14:paraId="26B6B237" w14:textId="65C0399A" w:rsidR="00047E69" w:rsidRPr="00AE0B87" w:rsidRDefault="00C210A5" w:rsidP="00483A65">
      <w:pPr>
        <w:widowControl/>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If you stop treatment with </w:t>
      </w:r>
      <w:r w:rsidR="00A32819">
        <w:rPr>
          <w:rFonts w:ascii="Times New Roman" w:hAnsi="Times New Roman" w:cs="Times New Roman"/>
          <w:b/>
          <w:bCs/>
          <w:color w:val="000000"/>
        </w:rPr>
        <w:t>Vegzelma</w:t>
      </w:r>
      <w:r w:rsidRPr="00AE0B87">
        <w:rPr>
          <w:rFonts w:ascii="Times New Roman" w:hAnsi="Times New Roman" w:cs="Times New Roman"/>
          <w:b/>
          <w:bCs/>
          <w:color w:val="000000"/>
        </w:rPr>
        <w:t xml:space="preserve"> </w:t>
      </w:r>
    </w:p>
    <w:p w14:paraId="49DFAC17"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24D9CC78" w14:textId="21FD43F8" w:rsidR="00047E69" w:rsidRPr="00AE0B87" w:rsidRDefault="00C210A5" w:rsidP="00483A65">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Stopping your treatment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may stop the effect on tumour growth. Do not stop treatment with </w:t>
      </w:r>
      <w:r w:rsidR="00A32819">
        <w:rPr>
          <w:rFonts w:ascii="Times New Roman" w:hAnsi="Times New Roman" w:cs="Times New Roman"/>
          <w:color w:val="000000"/>
        </w:rPr>
        <w:t>Vegzelma</w:t>
      </w:r>
      <w:r w:rsidRPr="00AE0B87">
        <w:rPr>
          <w:rFonts w:ascii="Times New Roman" w:hAnsi="Times New Roman" w:cs="Times New Roman"/>
          <w:color w:val="000000"/>
        </w:rPr>
        <w:t xml:space="preserve"> unless you have discussed this with your doctor. </w:t>
      </w:r>
    </w:p>
    <w:p w14:paraId="5285D077"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729B39E6" w14:textId="77777777" w:rsidR="00047E69" w:rsidRPr="00AE0B87" w:rsidRDefault="00C210A5" w:rsidP="00483A65">
      <w:pPr>
        <w:widowControl/>
        <w:numPr>
          <w:ilvl w:val="12"/>
          <w:numId w:val="0"/>
        </w:numPr>
        <w:adjustRightInd w:val="0"/>
        <w:snapToGrid w:val="0"/>
        <w:rPr>
          <w:rFonts w:ascii="Times New Roman" w:hAnsi="Times New Roman" w:cs="Times New Roman"/>
          <w:color w:val="000000"/>
        </w:rPr>
      </w:pPr>
      <w:r w:rsidRPr="00AE0B87">
        <w:rPr>
          <w:rFonts w:ascii="Times New Roman" w:hAnsi="Times New Roman" w:cs="Times New Roman"/>
          <w:color w:val="000000"/>
        </w:rPr>
        <w:t>If you have any further questions on the use of this medicine, ask your doctor, pharmacist or nurse.</w:t>
      </w:r>
    </w:p>
    <w:p w14:paraId="48091022" w14:textId="77777777" w:rsidR="00047E69" w:rsidRPr="00AE0B87" w:rsidRDefault="00047E69" w:rsidP="00483A65">
      <w:pPr>
        <w:widowControl/>
        <w:numPr>
          <w:ilvl w:val="12"/>
          <w:numId w:val="0"/>
        </w:numPr>
        <w:adjustRightInd w:val="0"/>
        <w:snapToGrid w:val="0"/>
        <w:rPr>
          <w:rFonts w:ascii="Times New Roman" w:hAnsi="Times New Roman" w:cs="Times New Roman"/>
        </w:rPr>
      </w:pPr>
    </w:p>
    <w:p w14:paraId="1EBCD1A1" w14:textId="77777777" w:rsidR="00047E69" w:rsidRPr="00AE0B87" w:rsidRDefault="00047E69" w:rsidP="00483A65">
      <w:pPr>
        <w:widowControl/>
        <w:numPr>
          <w:ilvl w:val="12"/>
          <w:numId w:val="0"/>
        </w:numPr>
        <w:adjustRightInd w:val="0"/>
        <w:snapToGrid w:val="0"/>
        <w:rPr>
          <w:rFonts w:ascii="Times New Roman" w:hAnsi="Times New Roman" w:cs="Times New Roman"/>
        </w:rPr>
      </w:pPr>
    </w:p>
    <w:p w14:paraId="4CC2C8D5" w14:textId="77777777" w:rsidR="00047E69" w:rsidRPr="00AE0B87" w:rsidRDefault="00C210A5" w:rsidP="00483A65">
      <w:pPr>
        <w:widowControl/>
        <w:numPr>
          <w:ilvl w:val="12"/>
          <w:numId w:val="0"/>
        </w:numPr>
        <w:adjustRightInd w:val="0"/>
        <w:snapToGrid w:val="0"/>
        <w:rPr>
          <w:rFonts w:ascii="Times New Roman" w:hAnsi="Times New Roman" w:cs="Times New Roman"/>
        </w:rPr>
      </w:pPr>
      <w:r w:rsidRPr="00AE0B87">
        <w:rPr>
          <w:rFonts w:ascii="Times New Roman" w:hAnsi="Times New Roman" w:cs="Times New Roman"/>
          <w:b/>
        </w:rPr>
        <w:t>4.</w:t>
      </w:r>
      <w:r w:rsidRPr="00AE0B87">
        <w:rPr>
          <w:rFonts w:ascii="Times New Roman" w:hAnsi="Times New Roman" w:cs="Times New Roman"/>
          <w:b/>
        </w:rPr>
        <w:tab/>
        <w:t>Possible side effects</w:t>
      </w:r>
    </w:p>
    <w:p w14:paraId="679F67D2" w14:textId="77777777" w:rsidR="00047E69" w:rsidRPr="00AE0B87" w:rsidRDefault="00047E69" w:rsidP="00483A65">
      <w:pPr>
        <w:widowControl/>
        <w:numPr>
          <w:ilvl w:val="12"/>
          <w:numId w:val="0"/>
        </w:numPr>
        <w:adjustRightInd w:val="0"/>
        <w:snapToGrid w:val="0"/>
        <w:rPr>
          <w:rFonts w:ascii="Times New Roman" w:hAnsi="Times New Roman" w:cs="Times New Roman"/>
        </w:rPr>
      </w:pPr>
    </w:p>
    <w:p w14:paraId="695ED853" w14:textId="77777777" w:rsidR="00047E69" w:rsidRPr="00AE0B87" w:rsidRDefault="00C210A5" w:rsidP="00483A65">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Like all medicines, this medicine can cause side effects, although not everybody gets them. </w:t>
      </w:r>
    </w:p>
    <w:p w14:paraId="769DDDB6"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214F8F19" w14:textId="77777777" w:rsidR="00047E69" w:rsidRPr="00AE0B87" w:rsidRDefault="00C210A5" w:rsidP="00483A65">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If you get any side effects talk to your doctor, pharmacist or nurse. This includes any possible side effects not listed in this leaflet. </w:t>
      </w:r>
    </w:p>
    <w:p w14:paraId="04316EDA"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77766095" w14:textId="0CAEBC13" w:rsidR="00047E69" w:rsidRPr="00AE0B87" w:rsidRDefault="00C210A5" w:rsidP="00483A65">
      <w:pPr>
        <w:widowControl/>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lastRenderedPageBreak/>
        <w:t xml:space="preserve">The side effects listed below were seen when </w:t>
      </w:r>
      <w:r w:rsidR="00A32819">
        <w:rPr>
          <w:rFonts w:ascii="Times New Roman" w:hAnsi="Times New Roman" w:cs="Times New Roman"/>
          <w:color w:val="000000"/>
        </w:rPr>
        <w:t>Vegzelma</w:t>
      </w:r>
      <w:r w:rsidRPr="00AE0B87">
        <w:rPr>
          <w:rFonts w:ascii="Times New Roman" w:hAnsi="Times New Roman" w:cs="Times New Roman"/>
          <w:color w:val="000000"/>
        </w:rPr>
        <w:t xml:space="preserve"> was given together with chemotherapy. This does not necessarily mean that these side effects were strictly caused by </w:t>
      </w:r>
      <w:r w:rsidR="00A32819">
        <w:rPr>
          <w:rFonts w:ascii="Times New Roman" w:hAnsi="Times New Roman" w:cs="Times New Roman"/>
          <w:color w:val="000000"/>
        </w:rPr>
        <w:t>Vegzelma</w:t>
      </w:r>
      <w:r w:rsidRPr="00AE0B87">
        <w:rPr>
          <w:rFonts w:ascii="Times New Roman" w:hAnsi="Times New Roman" w:cs="Times New Roman"/>
          <w:color w:val="000000"/>
        </w:rPr>
        <w:t xml:space="preserve">. </w:t>
      </w:r>
    </w:p>
    <w:p w14:paraId="13642799" w14:textId="77777777" w:rsidR="00047E69" w:rsidRPr="00AE0B87" w:rsidRDefault="00047E69" w:rsidP="00483A65">
      <w:pPr>
        <w:widowControl/>
        <w:autoSpaceDE w:val="0"/>
        <w:autoSpaceDN w:val="0"/>
        <w:adjustRightInd w:val="0"/>
        <w:snapToGrid w:val="0"/>
        <w:rPr>
          <w:rFonts w:ascii="Times New Roman" w:hAnsi="Times New Roman" w:cs="Times New Roman"/>
          <w:color w:val="000000"/>
        </w:rPr>
      </w:pPr>
    </w:p>
    <w:p w14:paraId="044FC89D" w14:textId="77777777" w:rsidR="00047E69" w:rsidRPr="00AE0B87" w:rsidRDefault="00C210A5" w:rsidP="00483A65">
      <w:pPr>
        <w:widowControl/>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Allergic reactions </w:t>
      </w:r>
    </w:p>
    <w:p w14:paraId="03CFF313"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5BACD0AE" w14:textId="546F963D"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If you have an allergic reaction, tell your doctor or a member of the medical staff straight away. The signs may include: difficulty in breathing or chest pain. You could also experience redness or flushing of the skin or a rash, chills and shivering, feeling sick (nausea) or being sick (vomiting</w:t>
      </w:r>
      <w:r w:rsidR="00205EF7" w:rsidRPr="00AE0B87">
        <w:rPr>
          <w:rFonts w:ascii="Times New Roman" w:hAnsi="Times New Roman" w:cs="Times New Roman"/>
          <w:color w:val="000000"/>
        </w:rPr>
        <w:t>),</w:t>
      </w:r>
      <w:r w:rsidR="00205EF7" w:rsidRPr="00AE0B87">
        <w:t xml:space="preserve"> </w:t>
      </w:r>
      <w:r w:rsidR="00205EF7" w:rsidRPr="00AE0B87">
        <w:rPr>
          <w:rFonts w:ascii="Times New Roman" w:hAnsi="Times New Roman" w:cs="Times New Roman"/>
          <w:color w:val="000000"/>
        </w:rPr>
        <w:t>swelling, lightheadedness, fast heartbeat and loss of consciousness.</w:t>
      </w:r>
    </w:p>
    <w:p w14:paraId="0FCE8692"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010D3CF9" w14:textId="77777777" w:rsidR="00047E69" w:rsidRPr="00AE0B87" w:rsidRDefault="00C210A5" w:rsidP="004228B0">
      <w:pPr>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You should seek help immediately if you suffer from any of the below mentioned side effects. </w:t>
      </w:r>
    </w:p>
    <w:p w14:paraId="73E8DD31"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477A9E9B" w14:textId="57E3837E"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Severe side effects, which may be </w:t>
      </w:r>
      <w:r w:rsidRPr="00AE0B87">
        <w:rPr>
          <w:rFonts w:ascii="Times New Roman" w:hAnsi="Times New Roman" w:cs="Times New Roman"/>
          <w:b/>
          <w:bCs/>
          <w:color w:val="000000"/>
        </w:rPr>
        <w:t xml:space="preserve">very common </w:t>
      </w:r>
      <w:r w:rsidRPr="00AE0B87">
        <w:rPr>
          <w:rFonts w:ascii="Times New Roman" w:hAnsi="Times New Roman" w:cs="Times New Roman"/>
          <w:color w:val="000000"/>
        </w:rPr>
        <w:t>(</w:t>
      </w:r>
      <w:r w:rsidR="00205EF7" w:rsidRPr="00AE0B87">
        <w:rPr>
          <w:rFonts w:ascii="Times New Roman" w:hAnsi="Times New Roman" w:cs="Times New Roman"/>
          <w:color w:val="000000"/>
        </w:rPr>
        <w:t>may affect more than 1 in 10 people</w:t>
      </w:r>
      <w:r w:rsidRPr="00AE0B87">
        <w:rPr>
          <w:rFonts w:ascii="Times New Roman" w:hAnsi="Times New Roman" w:cs="Times New Roman"/>
          <w:color w:val="000000"/>
        </w:rPr>
        <w:t xml:space="preserve">), include: </w:t>
      </w:r>
    </w:p>
    <w:p w14:paraId="462384CA"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high blood pressure, </w:t>
      </w:r>
    </w:p>
    <w:p w14:paraId="5BAA031C"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feeling of numbness or tingling in hands or feet, </w:t>
      </w:r>
    </w:p>
    <w:p w14:paraId="24463F30"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decreased number of cells in the blood, including white cells that help to fight against infections (this may be accompanied by fever), and cells that help the blood to clot, </w:t>
      </w:r>
    </w:p>
    <w:p w14:paraId="35F2CB2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feeling weak and having no energy, </w:t>
      </w:r>
    </w:p>
    <w:p w14:paraId="3E67C81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tiredness, </w:t>
      </w:r>
    </w:p>
    <w:p w14:paraId="2E750EE6"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diarrhoea, nausea, vomiting and abdominal pain. </w:t>
      </w:r>
    </w:p>
    <w:p w14:paraId="5BC96BE3" w14:textId="77777777" w:rsidR="00047E69" w:rsidRPr="00AE0B87" w:rsidRDefault="00047E69" w:rsidP="004228B0">
      <w:pPr>
        <w:pStyle w:val="a6"/>
        <w:autoSpaceDE w:val="0"/>
        <w:autoSpaceDN w:val="0"/>
        <w:adjustRightInd w:val="0"/>
        <w:snapToGrid w:val="0"/>
        <w:rPr>
          <w:rFonts w:ascii="Times New Roman" w:hAnsi="Times New Roman" w:cs="Times New Roman"/>
          <w:color w:val="000000"/>
        </w:rPr>
      </w:pPr>
    </w:p>
    <w:p w14:paraId="593CD79A" w14:textId="4E3850BD"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Severe side effects, which may be </w:t>
      </w:r>
      <w:r w:rsidRPr="00AE0B87">
        <w:rPr>
          <w:rFonts w:ascii="Times New Roman" w:hAnsi="Times New Roman" w:cs="Times New Roman"/>
          <w:b/>
          <w:bCs/>
          <w:color w:val="000000"/>
        </w:rPr>
        <w:t xml:space="preserve">common </w:t>
      </w:r>
      <w:r w:rsidRPr="00AE0B87">
        <w:rPr>
          <w:rFonts w:ascii="Times New Roman" w:hAnsi="Times New Roman" w:cs="Times New Roman"/>
          <w:color w:val="000000"/>
        </w:rPr>
        <w:t>(</w:t>
      </w:r>
      <w:r w:rsidR="00205EF7" w:rsidRPr="00AE0B87">
        <w:rPr>
          <w:rFonts w:ascii="Times New Roman" w:hAnsi="Times New Roman" w:cs="Times New Roman"/>
          <w:color w:val="000000"/>
        </w:rPr>
        <w:t>may affect up to 1 in 10 people</w:t>
      </w:r>
      <w:r w:rsidRPr="00AE0B87">
        <w:rPr>
          <w:rFonts w:ascii="Times New Roman" w:hAnsi="Times New Roman" w:cs="Times New Roman"/>
          <w:color w:val="000000"/>
        </w:rPr>
        <w:t xml:space="preserve">), include: </w:t>
      </w:r>
    </w:p>
    <w:p w14:paraId="0E281D9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perforation of the gut, </w:t>
      </w:r>
    </w:p>
    <w:p w14:paraId="3404F4BD"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bleeding, including bleeding in the lungs in patients with non-small cell lung cancer, </w:t>
      </w:r>
    </w:p>
    <w:p w14:paraId="3D2DD54C"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blocking of the arteries by a blood clot, </w:t>
      </w:r>
    </w:p>
    <w:p w14:paraId="225C87E6"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blocking of the veins by a blood clot, </w:t>
      </w:r>
    </w:p>
    <w:p w14:paraId="52D63A60"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blocking of the blood vessels of the lungs by a blood clot, </w:t>
      </w:r>
    </w:p>
    <w:p w14:paraId="7F8A5B1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blocking of the veins of the legs by a blood clot,</w:t>
      </w:r>
    </w:p>
    <w:p w14:paraId="79D4DECF"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heart failure, </w:t>
      </w:r>
    </w:p>
    <w:p w14:paraId="7674B597"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problems with wound healing after surgery, </w:t>
      </w:r>
    </w:p>
    <w:p w14:paraId="76674E9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redness, peeling, tenderness, pain, or blistering on the fingers or feet, </w:t>
      </w:r>
    </w:p>
    <w:p w14:paraId="743E4CD1"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decreased number of red cells in the blood, </w:t>
      </w:r>
    </w:p>
    <w:p w14:paraId="1515F207"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lack of energy, </w:t>
      </w:r>
    </w:p>
    <w:p w14:paraId="05F2B304"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stomach and intestinal disorder, </w:t>
      </w:r>
    </w:p>
    <w:p w14:paraId="4ACA43F8"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muscle and joint pain, muscular weakness, </w:t>
      </w:r>
    </w:p>
    <w:p w14:paraId="4C9E5EA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dry mouth in combination with thirst and/or reduced or darkened urine, </w:t>
      </w:r>
    </w:p>
    <w:p w14:paraId="72A30E07"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inflammation of the moist lining of mouth and gut, lungs and air passages, reproductive, and urinary tracts, </w:t>
      </w:r>
    </w:p>
    <w:p w14:paraId="745E140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sores in the mouth and the tube from the mouth to the stomach, which may be painful and cause difficulty swallowing, </w:t>
      </w:r>
    </w:p>
    <w:p w14:paraId="5834647B"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pain, including headache, back pain and pain in the pelvis and anal regions, </w:t>
      </w:r>
    </w:p>
    <w:p w14:paraId="6CFFA536"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localised pus collection, </w:t>
      </w:r>
    </w:p>
    <w:p w14:paraId="2672035A"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infection, and in particular infection in the blood or bladder, </w:t>
      </w:r>
    </w:p>
    <w:p w14:paraId="7EF75B8C"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reduced blood supply to the brain or stroke, </w:t>
      </w:r>
    </w:p>
    <w:p w14:paraId="7280117A"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sleepiness, </w:t>
      </w:r>
    </w:p>
    <w:p w14:paraId="362B6CD5"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nose bleed, </w:t>
      </w:r>
    </w:p>
    <w:p w14:paraId="3AFAF66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increase in heart rate (pulse), </w:t>
      </w:r>
    </w:p>
    <w:p w14:paraId="48CCA5A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blockage in the gut or bowel, </w:t>
      </w:r>
    </w:p>
    <w:p w14:paraId="6DFB4996"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abnormal urine test (protein in the urine), </w:t>
      </w:r>
    </w:p>
    <w:p w14:paraId="5C42E47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shortness of breath or low levels of oxygen in the blood, </w:t>
      </w:r>
    </w:p>
    <w:p w14:paraId="0D44B049"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infections of the skin or deeper layers under the skin, </w:t>
      </w:r>
    </w:p>
    <w:p w14:paraId="1F2B9353" w14:textId="617E45F0"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fistula: abnormal tube-like connection between internal organs and skin or other tissues that are not normally connected, including connections between vagina and the gut in patients with cervical cancer</w:t>
      </w:r>
      <w:r w:rsidR="0046508C" w:rsidRPr="00AE0B87">
        <w:rPr>
          <w:rFonts w:ascii="Times New Roman" w:hAnsi="Times New Roman" w:cs="Times New Roman"/>
          <w:color w:val="000000"/>
        </w:rPr>
        <w:t>,</w:t>
      </w:r>
    </w:p>
    <w:p w14:paraId="48AA5EC4" w14:textId="676567F1" w:rsidR="00C70E96" w:rsidRPr="00AE0B87" w:rsidRDefault="00C70E96" w:rsidP="00D46C5C">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allergic reactions (the signs may include breathing difficulty, facial redness, rash, low blood</w:t>
      </w:r>
      <w:r w:rsidRPr="00AE0B87">
        <w:rPr>
          <w:rFonts w:ascii="Times New Roman" w:hAnsi="Times New Roman" w:cs="Times New Roman" w:hint="eastAsia"/>
          <w:color w:val="000000"/>
          <w:lang w:eastAsia="ko-KR"/>
        </w:rPr>
        <w:t xml:space="preserve"> </w:t>
      </w:r>
      <w:r w:rsidRPr="00AE0B87">
        <w:rPr>
          <w:rFonts w:ascii="Times New Roman" w:hAnsi="Times New Roman" w:cs="Times New Roman"/>
          <w:color w:val="000000"/>
        </w:rPr>
        <w:t>pressure or high blood pressure, low oxygen in your blood, chest pain, or nausea/vomiting).</w:t>
      </w:r>
    </w:p>
    <w:p w14:paraId="65BF9078" w14:textId="77777777" w:rsidR="00047E69" w:rsidRPr="00AE0B87" w:rsidRDefault="00047E69" w:rsidP="004228B0">
      <w:pPr>
        <w:numPr>
          <w:ilvl w:val="12"/>
          <w:numId w:val="0"/>
        </w:numPr>
        <w:adjustRightInd w:val="0"/>
        <w:snapToGrid w:val="0"/>
        <w:rPr>
          <w:rFonts w:ascii="Times New Roman" w:hAnsi="Times New Roman" w:cs="Times New Roman"/>
          <w:color w:val="000000"/>
        </w:rPr>
      </w:pPr>
    </w:p>
    <w:p w14:paraId="3C7B0FA6" w14:textId="3244BDA7" w:rsidR="00A768A9" w:rsidRPr="00AE0B87" w:rsidRDefault="00A768A9" w:rsidP="004228B0">
      <w:pPr>
        <w:autoSpaceDE w:val="0"/>
        <w:autoSpaceDN w:val="0"/>
        <w:adjustRightInd w:val="0"/>
        <w:snapToGrid w:val="0"/>
        <w:rPr>
          <w:rFonts w:ascii="Times New Roman" w:hAnsi="Times New Roman" w:cs="Times New Roman"/>
          <w:color w:val="000000"/>
          <w:lang w:eastAsia="ko-KR"/>
        </w:rPr>
      </w:pPr>
      <w:r w:rsidRPr="00AE0B87">
        <w:rPr>
          <w:rFonts w:ascii="Times New Roman" w:hAnsi="Times New Roman" w:cs="Times New Roman" w:hint="eastAsia"/>
          <w:color w:val="000000"/>
          <w:lang w:eastAsia="ko-KR"/>
        </w:rPr>
        <w:lastRenderedPageBreak/>
        <w:t>S</w:t>
      </w:r>
      <w:r w:rsidRPr="00AE0B87">
        <w:rPr>
          <w:rFonts w:ascii="Times New Roman" w:hAnsi="Times New Roman" w:cs="Times New Roman"/>
          <w:color w:val="000000"/>
          <w:lang w:eastAsia="ko-KR"/>
        </w:rPr>
        <w:t xml:space="preserve">evere side effect, which may be </w:t>
      </w:r>
      <w:r w:rsidRPr="00AE0B87">
        <w:rPr>
          <w:rFonts w:ascii="Times New Roman" w:hAnsi="Times New Roman" w:cs="Times New Roman"/>
          <w:b/>
          <w:bCs/>
          <w:color w:val="000000"/>
          <w:lang w:eastAsia="ko-KR"/>
        </w:rPr>
        <w:t xml:space="preserve">rare </w:t>
      </w:r>
      <w:r w:rsidRPr="00AE0B87">
        <w:rPr>
          <w:rFonts w:ascii="Times New Roman" w:hAnsi="Times New Roman" w:cs="Times New Roman"/>
          <w:color w:val="000000"/>
          <w:lang w:eastAsia="ko-KR"/>
        </w:rPr>
        <w:t xml:space="preserve">(may affect up to 1 in 1,000 people), include: </w:t>
      </w:r>
    </w:p>
    <w:p w14:paraId="122C74E8" w14:textId="0073B5CE" w:rsidR="00A768A9" w:rsidRPr="00AE0B87" w:rsidRDefault="00A768A9" w:rsidP="00D46C5C">
      <w:pPr>
        <w:pStyle w:val="a6"/>
        <w:numPr>
          <w:ilvl w:val="0"/>
          <w:numId w:val="36"/>
        </w:numPr>
        <w:autoSpaceDE w:val="0"/>
        <w:autoSpaceDN w:val="0"/>
        <w:adjustRightInd w:val="0"/>
        <w:snapToGrid w:val="0"/>
        <w:ind w:left="567" w:hanging="567"/>
        <w:rPr>
          <w:rFonts w:ascii="Times New Roman" w:hAnsi="Times New Roman" w:cs="Times New Roman"/>
          <w:color w:val="000000"/>
          <w:lang w:val="en-GB" w:eastAsia="ko-KR"/>
        </w:rPr>
      </w:pPr>
      <w:r w:rsidRPr="00AE0B87">
        <w:rPr>
          <w:rFonts w:ascii="Times New Roman" w:hAnsi="Times New Roman" w:cs="Times New Roman"/>
          <w:color w:val="000000"/>
          <w:lang w:val="en-GB" w:eastAsia="ko-KR"/>
        </w:rPr>
        <w:t>sudden, severe allergic reaction with breathing difficulty, swelling, lightheadedness, fast heartbeat, sweating, and loss of consciousness (anaphylactic shock).</w:t>
      </w:r>
    </w:p>
    <w:p w14:paraId="28ABBE03" w14:textId="77777777" w:rsidR="00A768A9" w:rsidRPr="00AE0B87" w:rsidRDefault="00A768A9" w:rsidP="004228B0">
      <w:pPr>
        <w:autoSpaceDE w:val="0"/>
        <w:autoSpaceDN w:val="0"/>
        <w:adjustRightInd w:val="0"/>
        <w:snapToGrid w:val="0"/>
        <w:rPr>
          <w:rFonts w:ascii="Times New Roman" w:hAnsi="Times New Roman" w:cs="Times New Roman"/>
          <w:color w:val="000000"/>
          <w:lang w:eastAsia="ko-KR"/>
        </w:rPr>
      </w:pPr>
    </w:p>
    <w:p w14:paraId="01164A14" w14:textId="7B7E6F26"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Severe side effects of </w:t>
      </w:r>
      <w:r w:rsidRPr="00AE0B87">
        <w:rPr>
          <w:rFonts w:ascii="Times New Roman" w:hAnsi="Times New Roman" w:cs="Times New Roman"/>
          <w:b/>
          <w:bCs/>
          <w:color w:val="000000"/>
        </w:rPr>
        <w:t xml:space="preserve">unknown </w:t>
      </w:r>
      <w:r w:rsidRPr="00AE0B87">
        <w:rPr>
          <w:rFonts w:ascii="Times New Roman" w:hAnsi="Times New Roman" w:cs="Times New Roman"/>
          <w:color w:val="000000"/>
        </w:rPr>
        <w:t xml:space="preserve">frequency (frequency cannot be estimated from the available data), include: </w:t>
      </w:r>
    </w:p>
    <w:p w14:paraId="4F2485C1"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serious infections of the skin or deeper layers under the skin, especially if you had holes in the gut wall or problems with wound healing, </w:t>
      </w:r>
    </w:p>
    <w:p w14:paraId="041CED64"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negative effect on a woman’s ability to have children (see the paragraphs below the list of side effects for further recommendations), </w:t>
      </w:r>
    </w:p>
    <w:p w14:paraId="64CBB6F8"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brain condition with symptoms including seizures (fits), headache, confusion, and changes in vision (Posterior Reversible Encephalopathy Syndrome or PRES), </w:t>
      </w:r>
    </w:p>
    <w:p w14:paraId="76373749"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symptoms that suggest changes in normal brain function (headaches, vision changes, confusion, or seizures), and high blood pressure, </w:t>
      </w:r>
    </w:p>
    <w:p w14:paraId="3F50DAA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an enlargement and weakening of a blood vessel wall or a tear in a blood vessel wall (aneurysms and artery dissections), </w:t>
      </w:r>
    </w:p>
    <w:p w14:paraId="1BE08771"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clogging of a very small blood vessel(s) in the kidney, </w:t>
      </w:r>
    </w:p>
    <w:p w14:paraId="0FB8C6E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abnormally high blood pressure in the blood vessels of the lungs which makes the right side of the heart work harder than normal, </w:t>
      </w:r>
    </w:p>
    <w:p w14:paraId="3EB459E0"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hole in the cartilage wall separating the nostrils of the nose, </w:t>
      </w:r>
    </w:p>
    <w:p w14:paraId="27E8AFC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 hole in the stomach or intestines, </w:t>
      </w:r>
    </w:p>
    <w:p w14:paraId="24AD4BFA"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an open sore or hole in the lining of the stomach or small intestine (the signs may include abdominal pain, feeling bloated, black tarry stools or blood in your stools (faeces) or blood in your vomit), </w:t>
      </w:r>
    </w:p>
    <w:p w14:paraId="27487D01"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bleeding from the lower part of the large bowel, </w:t>
      </w:r>
    </w:p>
    <w:p w14:paraId="22F05845"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lesions in the gums with an exposed jaw bone that does not heal and may be associated with pain and inflammation of the surrounding tissue (see the paragraphs below the list of side effects for further recommendations),</w:t>
      </w:r>
    </w:p>
    <w:p w14:paraId="79771EC9"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hole in the gall bladder (symptoms and signs may include abdominal pain, fever, and nausea/vomiting).</w:t>
      </w:r>
    </w:p>
    <w:p w14:paraId="69E50F69" w14:textId="77777777" w:rsidR="00047E69" w:rsidRPr="00AE0B87" w:rsidRDefault="00047E69" w:rsidP="004228B0">
      <w:pPr>
        <w:adjustRightInd w:val="0"/>
        <w:snapToGrid w:val="0"/>
        <w:rPr>
          <w:rFonts w:ascii="Times New Roman" w:hAnsi="Times New Roman" w:cs="Times New Roman"/>
        </w:rPr>
      </w:pPr>
    </w:p>
    <w:p w14:paraId="138D1BDE" w14:textId="77777777" w:rsidR="00047E69" w:rsidRPr="00AE0B87" w:rsidRDefault="00C210A5" w:rsidP="004228B0">
      <w:pPr>
        <w:autoSpaceDE w:val="0"/>
        <w:autoSpaceDN w:val="0"/>
        <w:adjustRightInd w:val="0"/>
        <w:snapToGrid w:val="0"/>
        <w:rPr>
          <w:rFonts w:ascii="Times New Roman" w:hAnsi="Times New Roman" w:cs="Times New Roman"/>
          <w:b/>
          <w:bCs/>
          <w:color w:val="000000"/>
        </w:rPr>
      </w:pPr>
      <w:r w:rsidRPr="00AE0B87">
        <w:rPr>
          <w:rFonts w:ascii="Times New Roman" w:hAnsi="Times New Roman" w:cs="Times New Roman"/>
          <w:b/>
          <w:bCs/>
          <w:color w:val="000000"/>
        </w:rPr>
        <w:t xml:space="preserve">You should seek help as soon as possible if you suffer from any of the below mentioned side effects. </w:t>
      </w:r>
    </w:p>
    <w:p w14:paraId="2772DCA1"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7C86E32D" w14:textId="59F7E3A6"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b/>
          <w:bCs/>
          <w:color w:val="000000"/>
        </w:rPr>
        <w:t xml:space="preserve">Very common </w:t>
      </w:r>
      <w:r w:rsidRPr="00AE0B87">
        <w:rPr>
          <w:rFonts w:ascii="Times New Roman" w:hAnsi="Times New Roman" w:cs="Times New Roman"/>
          <w:color w:val="000000"/>
        </w:rPr>
        <w:t>(</w:t>
      </w:r>
      <w:r w:rsidR="00205EF7" w:rsidRPr="00AE0B87">
        <w:rPr>
          <w:rFonts w:ascii="Times New Roman" w:hAnsi="Times New Roman" w:cs="Times New Roman"/>
          <w:color w:val="000000"/>
        </w:rPr>
        <w:t>may affect more than 1 in 10 people</w:t>
      </w:r>
      <w:r w:rsidRPr="00AE0B87">
        <w:rPr>
          <w:rFonts w:ascii="Times New Roman" w:hAnsi="Times New Roman" w:cs="Times New Roman"/>
          <w:color w:val="000000"/>
        </w:rPr>
        <w:t xml:space="preserve">) side effects, which were not severe, include: </w:t>
      </w:r>
    </w:p>
    <w:p w14:paraId="5DC63B9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constipation, </w:t>
      </w:r>
    </w:p>
    <w:p w14:paraId="18EA096C"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loss of appetite, </w:t>
      </w:r>
    </w:p>
    <w:p w14:paraId="657832B9"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fever, </w:t>
      </w:r>
    </w:p>
    <w:p w14:paraId="4F3ECFC7"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problems with the eyes (including increased production of tears), </w:t>
      </w:r>
    </w:p>
    <w:p w14:paraId="37B5E6B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changes in speech, </w:t>
      </w:r>
    </w:p>
    <w:p w14:paraId="58603FF6"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change in the sense of taste, </w:t>
      </w:r>
    </w:p>
    <w:p w14:paraId="7F829F86"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runny nose, </w:t>
      </w:r>
    </w:p>
    <w:p w14:paraId="512ECBBE"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dry skin, flaking and inflammation of the skin, change in skin colour, </w:t>
      </w:r>
    </w:p>
    <w:p w14:paraId="0B4B1FCD"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loss of body weight, </w:t>
      </w:r>
    </w:p>
    <w:p w14:paraId="5C0FC4E7"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nose bleeds. </w:t>
      </w:r>
    </w:p>
    <w:p w14:paraId="6401AC0E"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2F3282A2" w14:textId="15E533D8"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b/>
          <w:bCs/>
          <w:color w:val="000000"/>
        </w:rPr>
        <w:t xml:space="preserve">Common </w:t>
      </w:r>
      <w:r w:rsidRPr="00AE0B87">
        <w:rPr>
          <w:rFonts w:ascii="Times New Roman" w:hAnsi="Times New Roman" w:cs="Times New Roman"/>
          <w:color w:val="000000"/>
        </w:rPr>
        <w:t>(</w:t>
      </w:r>
      <w:r w:rsidR="00205EF7" w:rsidRPr="00AE0B87">
        <w:rPr>
          <w:rFonts w:ascii="Times New Roman" w:hAnsi="Times New Roman" w:cs="Times New Roman"/>
          <w:color w:val="000000"/>
        </w:rPr>
        <w:t>may affect up to 1 in 10 people</w:t>
      </w:r>
      <w:r w:rsidRPr="00AE0B87">
        <w:rPr>
          <w:rFonts w:ascii="Times New Roman" w:hAnsi="Times New Roman" w:cs="Times New Roman"/>
          <w:color w:val="000000"/>
        </w:rPr>
        <w:t xml:space="preserve">) side effects, which were not severe, include: </w:t>
      </w:r>
    </w:p>
    <w:p w14:paraId="3FCA49C2"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voice changes and hoarseness. </w:t>
      </w:r>
    </w:p>
    <w:p w14:paraId="4E7C6733" w14:textId="77777777" w:rsidR="00047E69" w:rsidRPr="00AE0B87" w:rsidRDefault="00047E69" w:rsidP="004228B0">
      <w:pPr>
        <w:pStyle w:val="a6"/>
        <w:autoSpaceDE w:val="0"/>
        <w:autoSpaceDN w:val="0"/>
        <w:adjustRightInd w:val="0"/>
        <w:snapToGrid w:val="0"/>
        <w:rPr>
          <w:rFonts w:ascii="Times New Roman" w:hAnsi="Times New Roman" w:cs="Times New Roman"/>
          <w:color w:val="000000"/>
        </w:rPr>
      </w:pPr>
    </w:p>
    <w:p w14:paraId="158FF38F" w14:textId="72BD501A"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Patients older than 65 years have an increased risk of experiencing the following side effects: </w:t>
      </w:r>
    </w:p>
    <w:p w14:paraId="4E7F7B3B"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blood clot in the arteries which can lead to a stroke or a heart attack, </w:t>
      </w:r>
    </w:p>
    <w:p w14:paraId="0BA76ED0"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reduction in the number of white cells in the blood, and cells that help the blood clot, </w:t>
      </w:r>
    </w:p>
    <w:p w14:paraId="3152D60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diarrhoea, </w:t>
      </w:r>
    </w:p>
    <w:p w14:paraId="51E9109F"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sickness, </w:t>
      </w:r>
    </w:p>
    <w:p w14:paraId="752F944D"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headache, </w:t>
      </w:r>
    </w:p>
    <w:p w14:paraId="3D59476F"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fatigue, </w:t>
      </w:r>
    </w:p>
    <w:p w14:paraId="251631BC"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high blood pressure.</w:t>
      </w:r>
    </w:p>
    <w:p w14:paraId="1E882220" w14:textId="2671D2FC" w:rsidR="00047E69" w:rsidRPr="00AE0B87" w:rsidRDefault="00A32819" w:rsidP="004228B0">
      <w:pPr>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lastRenderedPageBreak/>
        <w:t>Vegzelma</w:t>
      </w:r>
      <w:r w:rsidR="00C210A5" w:rsidRPr="00AE0B87">
        <w:rPr>
          <w:rFonts w:ascii="Times New Roman" w:hAnsi="Times New Roman" w:cs="Times New Roman"/>
          <w:color w:val="000000"/>
        </w:rPr>
        <w:t xml:space="preserve"> may also cause changes in laboratory tests carried out by your doctor. These include a decreased number of white cells in the blood, in particular neutrophils (one type of white blood cell which helps protect against infections) in the blood; presence of protein in the urine; decreased blood potassium, sodium or phosphorous (a mineral); increased blood sugar; increased blood alkaline phosphatase (an enzyme); increased serum creatinine (a protein measured by a blood test to see how well your kidneys are working); decreased haemoglobin (found in red blood cells, which carry oxygen), which may be severe. </w:t>
      </w:r>
    </w:p>
    <w:p w14:paraId="6791D56D"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60B5B274"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Pain in the mouth, teeth and/or jaw, swelling or sores inside the mouth, numbness or a feeling of heaviness in the jaw, or loosening of a tooth. These could be signs and symptoms of bone damage in the jaw (osteonecrosis). Tell your doctor and dentist immediately if you experience any of them. </w:t>
      </w:r>
    </w:p>
    <w:p w14:paraId="358BEFA5"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54756F2C"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Pre-menopausal women (women who have a menstrual cycle) may notice that their periods become irregular or are missed and may experience impaired fertility. If you are considering having children you should discuss this with your doctor before your treatment starts. </w:t>
      </w:r>
    </w:p>
    <w:p w14:paraId="3836C9D8"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28EA3BA9" w14:textId="77B7DC38" w:rsidR="00047E69" w:rsidRPr="00AE0B87" w:rsidRDefault="00A32819" w:rsidP="004228B0">
      <w:pPr>
        <w:autoSpaceDE w:val="0"/>
        <w:autoSpaceDN w:val="0"/>
        <w:adjustRightInd w:val="0"/>
        <w:snapToGrid w:val="0"/>
        <w:rPr>
          <w:rFonts w:ascii="Times New Roman" w:hAnsi="Times New Roman" w:cs="Times New Roman"/>
          <w:color w:val="000000"/>
        </w:rPr>
      </w:pPr>
      <w:r>
        <w:rPr>
          <w:rFonts w:ascii="Times New Roman" w:hAnsi="Times New Roman" w:cs="Times New Roman"/>
          <w:color w:val="000000"/>
        </w:rPr>
        <w:t>Vegzelma</w:t>
      </w:r>
      <w:r w:rsidR="00C210A5" w:rsidRPr="00AE0B87">
        <w:rPr>
          <w:rFonts w:ascii="Times New Roman" w:hAnsi="Times New Roman" w:cs="Times New Roman"/>
          <w:color w:val="000000"/>
        </w:rPr>
        <w:t xml:space="preserve"> has been developed and made to treat cancer by injecting it into the bloodstream. It has not been developed or made for injection into the eye. It is therefore not authorised to be used in this wa</w:t>
      </w:r>
      <w:r w:rsidR="00C210A5" w:rsidRPr="00AE0B87">
        <w:rPr>
          <w:rFonts w:ascii="Times New Roman" w:eastAsia="Times New Roman" w:hAnsi="Times New Roman" w:cs="Arial"/>
        </w:rPr>
        <w:t>y. When b</w:t>
      </w:r>
      <w:r w:rsidR="00C210A5" w:rsidRPr="00AE0B87">
        <w:rPr>
          <w:rFonts w:ascii="Times New Roman" w:hAnsi="Times New Roman" w:cs="Times New Roman"/>
          <w:color w:val="000000"/>
        </w:rPr>
        <w:t xml:space="preserve">evacizumab is injected directly into the eye (unapproved use), the following side effects may occur: </w:t>
      </w:r>
    </w:p>
    <w:p w14:paraId="3CFF9437" w14:textId="77777777" w:rsidR="00047E69" w:rsidRPr="00AE0B87" w:rsidRDefault="00047E69" w:rsidP="004228B0">
      <w:pPr>
        <w:pStyle w:val="a6"/>
        <w:autoSpaceDE w:val="0"/>
        <w:autoSpaceDN w:val="0"/>
        <w:adjustRightInd w:val="0"/>
        <w:snapToGrid w:val="0"/>
        <w:rPr>
          <w:rFonts w:ascii="Times New Roman" w:hAnsi="Times New Roman" w:cs="Times New Roman"/>
          <w:color w:val="000000"/>
        </w:rPr>
      </w:pPr>
    </w:p>
    <w:p w14:paraId="33E5E94F"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Infection or inflammation of the eye globe, </w:t>
      </w:r>
    </w:p>
    <w:p w14:paraId="163441AF"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Redness of the eye, small particles or spots in your vision (floaters), eye pain, </w:t>
      </w:r>
    </w:p>
    <w:p w14:paraId="6DC8A31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Seeing flashes of light with floaters, progressing to a loss of some of your vision, </w:t>
      </w:r>
    </w:p>
    <w:p w14:paraId="4524FB33"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Increased eye pressure, </w:t>
      </w:r>
    </w:p>
    <w:p w14:paraId="36C5B190"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Bleeding in the eye.</w:t>
      </w:r>
    </w:p>
    <w:p w14:paraId="5939B994"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16913B8F"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b/>
          <w:bCs/>
          <w:color w:val="000000"/>
        </w:rPr>
        <w:t xml:space="preserve">Reporting of side effects </w:t>
      </w:r>
    </w:p>
    <w:p w14:paraId="5CA699CA" w14:textId="77777777" w:rsidR="00047E69" w:rsidRPr="00AE0B87" w:rsidRDefault="00C210A5" w:rsidP="004228B0">
      <w:pPr>
        <w:autoSpaceDE w:val="0"/>
        <w:autoSpaceDN w:val="0"/>
        <w:adjustRightInd w:val="0"/>
        <w:snapToGrid w:val="0"/>
        <w:rPr>
          <w:rFonts w:ascii="Times New Roman" w:eastAsia="맑은 고딕" w:hAnsi="Times New Roman" w:cs="Times New Roman"/>
          <w:lang w:eastAsia="ko-KR"/>
        </w:rPr>
      </w:pPr>
      <w:r w:rsidRPr="00AE0B87">
        <w:rPr>
          <w:rFonts w:ascii="Times New Roman" w:hAnsi="Times New Roman" w:cs="Times New Roman"/>
          <w:color w:val="000000"/>
        </w:rPr>
        <w:t xml:space="preserve">If you get any side effects, talk to your doctor, pharmacist or nurse. This includes any possible side effects not listed in this leaflet. You can also report side effects directly via the </w:t>
      </w:r>
      <w:r w:rsidRPr="00AE0B87">
        <w:rPr>
          <w:rFonts w:ascii="Times New Roman" w:hAnsi="Times New Roman" w:cs="Times New Roman"/>
          <w:color w:val="000000"/>
          <w:highlight w:val="lightGray"/>
        </w:rPr>
        <w:t xml:space="preserve">national reporting system listed in </w:t>
      </w:r>
      <w:hyperlink r:id="rId18" w:history="1">
        <w:r w:rsidRPr="00AE0B87">
          <w:rPr>
            <w:rStyle w:val="a9"/>
            <w:highlight w:val="lightGray"/>
          </w:rPr>
          <w:t>Appendix V</w:t>
        </w:r>
      </w:hyperlink>
      <w:r w:rsidRPr="00AE0B87">
        <w:rPr>
          <w:rFonts w:ascii="Times New Roman" w:hAnsi="Times New Roman" w:cs="Times New Roman"/>
          <w:color w:val="0000FF"/>
        </w:rPr>
        <w:t xml:space="preserve">. </w:t>
      </w:r>
      <w:r w:rsidRPr="00AE0B87">
        <w:rPr>
          <w:rFonts w:ascii="Times New Roman" w:hAnsi="Times New Roman" w:cs="Times New Roman"/>
          <w:color w:val="000000"/>
        </w:rPr>
        <w:t>By reporting side effects you can help provide more information on the safety of this medicine.</w:t>
      </w:r>
    </w:p>
    <w:p w14:paraId="7E66C71A" w14:textId="77777777" w:rsidR="00047E69" w:rsidRPr="00AE0B87" w:rsidRDefault="00047E69" w:rsidP="004228B0">
      <w:pPr>
        <w:autoSpaceDE w:val="0"/>
        <w:autoSpaceDN w:val="0"/>
        <w:adjustRightInd w:val="0"/>
        <w:snapToGrid w:val="0"/>
        <w:rPr>
          <w:rFonts w:ascii="Times New Roman" w:eastAsia="맑은 고딕" w:hAnsi="Times New Roman" w:cs="Times New Roman"/>
          <w:lang w:eastAsia="ko-KR"/>
        </w:rPr>
      </w:pPr>
    </w:p>
    <w:p w14:paraId="47F11FCA" w14:textId="77777777" w:rsidR="00047E69" w:rsidRPr="00AE0B87" w:rsidRDefault="00047E69" w:rsidP="004228B0">
      <w:pPr>
        <w:autoSpaceDE w:val="0"/>
        <w:autoSpaceDN w:val="0"/>
        <w:adjustRightInd w:val="0"/>
        <w:snapToGrid w:val="0"/>
        <w:rPr>
          <w:rFonts w:ascii="Times New Roman" w:hAnsi="Times New Roman" w:cs="Times New Roman"/>
        </w:rPr>
      </w:pPr>
    </w:p>
    <w:p w14:paraId="085D5F3A" w14:textId="638845E8" w:rsidR="00047E69" w:rsidRPr="00AE0B87" w:rsidRDefault="00C210A5" w:rsidP="004228B0">
      <w:pPr>
        <w:numPr>
          <w:ilvl w:val="12"/>
          <w:numId w:val="0"/>
        </w:numPr>
        <w:adjustRightInd w:val="0"/>
        <w:snapToGrid w:val="0"/>
        <w:rPr>
          <w:rFonts w:ascii="Times New Roman" w:eastAsia="맑은 고딕" w:hAnsi="Times New Roman" w:cs="Times New Roman"/>
          <w:b/>
          <w:noProof/>
          <w:lang w:eastAsia="ko-KR"/>
        </w:rPr>
      </w:pPr>
      <w:r w:rsidRPr="00AE0B87">
        <w:rPr>
          <w:rFonts w:ascii="Times New Roman" w:hAnsi="Times New Roman" w:cs="Times New Roman"/>
          <w:b/>
          <w:noProof/>
        </w:rPr>
        <w:t>5.</w:t>
      </w:r>
      <w:r w:rsidRPr="00AE0B87">
        <w:rPr>
          <w:rFonts w:ascii="Times New Roman" w:hAnsi="Times New Roman" w:cs="Times New Roman"/>
          <w:b/>
          <w:noProof/>
        </w:rPr>
        <w:tab/>
        <w:t xml:space="preserve">How to store </w:t>
      </w:r>
      <w:r w:rsidR="00A32819">
        <w:rPr>
          <w:rFonts w:ascii="Times New Roman" w:eastAsia="맑은 고딕" w:hAnsi="Times New Roman" w:cs="Times New Roman"/>
          <w:b/>
          <w:noProof/>
          <w:lang w:eastAsia="ko-KR"/>
        </w:rPr>
        <w:t>Vegzelma</w:t>
      </w:r>
    </w:p>
    <w:p w14:paraId="011AFB8E" w14:textId="77777777" w:rsidR="00047E69" w:rsidRPr="00AE0B87" w:rsidRDefault="00047E69" w:rsidP="004228B0">
      <w:pPr>
        <w:numPr>
          <w:ilvl w:val="12"/>
          <w:numId w:val="0"/>
        </w:numPr>
        <w:adjustRightInd w:val="0"/>
        <w:snapToGrid w:val="0"/>
        <w:rPr>
          <w:rFonts w:ascii="Times New Roman" w:hAnsi="Times New Roman" w:cs="Times New Roman"/>
          <w:noProof/>
        </w:rPr>
      </w:pPr>
    </w:p>
    <w:p w14:paraId="03313501" w14:textId="664B3AC5"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Keep this medicine out of the sight and reach of children.</w:t>
      </w:r>
    </w:p>
    <w:p w14:paraId="11CB269B"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3994D2F9"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Do not use this medicine after the expiry date which is stated on the outer carton and on the vial label after the abbreviation EXP. The expiry date refers to the last day of that month. </w:t>
      </w:r>
    </w:p>
    <w:p w14:paraId="1D6E70AA"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30E4EF98"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Store in a refrigerator (2°C–8°C). </w:t>
      </w:r>
    </w:p>
    <w:p w14:paraId="59C858C8"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Do not freeze. </w:t>
      </w:r>
    </w:p>
    <w:p w14:paraId="7602E431" w14:textId="77777777"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Keep the vial in the outer carton in order to protect from light. </w:t>
      </w:r>
    </w:p>
    <w:p w14:paraId="67F92F73"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5D9E2E29" w14:textId="7DEEAEF8"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Infusion solutions should be used immediately after dilution. If not used immediately, in-use storage times and conditions are the responsibility of the user and would normally not be longer than 24 hours at 2°C to 8°C, unless the infusion solutions have been prepared in a sterile environment. When dilution has taken place in a sterile environment, </w:t>
      </w:r>
      <w:r w:rsidR="00A32819">
        <w:rPr>
          <w:rFonts w:ascii="Times New Roman" w:hAnsi="Times New Roman" w:cs="Times New Roman"/>
          <w:color w:val="000000"/>
        </w:rPr>
        <w:t>Vegzelma</w:t>
      </w:r>
      <w:r w:rsidRPr="00AE0B87">
        <w:rPr>
          <w:rFonts w:ascii="Times New Roman" w:hAnsi="Times New Roman" w:cs="Times New Roman"/>
          <w:color w:val="000000"/>
        </w:rPr>
        <w:t xml:space="preserve"> is stable for </w:t>
      </w:r>
      <w:r w:rsidR="00D02E7A" w:rsidRPr="00AE0B87">
        <w:rPr>
          <w:rFonts w:ascii="Times New Roman" w:hAnsi="Times New Roman" w:cs="Times New Roman"/>
          <w:color w:val="000000"/>
        </w:rPr>
        <w:t>6</w:t>
      </w:r>
      <w:r w:rsidRPr="00AE0B87">
        <w:rPr>
          <w:rFonts w:ascii="Times New Roman" w:hAnsi="Times New Roman" w:cs="Times New Roman"/>
          <w:color w:val="000000"/>
        </w:rPr>
        <w:t xml:space="preserve">0 days at 2°C to 8°C plus an additional </w:t>
      </w:r>
      <w:r w:rsidR="00D02E7A" w:rsidRPr="00AE0B87">
        <w:rPr>
          <w:rFonts w:ascii="Times New Roman" w:hAnsi="Times New Roman" w:cs="Times New Roman"/>
          <w:color w:val="000000"/>
        </w:rPr>
        <w:t xml:space="preserve">7 </w:t>
      </w:r>
      <w:r w:rsidR="00D02E7A" w:rsidRPr="00AE0B87">
        <w:rPr>
          <w:rFonts w:ascii="Times New Roman" w:hAnsi="Times New Roman" w:cs="Times New Roman"/>
          <w:color w:val="000000"/>
          <w:lang w:eastAsia="ko-KR"/>
        </w:rPr>
        <w:t>days</w:t>
      </w:r>
      <w:r w:rsidRPr="00AE0B87">
        <w:rPr>
          <w:rFonts w:ascii="Times New Roman" w:hAnsi="Times New Roman" w:cs="Times New Roman"/>
          <w:color w:val="000000"/>
        </w:rPr>
        <w:t xml:space="preserve"> at 2°C to 30°C. </w:t>
      </w:r>
    </w:p>
    <w:p w14:paraId="185DBD81"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5F3BB2D6" w14:textId="48BB4A31" w:rsidR="00047E69" w:rsidRPr="00AE0B87" w:rsidRDefault="00C210A5" w:rsidP="004228B0">
      <w:pPr>
        <w:autoSpaceDE w:val="0"/>
        <w:autoSpaceDN w:val="0"/>
        <w:adjustRightInd w:val="0"/>
        <w:snapToGrid w:val="0"/>
        <w:rPr>
          <w:rFonts w:ascii="Times New Roman" w:hAnsi="Times New Roman" w:cs="Times New Roman"/>
          <w:color w:val="000000"/>
        </w:rPr>
      </w:pPr>
      <w:r w:rsidRPr="00AE0B87">
        <w:rPr>
          <w:rFonts w:ascii="Times New Roman" w:hAnsi="Times New Roman" w:cs="Times New Roman"/>
          <w:color w:val="000000"/>
        </w:rPr>
        <w:t xml:space="preserve">Do not use </w:t>
      </w:r>
      <w:r w:rsidR="00A32819">
        <w:rPr>
          <w:rFonts w:ascii="Times New Roman" w:hAnsi="Times New Roman" w:cs="Times New Roman" w:hint="eastAsia"/>
          <w:color w:val="000000"/>
          <w:lang w:eastAsia="ko-KR"/>
        </w:rPr>
        <w:t>Vegzelma</w:t>
      </w:r>
      <w:r w:rsidR="00A32819" w:rsidRPr="00AE0B87">
        <w:rPr>
          <w:rFonts w:ascii="Times New Roman" w:hAnsi="Times New Roman" w:cs="Times New Roman"/>
          <w:color w:val="000000"/>
        </w:rPr>
        <w:t xml:space="preserve"> </w:t>
      </w:r>
      <w:r w:rsidRPr="00AE0B87">
        <w:rPr>
          <w:rFonts w:ascii="Times New Roman" w:hAnsi="Times New Roman" w:cs="Times New Roman"/>
          <w:color w:val="000000"/>
        </w:rPr>
        <w:t xml:space="preserve">if you notice any particulate matter or discolouration prior to administration. </w:t>
      </w:r>
    </w:p>
    <w:p w14:paraId="1048A5B2" w14:textId="77777777" w:rsidR="00047E69" w:rsidRPr="00AE0B87" w:rsidRDefault="00047E69" w:rsidP="004228B0">
      <w:pPr>
        <w:autoSpaceDE w:val="0"/>
        <w:autoSpaceDN w:val="0"/>
        <w:adjustRightInd w:val="0"/>
        <w:snapToGrid w:val="0"/>
        <w:rPr>
          <w:rFonts w:ascii="Times New Roman" w:hAnsi="Times New Roman" w:cs="Times New Roman"/>
          <w:color w:val="000000"/>
        </w:rPr>
      </w:pPr>
    </w:p>
    <w:p w14:paraId="4E094AFF" w14:textId="77777777" w:rsidR="00047E69" w:rsidRPr="00AE0B87" w:rsidRDefault="00C210A5" w:rsidP="004228B0">
      <w:pPr>
        <w:numPr>
          <w:ilvl w:val="12"/>
          <w:numId w:val="0"/>
        </w:numPr>
        <w:adjustRightInd w:val="0"/>
        <w:snapToGrid w:val="0"/>
        <w:rPr>
          <w:rFonts w:ascii="Times New Roman" w:hAnsi="Times New Roman" w:cs="Times New Roman"/>
          <w:noProof/>
        </w:rPr>
      </w:pPr>
      <w:r w:rsidRPr="00AE0B87">
        <w:rPr>
          <w:rFonts w:ascii="Times New Roman" w:hAnsi="Times New Roman" w:cs="Times New Roman"/>
          <w:color w:val="000000"/>
        </w:rPr>
        <w:t>Do not throw away any medicines via wastewater or household waste. Ask your pharmacist how to throw away medicines you no longer use. These measures will help to protect the environment.</w:t>
      </w:r>
    </w:p>
    <w:p w14:paraId="558EEE5B" w14:textId="77777777" w:rsidR="00047E69" w:rsidRPr="00AE0B87" w:rsidRDefault="00047E69" w:rsidP="004228B0">
      <w:pPr>
        <w:numPr>
          <w:ilvl w:val="12"/>
          <w:numId w:val="0"/>
        </w:numPr>
        <w:adjustRightInd w:val="0"/>
        <w:snapToGrid w:val="0"/>
        <w:rPr>
          <w:rFonts w:ascii="Times New Roman" w:hAnsi="Times New Roman" w:cs="Times New Roman"/>
          <w:noProof/>
        </w:rPr>
      </w:pPr>
    </w:p>
    <w:p w14:paraId="675AEB1A" w14:textId="77777777" w:rsidR="00047E69" w:rsidRPr="00AE0B87" w:rsidRDefault="00047E69" w:rsidP="004228B0">
      <w:pPr>
        <w:numPr>
          <w:ilvl w:val="12"/>
          <w:numId w:val="0"/>
        </w:numPr>
        <w:adjustRightInd w:val="0"/>
        <w:snapToGrid w:val="0"/>
        <w:rPr>
          <w:rFonts w:ascii="Times New Roman" w:hAnsi="Times New Roman" w:cs="Times New Roman"/>
          <w:noProof/>
        </w:rPr>
      </w:pPr>
    </w:p>
    <w:p w14:paraId="25FA40AE" w14:textId="77777777" w:rsidR="00047E69" w:rsidRPr="00AE0B87" w:rsidRDefault="00C210A5" w:rsidP="004228B0">
      <w:pPr>
        <w:numPr>
          <w:ilvl w:val="12"/>
          <w:numId w:val="0"/>
        </w:numPr>
        <w:adjustRightInd w:val="0"/>
        <w:snapToGrid w:val="0"/>
        <w:rPr>
          <w:rFonts w:ascii="Times New Roman" w:hAnsi="Times New Roman" w:cs="Times New Roman"/>
          <w:b/>
        </w:rPr>
      </w:pPr>
      <w:r w:rsidRPr="00AE0B87">
        <w:rPr>
          <w:rFonts w:ascii="Times New Roman" w:hAnsi="Times New Roman" w:cs="Times New Roman"/>
          <w:b/>
        </w:rPr>
        <w:lastRenderedPageBreak/>
        <w:t>6.</w:t>
      </w:r>
      <w:r w:rsidRPr="00AE0B87">
        <w:rPr>
          <w:rFonts w:ascii="Times New Roman" w:hAnsi="Times New Roman" w:cs="Times New Roman"/>
          <w:b/>
        </w:rPr>
        <w:tab/>
        <w:t>Contents of the pack and other information</w:t>
      </w:r>
    </w:p>
    <w:p w14:paraId="0C900CD6" w14:textId="77777777" w:rsidR="00047E69" w:rsidRPr="00AE0B87" w:rsidRDefault="00047E69" w:rsidP="004228B0">
      <w:pPr>
        <w:numPr>
          <w:ilvl w:val="12"/>
          <w:numId w:val="0"/>
        </w:numPr>
        <w:adjustRightInd w:val="0"/>
        <w:snapToGrid w:val="0"/>
        <w:rPr>
          <w:rFonts w:ascii="Times New Roman" w:hAnsi="Times New Roman" w:cs="Times New Roman"/>
        </w:rPr>
      </w:pPr>
    </w:p>
    <w:p w14:paraId="0D491502" w14:textId="541A1B6E" w:rsidR="00047E69" w:rsidRPr="00AE0B87" w:rsidRDefault="00C210A5" w:rsidP="004228B0">
      <w:pPr>
        <w:numPr>
          <w:ilvl w:val="12"/>
          <w:numId w:val="0"/>
        </w:numPr>
        <w:adjustRightInd w:val="0"/>
        <w:snapToGrid w:val="0"/>
        <w:rPr>
          <w:rFonts w:ascii="Times New Roman" w:hAnsi="Times New Roman" w:cs="Times New Roman"/>
          <w:b/>
        </w:rPr>
      </w:pPr>
      <w:r w:rsidRPr="00AE0B87">
        <w:rPr>
          <w:rFonts w:ascii="Times New Roman" w:hAnsi="Times New Roman" w:cs="Times New Roman"/>
          <w:b/>
        </w:rPr>
        <w:t xml:space="preserve">What </w:t>
      </w:r>
      <w:r w:rsidR="00A32819">
        <w:rPr>
          <w:rFonts w:ascii="Times New Roman" w:eastAsia="맑은 고딕" w:hAnsi="Times New Roman" w:cs="Times New Roman"/>
          <w:b/>
          <w:lang w:eastAsia="ko-KR"/>
        </w:rPr>
        <w:t>Vegzelma</w:t>
      </w:r>
      <w:r w:rsidRPr="00AE0B87">
        <w:rPr>
          <w:rFonts w:ascii="Times New Roman" w:hAnsi="Times New Roman" w:cs="Times New Roman"/>
          <w:b/>
        </w:rPr>
        <w:t xml:space="preserve"> contains </w:t>
      </w:r>
    </w:p>
    <w:p w14:paraId="47B7A818" w14:textId="77777777" w:rsidR="00047E69" w:rsidRPr="00AE0B87" w:rsidRDefault="00047E69" w:rsidP="004228B0">
      <w:pPr>
        <w:numPr>
          <w:ilvl w:val="12"/>
          <w:numId w:val="0"/>
        </w:numPr>
        <w:adjustRightInd w:val="0"/>
        <w:snapToGrid w:val="0"/>
        <w:rPr>
          <w:rFonts w:ascii="Times New Roman" w:hAnsi="Times New Roman" w:cs="Times New Roman"/>
          <w:b/>
        </w:rPr>
      </w:pPr>
    </w:p>
    <w:p w14:paraId="6BB88DAA"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The active substance is bevacizumab. Each </w:t>
      </w:r>
      <w:r w:rsidR="00487693" w:rsidRPr="00AE0B87">
        <w:rPr>
          <w:rFonts w:ascii="Times New Roman" w:hAnsi="Times New Roman" w:cs="Times New Roman"/>
          <w:color w:val="000000"/>
        </w:rPr>
        <w:t>mL</w:t>
      </w:r>
      <w:r w:rsidRPr="00AE0B87">
        <w:rPr>
          <w:rFonts w:ascii="Times New Roman" w:hAnsi="Times New Roman" w:cs="Times New Roman"/>
          <w:color w:val="000000"/>
        </w:rPr>
        <w:t xml:space="preserve"> of concentrate contains 25 mg of bevacizumab, corresponding to 1.4 to 16.5 mg/</w:t>
      </w:r>
      <w:r w:rsidR="00487693" w:rsidRPr="00AE0B87">
        <w:rPr>
          <w:rFonts w:ascii="Times New Roman" w:hAnsi="Times New Roman" w:cs="Times New Roman"/>
          <w:color w:val="000000"/>
        </w:rPr>
        <w:t>mL</w:t>
      </w:r>
      <w:r w:rsidRPr="00AE0B87">
        <w:rPr>
          <w:rFonts w:ascii="Times New Roman" w:hAnsi="Times New Roman" w:cs="Times New Roman"/>
          <w:color w:val="000000"/>
        </w:rPr>
        <w:t xml:space="preserve"> when diluted as recommended. </w:t>
      </w:r>
    </w:p>
    <w:p w14:paraId="221F90A5" w14:textId="77777777" w:rsidR="00047E69" w:rsidRPr="00AE0B87" w:rsidRDefault="00C210A5" w:rsidP="004228B0">
      <w:pPr>
        <w:pStyle w:val="a6"/>
        <w:autoSpaceDE w:val="0"/>
        <w:autoSpaceDN w:val="0"/>
        <w:adjustRightInd w:val="0"/>
        <w:snapToGrid w:val="0"/>
        <w:ind w:left="567"/>
        <w:rPr>
          <w:rFonts w:ascii="Times New Roman" w:hAnsi="Times New Roman" w:cs="Times New Roman"/>
          <w:color w:val="000000"/>
        </w:rPr>
      </w:pPr>
      <w:r w:rsidRPr="00AE0B87">
        <w:rPr>
          <w:rFonts w:ascii="Times New Roman" w:hAnsi="Times New Roman" w:cs="Times New Roman"/>
          <w:color w:val="000000"/>
        </w:rPr>
        <w:t xml:space="preserve">Each 4 </w:t>
      </w:r>
      <w:r w:rsidR="00487693" w:rsidRPr="00AE0B87">
        <w:rPr>
          <w:rFonts w:ascii="Times New Roman" w:hAnsi="Times New Roman" w:cs="Times New Roman"/>
          <w:color w:val="000000"/>
        </w:rPr>
        <w:t>mL</w:t>
      </w:r>
      <w:r w:rsidRPr="00AE0B87">
        <w:rPr>
          <w:rFonts w:ascii="Times New Roman" w:hAnsi="Times New Roman" w:cs="Times New Roman"/>
          <w:color w:val="000000"/>
        </w:rPr>
        <w:t xml:space="preserve"> vial contains 100 mg of bevacizumab, corresponding to 1.4 mg/</w:t>
      </w:r>
      <w:r w:rsidR="00487693" w:rsidRPr="00AE0B87">
        <w:rPr>
          <w:rFonts w:ascii="Times New Roman" w:hAnsi="Times New Roman" w:cs="Times New Roman"/>
          <w:color w:val="000000"/>
        </w:rPr>
        <w:t>mL</w:t>
      </w:r>
      <w:r w:rsidRPr="00AE0B87">
        <w:rPr>
          <w:rFonts w:ascii="Times New Roman" w:hAnsi="Times New Roman" w:cs="Times New Roman"/>
          <w:color w:val="000000"/>
        </w:rPr>
        <w:t xml:space="preserve"> when diluted as recommended. </w:t>
      </w:r>
    </w:p>
    <w:p w14:paraId="2FFCD459" w14:textId="77777777" w:rsidR="00047E69" w:rsidRPr="00AE0B87" w:rsidRDefault="00C210A5" w:rsidP="004228B0">
      <w:pPr>
        <w:pStyle w:val="a6"/>
        <w:autoSpaceDE w:val="0"/>
        <w:autoSpaceDN w:val="0"/>
        <w:adjustRightInd w:val="0"/>
        <w:snapToGrid w:val="0"/>
        <w:ind w:left="567"/>
        <w:rPr>
          <w:rFonts w:ascii="Times New Roman" w:hAnsi="Times New Roman" w:cs="Times New Roman"/>
          <w:color w:val="000000"/>
        </w:rPr>
      </w:pPr>
      <w:r w:rsidRPr="00AE0B87">
        <w:rPr>
          <w:rFonts w:ascii="Times New Roman" w:hAnsi="Times New Roman" w:cs="Times New Roman"/>
          <w:color w:val="000000"/>
        </w:rPr>
        <w:t xml:space="preserve">Each 16 </w:t>
      </w:r>
      <w:r w:rsidR="00487693" w:rsidRPr="00AE0B87">
        <w:rPr>
          <w:rFonts w:ascii="Times New Roman" w:hAnsi="Times New Roman" w:cs="Times New Roman"/>
          <w:color w:val="000000"/>
        </w:rPr>
        <w:t>mL</w:t>
      </w:r>
      <w:r w:rsidRPr="00AE0B87">
        <w:rPr>
          <w:rFonts w:ascii="Times New Roman" w:hAnsi="Times New Roman" w:cs="Times New Roman"/>
          <w:color w:val="000000"/>
        </w:rPr>
        <w:t xml:space="preserve"> vial contains 400 mg of bevacizumab, corresponding to 16.5 mg/</w:t>
      </w:r>
      <w:r w:rsidR="00487693" w:rsidRPr="00AE0B87">
        <w:rPr>
          <w:rFonts w:ascii="Times New Roman" w:hAnsi="Times New Roman" w:cs="Times New Roman"/>
          <w:color w:val="000000"/>
        </w:rPr>
        <w:t>mL</w:t>
      </w:r>
      <w:r w:rsidRPr="00AE0B87">
        <w:rPr>
          <w:rFonts w:ascii="Times New Roman" w:hAnsi="Times New Roman" w:cs="Times New Roman"/>
          <w:color w:val="000000"/>
        </w:rPr>
        <w:t xml:space="preserve"> when diluted as recommended </w:t>
      </w:r>
    </w:p>
    <w:p w14:paraId="116B1BF9" w14:textId="77777777" w:rsidR="00047E69" w:rsidRPr="00AE0B87" w:rsidRDefault="00C210A5" w:rsidP="004228B0">
      <w:pPr>
        <w:pStyle w:val="a6"/>
        <w:numPr>
          <w:ilvl w:val="0"/>
          <w:numId w:val="36"/>
        </w:numPr>
        <w:autoSpaceDE w:val="0"/>
        <w:autoSpaceDN w:val="0"/>
        <w:adjustRightInd w:val="0"/>
        <w:snapToGrid w:val="0"/>
        <w:ind w:left="567" w:hanging="567"/>
        <w:rPr>
          <w:rFonts w:ascii="Times New Roman" w:hAnsi="Times New Roman" w:cs="Times New Roman"/>
          <w:color w:val="000000"/>
        </w:rPr>
      </w:pPr>
      <w:r w:rsidRPr="00AE0B87">
        <w:rPr>
          <w:rFonts w:ascii="Times New Roman" w:hAnsi="Times New Roman" w:cs="Times New Roman"/>
          <w:color w:val="000000"/>
        </w:rPr>
        <w:t xml:space="preserve">The other ingredients are trehalose dihydrate, sodium phosphate, polysorbate 20 and water for injections. </w:t>
      </w:r>
    </w:p>
    <w:p w14:paraId="551CD76D" w14:textId="77777777" w:rsidR="00047E69" w:rsidRPr="00AE0B87" w:rsidRDefault="00047E69" w:rsidP="004228B0">
      <w:pPr>
        <w:numPr>
          <w:ilvl w:val="12"/>
          <w:numId w:val="0"/>
        </w:numPr>
        <w:adjustRightInd w:val="0"/>
        <w:snapToGrid w:val="0"/>
        <w:rPr>
          <w:rFonts w:ascii="Times New Roman" w:hAnsi="Times New Roman" w:cs="Times New Roman"/>
          <w:noProof/>
        </w:rPr>
      </w:pPr>
    </w:p>
    <w:p w14:paraId="4E8164BC" w14:textId="089B3ECE" w:rsidR="00047E69" w:rsidRPr="00AE0B87" w:rsidRDefault="00C210A5" w:rsidP="004228B0">
      <w:pPr>
        <w:keepNext/>
        <w:numPr>
          <w:ilvl w:val="12"/>
          <w:numId w:val="0"/>
        </w:numPr>
        <w:adjustRightInd w:val="0"/>
        <w:snapToGrid w:val="0"/>
        <w:rPr>
          <w:rFonts w:ascii="Times New Roman" w:hAnsi="Times New Roman" w:cs="Times New Roman"/>
          <w:b/>
        </w:rPr>
      </w:pPr>
      <w:r w:rsidRPr="00AE0B87">
        <w:rPr>
          <w:rFonts w:ascii="Times New Roman" w:hAnsi="Times New Roman" w:cs="Times New Roman"/>
          <w:b/>
        </w:rPr>
        <w:t xml:space="preserve">What </w:t>
      </w:r>
      <w:r w:rsidR="00A32819">
        <w:rPr>
          <w:rFonts w:ascii="Times New Roman" w:eastAsia="맑은 고딕" w:hAnsi="Times New Roman" w:cs="Times New Roman" w:hint="eastAsia"/>
          <w:b/>
          <w:lang w:eastAsia="ko-KR"/>
        </w:rPr>
        <w:t>Vegzelma</w:t>
      </w:r>
      <w:r w:rsidRPr="00AE0B87">
        <w:rPr>
          <w:rFonts w:ascii="Times New Roman" w:hAnsi="Times New Roman" w:cs="Times New Roman"/>
          <w:b/>
        </w:rPr>
        <w:t xml:space="preserve"> looks like and contents of the pack</w:t>
      </w:r>
    </w:p>
    <w:p w14:paraId="55026EF7" w14:textId="77777777" w:rsidR="00047E69" w:rsidRPr="00AE0B87" w:rsidRDefault="00047E69" w:rsidP="004228B0">
      <w:pPr>
        <w:keepNext/>
        <w:numPr>
          <w:ilvl w:val="12"/>
          <w:numId w:val="0"/>
        </w:numPr>
        <w:tabs>
          <w:tab w:val="left" w:pos="5339"/>
        </w:tabs>
        <w:adjustRightInd w:val="0"/>
        <w:snapToGrid w:val="0"/>
        <w:rPr>
          <w:rFonts w:ascii="Times New Roman" w:eastAsia="맑은 고딕" w:hAnsi="Times New Roman" w:cs="Times New Roman"/>
          <w:b/>
          <w:lang w:eastAsia="ko-KR"/>
        </w:rPr>
      </w:pPr>
    </w:p>
    <w:p w14:paraId="5967DE6F" w14:textId="113452E5" w:rsidR="00047E69" w:rsidRPr="00AE0B87" w:rsidRDefault="00A32819" w:rsidP="004228B0">
      <w:pPr>
        <w:numPr>
          <w:ilvl w:val="12"/>
          <w:numId w:val="0"/>
        </w:numPr>
        <w:adjustRightInd w:val="0"/>
        <w:snapToGrid w:val="0"/>
        <w:rPr>
          <w:rFonts w:ascii="Times New Roman" w:eastAsia="맑은 고딕" w:hAnsi="Times New Roman" w:cs="Times New Roman"/>
          <w:lang w:eastAsia="ko-KR"/>
        </w:rPr>
      </w:pPr>
      <w:r>
        <w:rPr>
          <w:rFonts w:ascii="Times New Roman" w:eastAsia="맑은 고딕" w:hAnsi="Times New Roman" w:cs="Times New Roman"/>
          <w:lang w:eastAsia="ko-KR"/>
        </w:rPr>
        <w:t>Vegzelma</w:t>
      </w:r>
      <w:r w:rsidR="00C210A5" w:rsidRPr="00AE0B87">
        <w:rPr>
          <w:rFonts w:ascii="Times New Roman" w:eastAsia="맑은 고딕" w:hAnsi="Times New Roman" w:cs="Times New Roman"/>
          <w:lang w:eastAsia="ko-KR"/>
        </w:rPr>
        <w:t xml:space="preserve"> is a concentrate for solution for infusion. The concentrate is a clear, colourless to pale brown liquid in a glass vial with a rubber stopper. Each vial contains 100 mg bevacizumab in 4 </w:t>
      </w:r>
      <w:r w:rsidR="00487693" w:rsidRPr="00AE0B87">
        <w:rPr>
          <w:rFonts w:ascii="Times New Roman" w:eastAsia="맑은 고딕" w:hAnsi="Times New Roman" w:cs="Times New Roman"/>
          <w:lang w:eastAsia="ko-KR"/>
        </w:rPr>
        <w:t>mL</w:t>
      </w:r>
      <w:r w:rsidR="00C210A5" w:rsidRPr="00AE0B87">
        <w:rPr>
          <w:rFonts w:ascii="Times New Roman" w:eastAsia="맑은 고딕" w:hAnsi="Times New Roman" w:cs="Times New Roman"/>
          <w:lang w:eastAsia="ko-KR"/>
        </w:rPr>
        <w:t xml:space="preserve"> of solution or 400 mg bevacizumab in 16 </w:t>
      </w:r>
      <w:r w:rsidR="00487693" w:rsidRPr="00AE0B87">
        <w:rPr>
          <w:rFonts w:ascii="Times New Roman" w:eastAsia="맑은 고딕" w:hAnsi="Times New Roman" w:cs="Times New Roman"/>
          <w:lang w:eastAsia="ko-KR"/>
        </w:rPr>
        <w:t>mL</w:t>
      </w:r>
      <w:r w:rsidR="00C210A5" w:rsidRPr="00AE0B87">
        <w:rPr>
          <w:rFonts w:ascii="Times New Roman" w:eastAsia="맑은 고딕" w:hAnsi="Times New Roman" w:cs="Times New Roman"/>
          <w:lang w:eastAsia="ko-KR"/>
        </w:rPr>
        <w:t xml:space="preserve"> of solution. Each pack of </w:t>
      </w:r>
      <w:r>
        <w:rPr>
          <w:rFonts w:ascii="Times New Roman" w:eastAsia="맑은 고딕" w:hAnsi="Times New Roman" w:cs="Times New Roman"/>
          <w:lang w:eastAsia="ko-KR"/>
        </w:rPr>
        <w:t>Vegzelma</w:t>
      </w:r>
      <w:r w:rsidR="00C210A5" w:rsidRPr="00AE0B87">
        <w:rPr>
          <w:rFonts w:ascii="Times New Roman" w:eastAsia="맑은 고딕" w:hAnsi="Times New Roman" w:cs="Times New Roman"/>
          <w:lang w:eastAsia="ko-KR"/>
        </w:rPr>
        <w:t xml:space="preserve"> contains </w:t>
      </w:r>
      <w:r w:rsidR="00D02E7A" w:rsidRPr="00AE0B87">
        <w:rPr>
          <w:rFonts w:ascii="Times New Roman" w:eastAsia="맑은 고딕" w:hAnsi="Times New Roman" w:cs="Times New Roman"/>
          <w:lang w:eastAsia="ko-KR"/>
        </w:rPr>
        <w:t xml:space="preserve">1 </w:t>
      </w:r>
      <w:r w:rsidR="00C210A5" w:rsidRPr="00AE0B87">
        <w:rPr>
          <w:rFonts w:ascii="Times New Roman" w:eastAsia="맑은 고딕" w:hAnsi="Times New Roman" w:cs="Times New Roman"/>
          <w:lang w:eastAsia="ko-KR"/>
        </w:rPr>
        <w:t>vial</w:t>
      </w:r>
      <w:r w:rsidR="00052A38">
        <w:rPr>
          <w:rFonts w:ascii="Times New Roman" w:eastAsia="맑은 고딕" w:hAnsi="Times New Roman" w:cs="Times New Roman" w:hint="eastAsia"/>
          <w:lang w:eastAsia="ko-KR"/>
        </w:rPr>
        <w:t>, 2 vials</w:t>
      </w:r>
      <w:r w:rsidR="00D02E7A" w:rsidRPr="00AE0B87">
        <w:rPr>
          <w:rFonts w:ascii="Times New Roman" w:eastAsia="맑은 고딕" w:hAnsi="Times New Roman" w:cs="Times New Roman"/>
          <w:lang w:eastAsia="ko-KR"/>
        </w:rPr>
        <w:t xml:space="preserve"> </w:t>
      </w:r>
      <w:r w:rsidR="00D02E7A" w:rsidRPr="00AE0B87">
        <w:rPr>
          <w:rFonts w:ascii="Times New Roman" w:eastAsia="맑은 고딕" w:hAnsi="Times New Roman" w:cs="Times New Roman" w:hint="eastAsia"/>
          <w:lang w:eastAsia="ko-KR"/>
        </w:rPr>
        <w:t>or 10 vials.</w:t>
      </w:r>
      <w:r w:rsidR="00C210A5" w:rsidRPr="00AE0B87">
        <w:rPr>
          <w:rFonts w:ascii="Times New Roman" w:eastAsia="맑은 고딕" w:hAnsi="Times New Roman" w:cs="Times New Roman"/>
          <w:lang w:eastAsia="ko-KR"/>
        </w:rPr>
        <w:t xml:space="preserve"> </w:t>
      </w:r>
    </w:p>
    <w:p w14:paraId="00CD26F6" w14:textId="77777777" w:rsidR="00047E69" w:rsidRPr="00AE0B87" w:rsidRDefault="00047E69" w:rsidP="004228B0">
      <w:pPr>
        <w:numPr>
          <w:ilvl w:val="12"/>
          <w:numId w:val="0"/>
        </w:numPr>
        <w:adjustRightInd w:val="0"/>
        <w:snapToGrid w:val="0"/>
        <w:rPr>
          <w:rFonts w:ascii="Times New Roman" w:hAnsi="Times New Roman" w:cs="Times New Roman"/>
          <w:b/>
          <w:bCs/>
        </w:rPr>
      </w:pPr>
    </w:p>
    <w:p w14:paraId="595C6EA7" w14:textId="77777777" w:rsidR="00047E69" w:rsidRPr="00AE0B87" w:rsidRDefault="00C210A5" w:rsidP="004228B0">
      <w:pPr>
        <w:numPr>
          <w:ilvl w:val="12"/>
          <w:numId w:val="0"/>
        </w:numPr>
        <w:adjustRightInd w:val="0"/>
        <w:snapToGrid w:val="0"/>
        <w:rPr>
          <w:rFonts w:ascii="Times New Roman" w:hAnsi="Times New Roman" w:cs="Times New Roman"/>
        </w:rPr>
      </w:pPr>
      <w:r w:rsidRPr="00AE0B87">
        <w:rPr>
          <w:rFonts w:ascii="Times New Roman" w:hAnsi="Times New Roman" w:cs="Times New Roman"/>
          <w:b/>
          <w:bCs/>
        </w:rPr>
        <w:t>Marketing Authorisation Holder</w:t>
      </w:r>
    </w:p>
    <w:p w14:paraId="4A0DDADB" w14:textId="77777777" w:rsidR="00047E69" w:rsidRPr="00AE0B87" w:rsidRDefault="00047E69" w:rsidP="004228B0">
      <w:pPr>
        <w:adjustRightInd w:val="0"/>
        <w:snapToGrid w:val="0"/>
        <w:rPr>
          <w:rFonts w:ascii="Times New Roman" w:eastAsia="맑은 고딕" w:hAnsi="Times New Roman" w:cs="Times New Roman"/>
          <w:lang w:eastAsia="ko-KR"/>
        </w:rPr>
      </w:pPr>
    </w:p>
    <w:p w14:paraId="1091CEDD" w14:textId="77777777" w:rsidR="00047E69" w:rsidRPr="00AE0B87" w:rsidRDefault="00C210A5" w:rsidP="004228B0">
      <w:pPr>
        <w:adjustRightInd w:val="0"/>
        <w:snapToGrid w:val="0"/>
        <w:rPr>
          <w:rFonts w:ascii="Times New Roman" w:eastAsia="맑은 고딕" w:hAnsi="Times New Roman" w:cs="Times New Roman"/>
          <w:lang w:eastAsia="ko-KR"/>
        </w:rPr>
      </w:pPr>
      <w:r w:rsidRPr="00AE0B87">
        <w:rPr>
          <w:rFonts w:ascii="Times New Roman" w:eastAsia="맑은 고딕" w:hAnsi="Times New Roman" w:cs="Times New Roman"/>
          <w:lang w:eastAsia="ko-KR"/>
        </w:rPr>
        <w:t xml:space="preserve">Celltrion Healthcare Hungary Kft. </w:t>
      </w:r>
    </w:p>
    <w:p w14:paraId="44B9BCD1" w14:textId="77777777" w:rsidR="00047E69" w:rsidRPr="00AE0B87" w:rsidRDefault="00C210A5" w:rsidP="004228B0">
      <w:pPr>
        <w:adjustRightInd w:val="0"/>
        <w:snapToGrid w:val="0"/>
        <w:rPr>
          <w:rFonts w:ascii="Times New Roman" w:eastAsia="맑은 고딕" w:hAnsi="Times New Roman" w:cs="Times New Roman"/>
          <w:lang w:eastAsia="ko-KR"/>
        </w:rPr>
      </w:pPr>
      <w:r w:rsidRPr="00AE0B87">
        <w:rPr>
          <w:rFonts w:ascii="Times New Roman" w:eastAsia="바탕" w:hAnsi="Times New Roman" w:cs="Times New Roman"/>
        </w:rPr>
        <w:t xml:space="preserve">1062 </w:t>
      </w:r>
      <w:r w:rsidRPr="00AE0B87">
        <w:rPr>
          <w:rFonts w:ascii="Times New Roman" w:eastAsia="맑은 고딕" w:hAnsi="Times New Roman" w:cs="Times New Roman"/>
          <w:lang w:eastAsia="ko-KR"/>
        </w:rPr>
        <w:t>Budapest</w:t>
      </w:r>
    </w:p>
    <w:p w14:paraId="248D712C" w14:textId="77777777" w:rsidR="00047E69" w:rsidRPr="00AE0B87" w:rsidRDefault="00C210A5" w:rsidP="004228B0">
      <w:pPr>
        <w:adjustRightInd w:val="0"/>
        <w:snapToGrid w:val="0"/>
        <w:rPr>
          <w:rFonts w:ascii="Times New Roman" w:eastAsia="바탕" w:hAnsi="Times New Roman" w:cs="Times New Roman"/>
        </w:rPr>
      </w:pPr>
      <w:r w:rsidRPr="00AE0B87">
        <w:rPr>
          <w:rFonts w:ascii="Times New Roman" w:eastAsia="바탕" w:hAnsi="Times New Roman" w:cs="Times New Roman"/>
        </w:rPr>
        <w:t>Váci út 1-3. WestEnd Office Building B torony</w:t>
      </w:r>
    </w:p>
    <w:p w14:paraId="613B7741" w14:textId="77777777" w:rsidR="00047E69" w:rsidRPr="00AE0B87" w:rsidRDefault="00C210A5" w:rsidP="004228B0">
      <w:pPr>
        <w:adjustRightInd w:val="0"/>
        <w:snapToGrid w:val="0"/>
        <w:rPr>
          <w:rFonts w:ascii="Times New Roman" w:eastAsia="맑은 고딕" w:hAnsi="Times New Roman" w:cs="Times New Roman"/>
          <w:lang w:eastAsia="ko-KR"/>
        </w:rPr>
      </w:pPr>
      <w:r w:rsidRPr="00AE0B87">
        <w:rPr>
          <w:rFonts w:ascii="Times New Roman" w:eastAsia="맑은 고딕" w:hAnsi="Times New Roman" w:cs="Times New Roman"/>
          <w:lang w:eastAsia="ko-KR"/>
        </w:rPr>
        <w:t>Hungary</w:t>
      </w:r>
    </w:p>
    <w:p w14:paraId="415AE363" w14:textId="77777777" w:rsidR="00047E69" w:rsidRPr="00AE0B87" w:rsidRDefault="00047E69" w:rsidP="004228B0">
      <w:pPr>
        <w:numPr>
          <w:ilvl w:val="12"/>
          <w:numId w:val="0"/>
        </w:numPr>
        <w:adjustRightInd w:val="0"/>
        <w:snapToGrid w:val="0"/>
        <w:rPr>
          <w:rFonts w:ascii="Times New Roman" w:eastAsia="맑은 고딕" w:hAnsi="Times New Roman" w:cs="Times New Roman"/>
          <w:b/>
          <w:lang w:eastAsia="ko-KR"/>
        </w:rPr>
      </w:pPr>
    </w:p>
    <w:p w14:paraId="56D22095" w14:textId="77777777" w:rsidR="00047E69" w:rsidRPr="00AE0B87" w:rsidRDefault="00C210A5" w:rsidP="004228B0">
      <w:pPr>
        <w:numPr>
          <w:ilvl w:val="12"/>
          <w:numId w:val="0"/>
        </w:numPr>
        <w:adjustRightInd w:val="0"/>
        <w:snapToGrid w:val="0"/>
        <w:rPr>
          <w:rFonts w:ascii="Times New Roman" w:eastAsia="맑은 고딕" w:hAnsi="Times New Roman" w:cs="Times New Roman"/>
          <w:lang w:eastAsia="ko-KR"/>
        </w:rPr>
      </w:pPr>
      <w:r w:rsidRPr="00AE0B87">
        <w:rPr>
          <w:rFonts w:ascii="Times New Roman" w:hAnsi="Times New Roman" w:cs="Times New Roman"/>
          <w:b/>
          <w:bCs/>
        </w:rPr>
        <w:t>Manufacturer</w:t>
      </w:r>
    </w:p>
    <w:p w14:paraId="2FA074DA" w14:textId="77777777" w:rsidR="000A66F8" w:rsidRPr="00AE0B87" w:rsidRDefault="000A66F8" w:rsidP="000A66F8">
      <w:pPr>
        <w:rPr>
          <w:rFonts w:ascii="Times New Roman" w:hAnsi="Times New Roman" w:cs="Times New Roman"/>
        </w:rPr>
      </w:pPr>
    </w:p>
    <w:p w14:paraId="0F3776A0" w14:textId="77777777" w:rsidR="000A66F8" w:rsidRPr="00AE0B87" w:rsidRDefault="000A66F8" w:rsidP="000A66F8">
      <w:pPr>
        <w:rPr>
          <w:rFonts w:ascii="Times New Roman" w:hAnsi="Times New Roman" w:cs="Times New Roman"/>
          <w:color w:val="000000"/>
          <w:highlight w:val="lightGray"/>
        </w:rPr>
      </w:pPr>
      <w:r w:rsidRPr="00AE0B87">
        <w:rPr>
          <w:rFonts w:ascii="Times New Roman" w:hAnsi="Times New Roman" w:cs="Times New Roman"/>
          <w:color w:val="000000"/>
          <w:highlight w:val="lightGray"/>
        </w:rPr>
        <w:t>Nuvisan GmbH</w:t>
      </w:r>
    </w:p>
    <w:p w14:paraId="5DCE7F9C" w14:textId="77777777" w:rsidR="000A66F8" w:rsidRPr="00AE0B87" w:rsidRDefault="000A66F8" w:rsidP="000A66F8">
      <w:pPr>
        <w:rPr>
          <w:rFonts w:ascii="Times New Roman" w:hAnsi="Times New Roman" w:cs="Times New Roman"/>
          <w:color w:val="000000"/>
          <w:highlight w:val="lightGray"/>
        </w:rPr>
      </w:pPr>
      <w:r w:rsidRPr="00AE0B87">
        <w:rPr>
          <w:rFonts w:ascii="Times New Roman" w:hAnsi="Times New Roman" w:cs="Times New Roman"/>
          <w:color w:val="000000"/>
          <w:highlight w:val="lightGray"/>
        </w:rPr>
        <w:t>Wegenerstraße 13</w:t>
      </w:r>
    </w:p>
    <w:p w14:paraId="5602794F" w14:textId="1F5CD1F7" w:rsidR="000A66F8" w:rsidRPr="004D2861" w:rsidRDefault="000A66F8" w:rsidP="000A66F8">
      <w:pPr>
        <w:rPr>
          <w:rFonts w:ascii="Times New Roman" w:hAnsi="Times New Roman" w:cs="Times New Roman"/>
          <w:color w:val="000000"/>
          <w:highlight w:val="lightGray"/>
        </w:rPr>
      </w:pPr>
      <w:r w:rsidRPr="004D2861">
        <w:rPr>
          <w:rFonts w:ascii="Times New Roman" w:hAnsi="Times New Roman" w:cs="Times New Roman"/>
          <w:color w:val="000000"/>
          <w:highlight w:val="lightGray"/>
        </w:rPr>
        <w:t>89231 Neu</w:t>
      </w:r>
      <w:r w:rsidR="00BD484D" w:rsidRPr="004D2861">
        <w:rPr>
          <w:rFonts w:ascii="Times New Roman" w:hAnsi="Times New Roman" w:cs="Times New Roman" w:hint="eastAsia"/>
          <w:color w:val="000000"/>
          <w:highlight w:val="lightGray"/>
          <w:lang w:eastAsia="ko-KR"/>
        </w:rPr>
        <w:t>-</w:t>
      </w:r>
      <w:r w:rsidRPr="004D2861">
        <w:rPr>
          <w:rFonts w:ascii="Times New Roman" w:hAnsi="Times New Roman" w:cs="Times New Roman"/>
          <w:color w:val="000000"/>
          <w:highlight w:val="lightGray"/>
        </w:rPr>
        <w:t>Ulm</w:t>
      </w:r>
    </w:p>
    <w:p w14:paraId="37F4AC48" w14:textId="77777777" w:rsidR="000A66F8" w:rsidRPr="00EC2F90" w:rsidRDefault="000A66F8" w:rsidP="000A66F8">
      <w:pPr>
        <w:rPr>
          <w:rFonts w:ascii="Times New Roman" w:hAnsi="Times New Roman" w:cs="Times New Roman"/>
          <w:color w:val="000000"/>
          <w:highlight w:val="lightGray"/>
          <w:lang w:val="fr-CA"/>
        </w:rPr>
      </w:pPr>
      <w:r w:rsidRPr="00EC2F90">
        <w:rPr>
          <w:rFonts w:ascii="Times New Roman" w:hAnsi="Times New Roman" w:cs="Times New Roman"/>
          <w:color w:val="000000"/>
          <w:highlight w:val="lightGray"/>
          <w:lang w:val="fr-CA"/>
        </w:rPr>
        <w:t>Germany</w:t>
      </w:r>
    </w:p>
    <w:p w14:paraId="4082252A" w14:textId="77777777" w:rsidR="000A66F8" w:rsidRPr="00AE0B87" w:rsidRDefault="000A66F8" w:rsidP="000A66F8">
      <w:pPr>
        <w:rPr>
          <w:rFonts w:ascii="Times New Roman" w:hAnsi="Times New Roman" w:cs="Times New Roman"/>
          <w:lang w:val="fr-CA"/>
        </w:rPr>
      </w:pPr>
    </w:p>
    <w:p w14:paraId="5BD8A262" w14:textId="77777777" w:rsidR="000A66F8" w:rsidRPr="00AE0B87" w:rsidRDefault="000A66F8" w:rsidP="000A66F8">
      <w:pPr>
        <w:rPr>
          <w:lang w:val="fr-CA"/>
        </w:rPr>
      </w:pPr>
      <w:r w:rsidRPr="00AE0B87">
        <w:rPr>
          <w:rFonts w:ascii="Times New Roman" w:hAnsi="Times New Roman" w:cs="Times New Roman"/>
          <w:lang w:val="fr-CA"/>
        </w:rPr>
        <w:t>Nuvisan France SARL</w:t>
      </w:r>
    </w:p>
    <w:p w14:paraId="20DA798C" w14:textId="77777777" w:rsidR="000A66F8" w:rsidRPr="00AE0B87" w:rsidRDefault="000A66F8" w:rsidP="000A66F8">
      <w:pPr>
        <w:rPr>
          <w:lang w:val="fr-CA"/>
        </w:rPr>
      </w:pPr>
      <w:r w:rsidRPr="00AE0B87">
        <w:rPr>
          <w:rFonts w:ascii="Times New Roman" w:hAnsi="Times New Roman" w:cs="Times New Roman"/>
          <w:lang w:val="fr-CA"/>
        </w:rPr>
        <w:t>2400, Route des Colles</w:t>
      </w:r>
    </w:p>
    <w:p w14:paraId="7875B192" w14:textId="46EFC21A" w:rsidR="000A66F8" w:rsidRPr="00EC2F90" w:rsidRDefault="000A66F8" w:rsidP="000A66F8">
      <w:pPr>
        <w:rPr>
          <w:rFonts w:ascii="Times New Roman" w:hAnsi="Times New Roman" w:cs="Times New Roman"/>
          <w:lang w:val="fr-CA" w:eastAsia="ko-KR"/>
        </w:rPr>
      </w:pPr>
      <w:r w:rsidRPr="00EC2F90">
        <w:rPr>
          <w:rFonts w:ascii="Times New Roman" w:hAnsi="Times New Roman" w:cs="Times New Roman"/>
          <w:lang w:val="fr-CA"/>
        </w:rPr>
        <w:t xml:space="preserve">06410, </w:t>
      </w:r>
      <w:r w:rsidR="00C023FD" w:rsidRPr="00EC2F90">
        <w:rPr>
          <w:rFonts w:ascii="Times New Roman" w:hAnsi="Times New Roman" w:cs="Times New Roman" w:hint="eastAsia"/>
          <w:lang w:val="fr-CA" w:eastAsia="ko-KR"/>
        </w:rPr>
        <w:t>Biot</w:t>
      </w:r>
    </w:p>
    <w:p w14:paraId="562A1357" w14:textId="77777777" w:rsidR="000A66F8" w:rsidRPr="00EC2F90" w:rsidRDefault="000A66F8" w:rsidP="000A66F8">
      <w:pPr>
        <w:rPr>
          <w:rFonts w:ascii="Times New Roman" w:hAnsi="Times New Roman" w:cs="Times New Roman"/>
          <w:lang w:val="fr-CA"/>
        </w:rPr>
      </w:pPr>
      <w:r w:rsidRPr="00EC2F90">
        <w:rPr>
          <w:rFonts w:ascii="Times New Roman" w:hAnsi="Times New Roman" w:cs="Times New Roman"/>
          <w:lang w:val="fr-CA"/>
        </w:rPr>
        <w:t>France</w:t>
      </w:r>
    </w:p>
    <w:p w14:paraId="77191079" w14:textId="77777777" w:rsidR="00D3370F" w:rsidRPr="00EC2F90" w:rsidRDefault="00D3370F" w:rsidP="00D3370F">
      <w:pPr>
        <w:adjustRightInd w:val="0"/>
        <w:snapToGrid w:val="0"/>
        <w:rPr>
          <w:rFonts w:ascii="Times New Roman" w:hAnsi="Times New Roman" w:cs="Times New Roman"/>
          <w:lang w:val="fr-CA"/>
        </w:rPr>
      </w:pPr>
    </w:p>
    <w:p w14:paraId="7CF0098D" w14:textId="5722AD64" w:rsidR="009E3C3C" w:rsidRPr="00AE0B87" w:rsidRDefault="009E3C3C" w:rsidP="009E3C3C">
      <w:pPr>
        <w:spacing w:before="10" w:line="240" w:lineRule="exact"/>
        <w:rPr>
          <w:rFonts w:ascii="Times New Roman" w:hAnsi="Times New Roman" w:cs="Times New Roman"/>
          <w:lang w:val="fr-CA"/>
        </w:rPr>
      </w:pPr>
      <w:r w:rsidRPr="00AE0B87">
        <w:rPr>
          <w:rFonts w:ascii="Times New Roman" w:hAnsi="Times New Roman" w:cs="Times New Roman"/>
          <w:lang w:val="fr-CA"/>
        </w:rPr>
        <w:t>Kymos S</w:t>
      </w:r>
      <w:r w:rsidR="00762FF2" w:rsidRPr="00AE0B87">
        <w:rPr>
          <w:rFonts w:ascii="Times New Roman" w:hAnsi="Times New Roman" w:cs="Times New Roman"/>
          <w:lang w:val="fr-CA"/>
        </w:rPr>
        <w:t>.</w:t>
      </w:r>
      <w:r w:rsidRPr="00AE0B87">
        <w:rPr>
          <w:rFonts w:ascii="Times New Roman" w:hAnsi="Times New Roman" w:cs="Times New Roman"/>
          <w:lang w:val="fr-CA"/>
        </w:rPr>
        <w:t>L</w:t>
      </w:r>
      <w:r w:rsidR="00762FF2" w:rsidRPr="00AE0B87">
        <w:rPr>
          <w:rFonts w:ascii="Times New Roman" w:hAnsi="Times New Roman" w:cs="Times New Roman"/>
          <w:lang w:val="fr-CA"/>
        </w:rPr>
        <w:t>.</w:t>
      </w:r>
    </w:p>
    <w:p w14:paraId="2BC18082" w14:textId="77777777" w:rsidR="002939AB" w:rsidRPr="00AE0B87" w:rsidRDefault="002939AB" w:rsidP="002939AB">
      <w:pPr>
        <w:numPr>
          <w:ilvl w:val="12"/>
          <w:numId w:val="0"/>
        </w:numPr>
        <w:rPr>
          <w:rFonts w:ascii="Times New Roman" w:hAnsi="Times New Roman" w:cs="Times New Roman"/>
          <w:lang w:val="fr-CA"/>
        </w:rPr>
      </w:pPr>
      <w:r w:rsidRPr="00AE0B87">
        <w:rPr>
          <w:rFonts w:ascii="Times New Roman" w:hAnsi="Times New Roman" w:cs="Times New Roman"/>
          <w:lang w:val="fr-CA"/>
        </w:rPr>
        <w:t>Ronda Can Fatjó 7B</w:t>
      </w:r>
    </w:p>
    <w:p w14:paraId="396BBA3E" w14:textId="21374197" w:rsidR="002939AB" w:rsidRPr="00AE0B87" w:rsidRDefault="002939AB" w:rsidP="002939AB">
      <w:pPr>
        <w:numPr>
          <w:ilvl w:val="12"/>
          <w:numId w:val="0"/>
        </w:numPr>
        <w:rPr>
          <w:rFonts w:ascii="Times New Roman" w:hAnsi="Times New Roman" w:cs="Times New Roman"/>
          <w:lang w:val="fr-CA"/>
        </w:rPr>
      </w:pPr>
      <w:r w:rsidRPr="00AE0B87">
        <w:rPr>
          <w:rFonts w:ascii="Times New Roman" w:hAnsi="Times New Roman" w:cs="Times New Roman"/>
          <w:lang w:val="fr-CA"/>
        </w:rPr>
        <w:t>(Parque Tecnológico del Vallès) Cerdanyola del Vallès</w:t>
      </w:r>
    </w:p>
    <w:p w14:paraId="74D4AD25" w14:textId="5FDC0316" w:rsidR="002939AB" w:rsidRPr="00EC2F90" w:rsidRDefault="002939AB" w:rsidP="002939AB">
      <w:pPr>
        <w:numPr>
          <w:ilvl w:val="12"/>
          <w:numId w:val="0"/>
        </w:numPr>
        <w:rPr>
          <w:rFonts w:ascii="Times New Roman" w:hAnsi="Times New Roman" w:cs="Times New Roman"/>
        </w:rPr>
      </w:pPr>
      <w:r w:rsidRPr="00EC2F90">
        <w:rPr>
          <w:rFonts w:ascii="Times New Roman" w:hAnsi="Times New Roman" w:cs="Times New Roman"/>
        </w:rPr>
        <w:t>08290 Barcelona</w:t>
      </w:r>
    </w:p>
    <w:p w14:paraId="73CABD96" w14:textId="77777777" w:rsidR="009E3C3C" w:rsidRPr="00EC2F90" w:rsidRDefault="009E3C3C" w:rsidP="009E3C3C">
      <w:pPr>
        <w:spacing w:before="10" w:line="240" w:lineRule="exact"/>
        <w:rPr>
          <w:rFonts w:ascii="Times New Roman" w:hAnsi="Times New Roman" w:cs="Times New Roman"/>
        </w:rPr>
      </w:pPr>
      <w:r w:rsidRPr="00EC2F90">
        <w:rPr>
          <w:rFonts w:ascii="Times New Roman" w:hAnsi="Times New Roman" w:cs="Times New Roman"/>
        </w:rPr>
        <w:t>Spain</w:t>
      </w:r>
    </w:p>
    <w:p w14:paraId="7A1D0B3F" w14:textId="77777777" w:rsidR="00047E69" w:rsidRPr="00AE0B87" w:rsidRDefault="00047E69" w:rsidP="004228B0">
      <w:pPr>
        <w:numPr>
          <w:ilvl w:val="12"/>
          <w:numId w:val="0"/>
        </w:numPr>
        <w:adjustRightInd w:val="0"/>
        <w:snapToGrid w:val="0"/>
        <w:rPr>
          <w:rFonts w:ascii="Times New Roman" w:eastAsia="맑은 고딕" w:hAnsi="Times New Roman" w:cs="Times New Roman"/>
          <w:b/>
          <w:lang w:eastAsia="ko-KR"/>
        </w:rPr>
      </w:pPr>
    </w:p>
    <w:p w14:paraId="6E6B4209" w14:textId="77777777" w:rsidR="003D1038" w:rsidRPr="00AE0B87" w:rsidRDefault="003D1038" w:rsidP="003D1038">
      <w:pPr>
        <w:numPr>
          <w:ilvl w:val="12"/>
          <w:numId w:val="0"/>
        </w:numPr>
        <w:adjustRightInd w:val="0"/>
        <w:snapToGrid w:val="0"/>
        <w:rPr>
          <w:rFonts w:ascii="Times New Roman" w:eastAsia="맑은 고딕" w:hAnsi="Times New Roman" w:cs="Times New Roman"/>
          <w:bCs/>
          <w:lang w:eastAsia="ko-KR"/>
        </w:rPr>
      </w:pPr>
      <w:r w:rsidRPr="00AE0B87">
        <w:rPr>
          <w:rFonts w:ascii="Times New Roman" w:eastAsia="맑은 고딕" w:hAnsi="Times New Roman" w:cs="Times New Roman"/>
          <w:bCs/>
          <w:lang w:eastAsia="ko-KR"/>
        </w:rPr>
        <w:t>Midas Pharma GmbH</w:t>
      </w:r>
    </w:p>
    <w:p w14:paraId="23D158CB" w14:textId="77777777" w:rsidR="003D1038" w:rsidRPr="00AE0B87" w:rsidRDefault="003D1038" w:rsidP="003D1038">
      <w:pPr>
        <w:numPr>
          <w:ilvl w:val="12"/>
          <w:numId w:val="0"/>
        </w:numPr>
        <w:adjustRightInd w:val="0"/>
        <w:snapToGrid w:val="0"/>
        <w:rPr>
          <w:rFonts w:ascii="Times New Roman" w:eastAsia="맑은 고딕" w:hAnsi="Times New Roman" w:cs="Times New Roman"/>
          <w:bCs/>
          <w:lang w:eastAsia="ko-KR"/>
        </w:rPr>
      </w:pPr>
      <w:r w:rsidRPr="00AE0B87">
        <w:rPr>
          <w:rFonts w:ascii="Times New Roman" w:eastAsia="맑은 고딕" w:hAnsi="Times New Roman" w:cs="Times New Roman"/>
          <w:bCs/>
          <w:lang w:eastAsia="ko-KR"/>
        </w:rPr>
        <w:t>Rheinstraße 49</w:t>
      </w:r>
    </w:p>
    <w:p w14:paraId="31483199" w14:textId="77777777" w:rsidR="003D1038" w:rsidRPr="00AE0B87" w:rsidRDefault="003D1038" w:rsidP="003D1038">
      <w:pPr>
        <w:numPr>
          <w:ilvl w:val="12"/>
          <w:numId w:val="0"/>
        </w:numPr>
        <w:adjustRightInd w:val="0"/>
        <w:snapToGrid w:val="0"/>
        <w:rPr>
          <w:rFonts w:ascii="Times New Roman" w:eastAsia="맑은 고딕" w:hAnsi="Times New Roman" w:cs="Times New Roman"/>
          <w:bCs/>
          <w:lang w:eastAsia="ko-KR"/>
        </w:rPr>
      </w:pPr>
      <w:r w:rsidRPr="00AE0B87">
        <w:rPr>
          <w:rFonts w:ascii="Times New Roman" w:eastAsia="맑은 고딕" w:hAnsi="Times New Roman" w:cs="Times New Roman"/>
          <w:bCs/>
          <w:lang w:eastAsia="ko-KR"/>
        </w:rPr>
        <w:t>55218 Ingelheim am Rhein</w:t>
      </w:r>
    </w:p>
    <w:p w14:paraId="6C9349B5" w14:textId="39A389DB" w:rsidR="003D1038" w:rsidRPr="00AE0B87" w:rsidRDefault="003D1038" w:rsidP="003D1038">
      <w:pPr>
        <w:numPr>
          <w:ilvl w:val="12"/>
          <w:numId w:val="0"/>
        </w:numPr>
        <w:adjustRightInd w:val="0"/>
        <w:snapToGrid w:val="0"/>
        <w:rPr>
          <w:rFonts w:ascii="Times New Roman" w:eastAsia="맑은 고딕" w:hAnsi="Times New Roman" w:cs="Times New Roman"/>
          <w:bCs/>
          <w:lang w:eastAsia="ko-KR"/>
        </w:rPr>
      </w:pPr>
      <w:r w:rsidRPr="00AE0B87">
        <w:rPr>
          <w:rFonts w:ascii="Times New Roman" w:eastAsia="맑은 고딕" w:hAnsi="Times New Roman" w:cs="Times New Roman"/>
          <w:bCs/>
          <w:lang w:eastAsia="ko-KR"/>
        </w:rPr>
        <w:t>Germany</w:t>
      </w:r>
    </w:p>
    <w:p w14:paraId="7E261DCE" w14:textId="77777777" w:rsidR="003D1038" w:rsidRPr="00AE0B87" w:rsidRDefault="003D1038" w:rsidP="004228B0">
      <w:pPr>
        <w:numPr>
          <w:ilvl w:val="12"/>
          <w:numId w:val="0"/>
        </w:numPr>
        <w:adjustRightInd w:val="0"/>
        <w:snapToGrid w:val="0"/>
        <w:rPr>
          <w:rFonts w:ascii="Times New Roman" w:hAnsi="Times New Roman" w:cs="Times New Roman"/>
        </w:rPr>
      </w:pPr>
    </w:p>
    <w:p w14:paraId="4745787B" w14:textId="233D34FA" w:rsidR="00047E69" w:rsidRPr="00AE0B87" w:rsidRDefault="00C210A5" w:rsidP="004228B0">
      <w:pPr>
        <w:numPr>
          <w:ilvl w:val="12"/>
          <w:numId w:val="0"/>
        </w:numPr>
        <w:adjustRightInd w:val="0"/>
        <w:snapToGrid w:val="0"/>
        <w:rPr>
          <w:rFonts w:ascii="Times New Roman" w:hAnsi="Times New Roman" w:cs="Times New Roman"/>
        </w:rPr>
      </w:pPr>
      <w:r w:rsidRPr="00AE0B87">
        <w:rPr>
          <w:rFonts w:ascii="Times New Roman" w:hAnsi="Times New Roman" w:cs="Times New Roman"/>
        </w:rPr>
        <w:t>For any information about this medicine, please contact the local representative of the Marketing Authorisation Holder:</w:t>
      </w:r>
    </w:p>
    <w:p w14:paraId="4F2BE59E" w14:textId="77777777" w:rsidR="00047E69" w:rsidRPr="00AE0B87" w:rsidRDefault="00047E69" w:rsidP="004228B0">
      <w:pPr>
        <w:numPr>
          <w:ilvl w:val="12"/>
          <w:numId w:val="0"/>
        </w:numPr>
        <w:adjustRightInd w:val="0"/>
        <w:snapToGrid w:val="0"/>
        <w:rPr>
          <w:rFonts w:ascii="Times New Roman" w:hAnsi="Times New Roman" w:cs="Times New Roman"/>
          <w:b/>
          <w:noProof/>
        </w:rPr>
      </w:pPr>
    </w:p>
    <w:tbl>
      <w:tblPr>
        <w:tblW w:w="5000" w:type="pct"/>
        <w:tblLook w:val="04A0" w:firstRow="1" w:lastRow="0" w:firstColumn="1" w:lastColumn="0" w:noHBand="0" w:noVBand="1"/>
      </w:tblPr>
      <w:tblGrid>
        <w:gridCol w:w="4537"/>
        <w:gridCol w:w="4537"/>
      </w:tblGrid>
      <w:tr w:rsidR="00C4182E" w14:paraId="0CE29C70" w14:textId="77777777" w:rsidTr="008D6A97">
        <w:tc>
          <w:tcPr>
            <w:tcW w:w="2500" w:type="pct"/>
            <w:hideMark/>
          </w:tcPr>
          <w:p w14:paraId="248C138F" w14:textId="77777777" w:rsidR="00C4182E" w:rsidRPr="00811842" w:rsidRDefault="00C4182E" w:rsidP="008D6A97">
            <w:pPr>
              <w:keepNext/>
              <w:keepLines/>
              <w:adjustRightInd w:val="0"/>
              <w:snapToGrid w:val="0"/>
              <w:rPr>
                <w:rFonts w:ascii="Times New Roman" w:hAnsi="Times New Roman" w:cs="Times New Roman"/>
                <w:b/>
                <w:noProof/>
                <w:lang w:val="fr-CA" w:eastAsia="fr-FR"/>
              </w:rPr>
            </w:pPr>
            <w:bookmarkStart w:id="34" w:name="_Hlk169852830"/>
            <w:r w:rsidRPr="00811842">
              <w:rPr>
                <w:rFonts w:ascii="Times New Roman" w:eastAsia="맑은 고딕" w:hAnsi="Times New Roman" w:cs="Times New Roman"/>
                <w:b/>
                <w:noProof/>
                <w:lang w:val="fr-CA" w:eastAsia="fr-FR"/>
              </w:rPr>
              <w:lastRenderedPageBreak/>
              <w:t>België/Belgique/Belgien</w:t>
            </w:r>
          </w:p>
          <w:p w14:paraId="2CD7287F" w14:textId="77777777" w:rsidR="00C4182E" w:rsidRDefault="00C4182E" w:rsidP="008D6A97">
            <w:pPr>
              <w:keepNext/>
              <w:keepLines/>
              <w:adjustRightInd w:val="0"/>
              <w:snapToGrid w:val="0"/>
              <w:rPr>
                <w:rFonts w:ascii="Times New Roman" w:hAnsi="Times New Roman" w:cs="Times New Roman"/>
              </w:rPr>
            </w:pPr>
            <w:r w:rsidRPr="00131FCB">
              <w:rPr>
                <w:rFonts w:ascii="Times New Roman" w:hAnsi="Times New Roman" w:cs="Times New Roman"/>
              </w:rPr>
              <w:t xml:space="preserve">Celltrion Healthcare Belgium BVBA </w:t>
            </w:r>
          </w:p>
          <w:p w14:paraId="553957EB" w14:textId="77777777" w:rsidR="00C4182E" w:rsidRDefault="00C4182E" w:rsidP="008D6A97">
            <w:pPr>
              <w:keepNext/>
              <w:keepLines/>
              <w:adjustRightInd w:val="0"/>
              <w:snapToGrid w:val="0"/>
              <w:rPr>
                <w:rFonts w:ascii="Times New Roman" w:hAnsi="Times New Roman" w:cs="Times New Roman"/>
              </w:rPr>
            </w:pPr>
            <w:r w:rsidRPr="00131FCB">
              <w:rPr>
                <w:rFonts w:ascii="Times New Roman" w:hAnsi="Times New Roman" w:cs="Times New Roman"/>
              </w:rPr>
              <w:t>Tél/Tel: + 32 1528 7418</w:t>
            </w:r>
          </w:p>
          <w:p w14:paraId="13EEACAA" w14:textId="77777777" w:rsidR="00C4182E" w:rsidRPr="00267BCE" w:rsidRDefault="00C4182E" w:rsidP="008D6A97">
            <w:pPr>
              <w:keepNext/>
              <w:keepLines/>
              <w:adjustRightInd w:val="0"/>
              <w:snapToGrid w:val="0"/>
              <w:rPr>
                <w:rFonts w:ascii="Times New Roman" w:eastAsia="맑은 고딕" w:hAnsi="Times New Roman" w:cs="Times New Roman"/>
                <w:noProof/>
                <w:lang w:eastAsia="ko-KR"/>
              </w:rPr>
            </w:pPr>
          </w:p>
        </w:tc>
        <w:tc>
          <w:tcPr>
            <w:tcW w:w="2500" w:type="pct"/>
          </w:tcPr>
          <w:p w14:paraId="4662A483" w14:textId="77777777" w:rsidR="00C4182E" w:rsidRPr="00811842" w:rsidRDefault="00C4182E" w:rsidP="008D6A97">
            <w:pPr>
              <w:keepNext/>
              <w:keepLines/>
              <w:tabs>
                <w:tab w:val="left" w:pos="-720"/>
              </w:tabs>
              <w:suppressAutoHyphens/>
              <w:adjustRightInd w:val="0"/>
              <w:snapToGrid w:val="0"/>
              <w:rPr>
                <w:rFonts w:ascii="Times New Roman" w:hAnsi="Times New Roman" w:cs="Times New Roman"/>
                <w:b/>
                <w:noProof/>
                <w:lang w:eastAsia="fr-FR"/>
              </w:rPr>
            </w:pPr>
            <w:r w:rsidRPr="00811842">
              <w:rPr>
                <w:rFonts w:ascii="Times New Roman" w:hAnsi="Times New Roman" w:cs="Times New Roman"/>
                <w:b/>
                <w:noProof/>
                <w:lang w:eastAsia="fr-FR"/>
              </w:rPr>
              <w:t>Lietuva</w:t>
            </w:r>
          </w:p>
          <w:p w14:paraId="514E1C9E" w14:textId="77777777" w:rsidR="00C4182E" w:rsidRPr="00507267" w:rsidRDefault="00C4182E" w:rsidP="008D6A97">
            <w:pPr>
              <w:keepNext/>
              <w:keepLines/>
              <w:tabs>
                <w:tab w:val="left" w:pos="-720"/>
              </w:tabs>
              <w:suppressAutoHyphens/>
              <w:adjustRightInd w:val="0"/>
              <w:snapToGrid w:val="0"/>
              <w:rPr>
                <w:rFonts w:ascii="Times New Roman" w:hAnsi="Times New Roman" w:cs="Times New Roman"/>
                <w:noProof/>
                <w:lang w:eastAsia="fr-FR"/>
              </w:rPr>
            </w:pPr>
            <w:r w:rsidRPr="00507267">
              <w:rPr>
                <w:rFonts w:ascii="Times New Roman" w:hAnsi="Times New Roman" w:cs="Times New Roman"/>
                <w:noProof/>
                <w:lang w:eastAsia="fr-FR"/>
              </w:rPr>
              <w:t>Celltrion Healthcare Hungary Kft.</w:t>
            </w:r>
          </w:p>
          <w:p w14:paraId="3CACA9DF" w14:textId="77777777" w:rsidR="00C4182E" w:rsidRDefault="00C4182E" w:rsidP="008D6A97">
            <w:pPr>
              <w:keepNext/>
              <w:keepLines/>
              <w:autoSpaceDE w:val="0"/>
              <w:autoSpaceDN w:val="0"/>
              <w:adjustRightInd w:val="0"/>
              <w:snapToGrid w:val="0"/>
              <w:rPr>
                <w:rFonts w:ascii="Times New Roman" w:hAnsi="Times New Roman" w:cs="Times New Roman"/>
                <w:noProof/>
                <w:lang w:eastAsia="fr-FR"/>
              </w:rPr>
            </w:pPr>
            <w:r w:rsidRPr="007E01E8">
              <w:rPr>
                <w:rFonts w:ascii="Times New Roman" w:hAnsi="Times New Roman" w:cs="Times New Roman"/>
                <w:noProof/>
                <w:lang w:eastAsia="fr-FR"/>
              </w:rPr>
              <w:t>Tel.: +36 1 231 0493</w:t>
            </w:r>
          </w:p>
          <w:p w14:paraId="46FDACFF" w14:textId="77777777" w:rsidR="00C4182E" w:rsidRPr="00507267" w:rsidRDefault="00C4182E" w:rsidP="008D6A97">
            <w:pPr>
              <w:keepNext/>
              <w:keepLines/>
              <w:autoSpaceDE w:val="0"/>
              <w:autoSpaceDN w:val="0"/>
              <w:adjustRightInd w:val="0"/>
              <w:snapToGrid w:val="0"/>
              <w:rPr>
                <w:rFonts w:ascii="Times New Roman" w:hAnsi="Times New Roman" w:cs="Times New Roman"/>
                <w:noProof/>
                <w:lang w:eastAsia="fr-FR"/>
              </w:rPr>
            </w:pPr>
          </w:p>
        </w:tc>
      </w:tr>
      <w:tr w:rsidR="00C4182E" w14:paraId="032F1F09" w14:textId="77777777" w:rsidTr="008D6A97">
        <w:trPr>
          <w:trHeight w:val="619"/>
        </w:trPr>
        <w:tc>
          <w:tcPr>
            <w:tcW w:w="2500" w:type="pct"/>
          </w:tcPr>
          <w:p w14:paraId="6C983A71" w14:textId="77777777" w:rsidR="00C4182E" w:rsidRPr="008C5B9D" w:rsidRDefault="00C4182E" w:rsidP="008D6A97">
            <w:pPr>
              <w:adjustRightInd w:val="0"/>
              <w:snapToGrid w:val="0"/>
              <w:rPr>
                <w:rFonts w:ascii="Times New Roman" w:eastAsia="맑은 고딕" w:hAnsi="Times New Roman" w:cs="Times New Roman"/>
                <w:b/>
                <w:noProof/>
                <w:lang w:eastAsia="fr-FR"/>
              </w:rPr>
            </w:pPr>
            <w:r w:rsidRPr="008C5B9D">
              <w:rPr>
                <w:rFonts w:ascii="Times New Roman" w:hAnsi="Times New Roman" w:cs="Times New Roman"/>
                <w:b/>
                <w:bCs/>
              </w:rPr>
              <w:t>България</w:t>
            </w:r>
          </w:p>
          <w:p w14:paraId="27070560" w14:textId="77777777" w:rsidR="00C4182E" w:rsidRPr="00507267" w:rsidRDefault="00C4182E" w:rsidP="008D6A97">
            <w:pPr>
              <w:autoSpaceDE w:val="0"/>
              <w:autoSpaceDN w:val="0"/>
              <w:adjustRightInd w:val="0"/>
              <w:snapToGrid w:val="0"/>
              <w:rPr>
                <w:rFonts w:ascii="Times New Roman" w:eastAsia="맑은 고딕" w:hAnsi="Times New Roman" w:cs="Times New Roman"/>
                <w:noProof/>
                <w:lang w:eastAsia="fr-FR"/>
              </w:rPr>
            </w:pPr>
            <w:r w:rsidRPr="00507267">
              <w:rPr>
                <w:rFonts w:ascii="Times New Roman" w:eastAsia="맑은 고딕" w:hAnsi="Times New Roman" w:cs="Times New Roman"/>
                <w:noProof/>
                <w:lang w:eastAsia="fr-FR"/>
              </w:rPr>
              <w:t>Celltrion Healthcare Hungary Kft.</w:t>
            </w:r>
          </w:p>
          <w:p w14:paraId="53660552" w14:textId="77777777" w:rsidR="00C4182E" w:rsidRPr="002E0902" w:rsidRDefault="00C4182E" w:rsidP="008D6A97">
            <w:pPr>
              <w:autoSpaceDE w:val="0"/>
              <w:autoSpaceDN w:val="0"/>
              <w:adjustRightInd w:val="0"/>
              <w:snapToGrid w:val="0"/>
              <w:rPr>
                <w:rFonts w:ascii="Times New Roman" w:hAnsi="Times New Roman" w:cs="Times New Roman"/>
              </w:rPr>
            </w:pPr>
            <w:r w:rsidRPr="007E01E8">
              <w:rPr>
                <w:rFonts w:ascii="Times New Roman" w:eastAsia="맑은 고딕" w:hAnsi="Times New Roman" w:cs="Times New Roman"/>
                <w:noProof/>
                <w:lang w:eastAsia="fr-FR"/>
              </w:rPr>
              <w:t>Teл.: +36 1 231 0493</w:t>
            </w:r>
          </w:p>
          <w:p w14:paraId="0BE705A4" w14:textId="77777777" w:rsidR="00C4182E" w:rsidRPr="00507267" w:rsidRDefault="00C4182E" w:rsidP="008D6A97">
            <w:pPr>
              <w:adjustRightInd w:val="0"/>
              <w:snapToGrid w:val="0"/>
              <w:rPr>
                <w:rFonts w:ascii="Times New Roman" w:hAnsi="Times New Roman" w:cs="Times New Roman"/>
                <w:noProof/>
                <w:lang w:eastAsia="fr-FR"/>
              </w:rPr>
            </w:pPr>
          </w:p>
        </w:tc>
        <w:tc>
          <w:tcPr>
            <w:tcW w:w="2500" w:type="pct"/>
            <w:hideMark/>
          </w:tcPr>
          <w:p w14:paraId="38D018CE" w14:textId="77777777" w:rsidR="00C4182E" w:rsidRPr="00D05A06" w:rsidRDefault="00C4182E" w:rsidP="008D6A97">
            <w:pPr>
              <w:tabs>
                <w:tab w:val="left" w:pos="-720"/>
              </w:tabs>
              <w:suppressAutoHyphens/>
              <w:adjustRightInd w:val="0"/>
              <w:snapToGrid w:val="0"/>
              <w:rPr>
                <w:rFonts w:ascii="Times New Roman" w:hAnsi="Times New Roman" w:cs="Times New Roman"/>
                <w:noProof/>
                <w:lang w:val="fr-CA" w:eastAsia="fr-FR"/>
              </w:rPr>
            </w:pPr>
            <w:r w:rsidRPr="00D05A06">
              <w:rPr>
                <w:rFonts w:ascii="Times New Roman" w:eastAsia="맑은 고딕" w:hAnsi="Times New Roman" w:cs="Times New Roman"/>
                <w:b/>
                <w:noProof/>
                <w:lang w:val="fr-CA" w:eastAsia="fr-FR"/>
              </w:rPr>
              <w:t>Luxembourg/Luxemburg</w:t>
            </w:r>
          </w:p>
          <w:p w14:paraId="22546177" w14:textId="77777777" w:rsidR="00C4182E" w:rsidRDefault="00C4182E" w:rsidP="008D6A9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Celltrion Healthcare Belgium BVBA </w:t>
            </w:r>
          </w:p>
          <w:p w14:paraId="1A2BE8C6" w14:textId="77777777" w:rsidR="00C4182E" w:rsidRDefault="00C4182E" w:rsidP="008D6A9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Tél/Tel: + 32 1528 7418</w:t>
            </w:r>
          </w:p>
          <w:p w14:paraId="218DC5E7" w14:textId="77777777" w:rsidR="00C4182E" w:rsidRPr="00507267" w:rsidRDefault="00C4182E" w:rsidP="008D6A97">
            <w:pPr>
              <w:tabs>
                <w:tab w:val="left" w:pos="-720"/>
              </w:tabs>
              <w:suppressAutoHyphens/>
              <w:adjustRightInd w:val="0"/>
              <w:snapToGrid w:val="0"/>
              <w:rPr>
                <w:rFonts w:ascii="Times New Roman" w:eastAsia="맑은 고딕" w:hAnsi="Times New Roman" w:cs="Times New Roman"/>
                <w:lang w:eastAsia="ko-KR"/>
              </w:rPr>
            </w:pPr>
          </w:p>
          <w:p w14:paraId="56EDFDD1" w14:textId="77777777" w:rsidR="00C4182E" w:rsidRPr="00267BCE" w:rsidRDefault="00C4182E" w:rsidP="008D6A97">
            <w:pPr>
              <w:tabs>
                <w:tab w:val="left" w:pos="-720"/>
              </w:tabs>
              <w:suppressAutoHyphens/>
              <w:adjustRightInd w:val="0"/>
              <w:snapToGrid w:val="0"/>
              <w:rPr>
                <w:rFonts w:ascii="Times New Roman" w:eastAsia="맑은 고딕" w:hAnsi="Times New Roman" w:cs="Times New Roman"/>
                <w:lang w:eastAsia="ko-KR"/>
              </w:rPr>
            </w:pPr>
          </w:p>
        </w:tc>
      </w:tr>
      <w:tr w:rsidR="00C4182E" w14:paraId="78A96A44" w14:textId="77777777" w:rsidTr="008D6A97">
        <w:tc>
          <w:tcPr>
            <w:tcW w:w="2500" w:type="pct"/>
            <w:hideMark/>
          </w:tcPr>
          <w:p w14:paraId="41C64328" w14:textId="77777777" w:rsidR="00C4182E" w:rsidRPr="008C5B9D" w:rsidRDefault="00C4182E" w:rsidP="008D6A97">
            <w:pPr>
              <w:tabs>
                <w:tab w:val="left" w:pos="-720"/>
              </w:tabs>
              <w:suppressAutoHyphens/>
              <w:adjustRightInd w:val="0"/>
              <w:snapToGrid w:val="0"/>
              <w:rPr>
                <w:rFonts w:ascii="Times New Roman" w:eastAsia="맑은 고딕" w:hAnsi="Times New Roman" w:cs="Times New Roman"/>
                <w:b/>
                <w:noProof/>
                <w:lang w:eastAsia="fr-FR"/>
              </w:rPr>
            </w:pPr>
            <w:r w:rsidRPr="008C5B9D">
              <w:rPr>
                <w:rFonts w:ascii="Times New Roman" w:eastAsia="맑은 고딕" w:hAnsi="Times New Roman" w:cs="Times New Roman"/>
                <w:b/>
                <w:noProof/>
                <w:lang w:eastAsia="fr-FR"/>
              </w:rPr>
              <w:t>Česká republika</w:t>
            </w:r>
          </w:p>
          <w:p w14:paraId="6E0B39C9" w14:textId="77777777" w:rsidR="00C4182E" w:rsidRPr="00507267" w:rsidRDefault="00C4182E" w:rsidP="008D6A97">
            <w:pPr>
              <w:tabs>
                <w:tab w:val="left" w:pos="-720"/>
              </w:tabs>
              <w:suppressAutoHyphens/>
              <w:adjustRightInd w:val="0"/>
              <w:snapToGrid w:val="0"/>
              <w:rPr>
                <w:rFonts w:ascii="Times New Roman" w:eastAsia="맑은 고딕" w:hAnsi="Times New Roman" w:cs="Times New Roman"/>
                <w:noProof/>
                <w:lang w:eastAsia="fr-FR"/>
              </w:rPr>
            </w:pPr>
            <w:r w:rsidRPr="00507267">
              <w:rPr>
                <w:rFonts w:ascii="Times New Roman" w:eastAsia="맑은 고딕" w:hAnsi="Times New Roman" w:cs="Times New Roman"/>
                <w:noProof/>
                <w:lang w:eastAsia="fr-FR"/>
              </w:rPr>
              <w:t>Celltrion Healthcare Hungary Kft.</w:t>
            </w:r>
          </w:p>
          <w:p w14:paraId="3FB4C636" w14:textId="77777777" w:rsidR="00C4182E" w:rsidRDefault="00C4182E" w:rsidP="008D6A97">
            <w:pPr>
              <w:tabs>
                <w:tab w:val="left" w:pos="-720"/>
              </w:tabs>
              <w:suppressAutoHyphens/>
              <w:adjustRightInd w:val="0"/>
              <w:snapToGrid w:val="0"/>
              <w:rPr>
                <w:rFonts w:ascii="Times New Roman" w:hAnsi="Times New Roman" w:cs="Times New Roman"/>
                <w:noProof/>
                <w:lang w:eastAsia="fr-FR"/>
              </w:rPr>
            </w:pPr>
            <w:r w:rsidRPr="007E01E8">
              <w:rPr>
                <w:rFonts w:ascii="Times New Roman" w:eastAsia="맑은 고딕" w:hAnsi="Times New Roman" w:cs="Times New Roman"/>
                <w:noProof/>
                <w:lang w:eastAsia="fr-FR"/>
              </w:rPr>
              <w:t>Tel: +36 1 231 0493</w:t>
            </w:r>
          </w:p>
          <w:p w14:paraId="1524D891" w14:textId="77777777" w:rsidR="00C4182E" w:rsidRPr="00507267" w:rsidRDefault="00C4182E" w:rsidP="008D6A97">
            <w:pPr>
              <w:tabs>
                <w:tab w:val="left" w:pos="-720"/>
              </w:tabs>
              <w:suppressAutoHyphens/>
              <w:adjustRightInd w:val="0"/>
              <w:snapToGrid w:val="0"/>
              <w:rPr>
                <w:rFonts w:ascii="Times New Roman" w:hAnsi="Times New Roman" w:cs="Times New Roman"/>
                <w:noProof/>
                <w:lang w:eastAsia="fr-FR"/>
              </w:rPr>
            </w:pPr>
          </w:p>
        </w:tc>
        <w:tc>
          <w:tcPr>
            <w:tcW w:w="2500" w:type="pct"/>
          </w:tcPr>
          <w:p w14:paraId="4194E913" w14:textId="77777777" w:rsidR="00C4182E" w:rsidRPr="00D05A06" w:rsidRDefault="00C4182E" w:rsidP="008D6A97">
            <w:pPr>
              <w:adjustRightInd w:val="0"/>
              <w:snapToGrid w:val="0"/>
              <w:rPr>
                <w:rFonts w:ascii="Times New Roman" w:eastAsia="맑은 고딕" w:hAnsi="Times New Roman" w:cs="Times New Roman"/>
                <w:b/>
                <w:noProof/>
                <w:lang w:eastAsia="fr-FR"/>
              </w:rPr>
            </w:pPr>
            <w:r w:rsidRPr="00811842">
              <w:rPr>
                <w:rFonts w:ascii="Times New Roman" w:hAnsi="Times New Roman" w:cs="Times New Roman"/>
                <w:b/>
                <w:noProof/>
              </w:rPr>
              <w:t>Magyarország</w:t>
            </w:r>
          </w:p>
          <w:p w14:paraId="08BE52CD" w14:textId="77777777" w:rsidR="00C4182E" w:rsidRPr="00507267" w:rsidRDefault="00C4182E" w:rsidP="008D6A97">
            <w:pPr>
              <w:adjustRightInd w:val="0"/>
              <w:snapToGrid w:val="0"/>
              <w:rPr>
                <w:rFonts w:ascii="Times New Roman" w:eastAsia="맑은 고딕" w:hAnsi="Times New Roman" w:cs="Times New Roman"/>
                <w:noProof/>
                <w:lang w:eastAsia="fr-FR"/>
              </w:rPr>
            </w:pPr>
            <w:r w:rsidRPr="00507267">
              <w:rPr>
                <w:rFonts w:ascii="Times New Roman" w:eastAsia="맑은 고딕" w:hAnsi="Times New Roman" w:cs="Times New Roman"/>
                <w:noProof/>
                <w:lang w:eastAsia="fr-FR"/>
              </w:rPr>
              <w:t>Celltrion Healthcare Hungary Kft.</w:t>
            </w:r>
          </w:p>
          <w:p w14:paraId="087B2E3C" w14:textId="77777777" w:rsidR="00C4182E" w:rsidRPr="00507267" w:rsidRDefault="00C4182E" w:rsidP="008D6A97">
            <w:pPr>
              <w:adjustRightInd w:val="0"/>
              <w:snapToGrid w:val="0"/>
              <w:rPr>
                <w:rFonts w:ascii="Times New Roman" w:eastAsia="맑은 고딕" w:hAnsi="Times New Roman" w:cs="Times New Roman"/>
                <w:noProof/>
                <w:lang w:eastAsia="ko-KR"/>
              </w:rPr>
            </w:pPr>
            <w:r w:rsidRPr="007E01E8">
              <w:rPr>
                <w:rFonts w:ascii="Times New Roman" w:eastAsia="맑은 고딕" w:hAnsi="Times New Roman" w:cs="Times New Roman"/>
                <w:noProof/>
                <w:lang w:eastAsia="fr-FR"/>
              </w:rPr>
              <w:t>Tel.: +36 1 231 0493</w:t>
            </w:r>
            <w:r>
              <w:rPr>
                <w:rFonts w:ascii="Times New Roman" w:eastAsia="맑은 고딕" w:hAnsi="Times New Roman" w:cs="Times New Roman"/>
                <w:noProof/>
                <w:lang w:eastAsia="ko-KR"/>
              </w:rPr>
              <w:br/>
            </w:r>
          </w:p>
        </w:tc>
      </w:tr>
      <w:tr w:rsidR="00C4182E" w14:paraId="1BDC0F4C" w14:textId="77777777" w:rsidTr="008D6A97">
        <w:tc>
          <w:tcPr>
            <w:tcW w:w="2500" w:type="pct"/>
            <w:hideMark/>
          </w:tcPr>
          <w:p w14:paraId="165EB4EE" w14:textId="77777777" w:rsidR="00C4182E" w:rsidRPr="008C5B9D" w:rsidRDefault="00C4182E" w:rsidP="008D6A97">
            <w:pPr>
              <w:tabs>
                <w:tab w:val="left" w:pos="-720"/>
              </w:tabs>
              <w:suppressAutoHyphens/>
              <w:adjustRightInd w:val="0"/>
              <w:snapToGrid w:val="0"/>
              <w:rPr>
                <w:rFonts w:ascii="Times New Roman" w:hAnsi="Times New Roman" w:cs="Times New Roman"/>
                <w:b/>
                <w:bCs/>
                <w:i/>
                <w:iCs/>
                <w:noProof/>
                <w:lang w:eastAsia="fr-FR"/>
              </w:rPr>
            </w:pPr>
            <w:r w:rsidRPr="008C5B9D">
              <w:rPr>
                <w:rFonts w:ascii="Times New Roman" w:hAnsi="Times New Roman" w:cs="Times New Roman"/>
                <w:b/>
                <w:noProof/>
              </w:rPr>
              <w:t>Danmark</w:t>
            </w:r>
          </w:p>
          <w:p w14:paraId="4A4FDC9C" w14:textId="77777777" w:rsidR="00C4182E" w:rsidRDefault="00C4182E" w:rsidP="008D6A9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Celltrion Healthcare Denmark ApS</w:t>
            </w:r>
            <w:r>
              <w:rPr>
                <w:rStyle w:val="eop"/>
                <w:rFonts w:ascii="Times New Roman" w:eastAsia="맑은 고딕" w:hAnsi="Times New Roman" w:cs="Times New Roman"/>
                <w:color w:val="000000"/>
                <w:sz w:val="22"/>
                <w:szCs w:val="22"/>
              </w:rPr>
              <w:t> </w:t>
            </w:r>
          </w:p>
          <w:p w14:paraId="74CF37D1" w14:textId="77777777" w:rsidR="00C4182E" w:rsidRDefault="00C4182E" w:rsidP="008D6A9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Tlf: +45 3535 2989</w:t>
            </w:r>
            <w:r>
              <w:rPr>
                <w:rStyle w:val="eop"/>
                <w:rFonts w:ascii="Times New Roman" w:eastAsia="맑은 고딕" w:hAnsi="Times New Roman" w:cs="Times New Roman"/>
                <w:color w:val="000000"/>
                <w:sz w:val="22"/>
                <w:szCs w:val="22"/>
              </w:rPr>
              <w:t> </w:t>
            </w:r>
          </w:p>
          <w:p w14:paraId="4C9D4363" w14:textId="77777777" w:rsidR="00C4182E" w:rsidRPr="00576C4F" w:rsidRDefault="00C4182E"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482F0D8C" w14:textId="77777777" w:rsidR="00C4182E" w:rsidRPr="00F51A8D" w:rsidRDefault="00C4182E" w:rsidP="008D6A97">
            <w:pPr>
              <w:tabs>
                <w:tab w:val="left" w:pos="-720"/>
              </w:tabs>
              <w:suppressAutoHyphens/>
              <w:adjustRightInd w:val="0"/>
              <w:snapToGrid w:val="0"/>
              <w:rPr>
                <w:rFonts w:ascii="Times New Roman" w:eastAsia="맑은 고딕" w:hAnsi="Times New Roman" w:cs="Times New Roman"/>
                <w:noProof/>
                <w:lang w:eastAsia="fr-FR"/>
              </w:rPr>
            </w:pPr>
          </w:p>
          <w:p w14:paraId="502792DE" w14:textId="77777777" w:rsidR="00C4182E" w:rsidRPr="00811842" w:rsidRDefault="00C4182E" w:rsidP="008D6A97">
            <w:pPr>
              <w:tabs>
                <w:tab w:val="left" w:pos="-720"/>
              </w:tabs>
              <w:suppressAutoHyphens/>
              <w:adjustRightInd w:val="0"/>
              <w:snapToGrid w:val="0"/>
              <w:rPr>
                <w:rFonts w:ascii="Times New Roman" w:eastAsia="맑은 고딕" w:hAnsi="Times New Roman" w:cs="Times New Roman"/>
                <w:noProof/>
                <w:lang w:eastAsia="fr-FR"/>
              </w:rPr>
            </w:pPr>
          </w:p>
        </w:tc>
        <w:tc>
          <w:tcPr>
            <w:tcW w:w="2500" w:type="pct"/>
          </w:tcPr>
          <w:p w14:paraId="193A34C7" w14:textId="77777777" w:rsidR="00C4182E" w:rsidRPr="00BA3060" w:rsidRDefault="00C4182E" w:rsidP="008D6A97">
            <w:pPr>
              <w:adjustRightInd w:val="0"/>
              <w:snapToGrid w:val="0"/>
              <w:rPr>
                <w:rFonts w:ascii="Times New Roman" w:hAnsi="Times New Roman" w:cs="Times New Roman"/>
                <w:noProof/>
                <w:lang w:eastAsia="fr-FR"/>
              </w:rPr>
            </w:pPr>
            <w:r w:rsidRPr="00BA3060">
              <w:rPr>
                <w:rFonts w:ascii="Times New Roman" w:eastAsia="맑은 고딕" w:hAnsi="Times New Roman" w:cs="Times New Roman"/>
                <w:b/>
                <w:noProof/>
                <w:lang w:eastAsia="fr-FR"/>
              </w:rPr>
              <w:t>Malta</w:t>
            </w:r>
          </w:p>
          <w:p w14:paraId="69077FDF" w14:textId="77777777" w:rsidR="00C4182E" w:rsidRDefault="00C4182E" w:rsidP="008D6A97">
            <w:pPr>
              <w:adjustRightInd w:val="0"/>
              <w:snapToGrid w:val="0"/>
              <w:rPr>
                <w:rFonts w:ascii="Times New Roman" w:eastAsia="맑은 고딕" w:hAnsi="Times New Roman" w:cs="Times New Roman"/>
                <w:noProof/>
                <w:lang w:eastAsia="fr-FR"/>
              </w:rPr>
            </w:pPr>
            <w:r w:rsidRPr="00BA3060">
              <w:rPr>
                <w:rFonts w:ascii="Times New Roman" w:eastAsia="맑은 고딕" w:hAnsi="Times New Roman" w:cs="Times New Roman"/>
                <w:noProof/>
                <w:lang w:eastAsia="fr-FR"/>
              </w:rPr>
              <w:t>Mint Health</w:t>
            </w:r>
            <w:r w:rsidRPr="002410B7">
              <w:rPr>
                <w:rFonts w:ascii="Times New Roman" w:eastAsia="맑은 고딕" w:hAnsi="Times New Roman" w:cs="Times New Roman"/>
                <w:noProof/>
                <w:lang w:eastAsia="fr-FR"/>
              </w:rPr>
              <w:t xml:space="preserve"> Ltd.</w:t>
            </w:r>
          </w:p>
          <w:p w14:paraId="5FC17616" w14:textId="77777777" w:rsidR="00C4182E" w:rsidRPr="00D05A06" w:rsidRDefault="00C4182E" w:rsidP="008D6A97">
            <w:pPr>
              <w:adjustRightInd w:val="0"/>
              <w:snapToGrid w:val="0"/>
              <w:rPr>
                <w:rFonts w:ascii="Times New Roman" w:eastAsia="맑은 고딕" w:hAnsi="Times New Roman" w:cs="Times New Roman"/>
                <w:noProof/>
                <w:lang w:eastAsia="ko-KR"/>
              </w:rPr>
            </w:pPr>
            <w:r w:rsidRPr="002410B7">
              <w:rPr>
                <w:rFonts w:ascii="Times New Roman" w:eastAsia="맑은 고딕" w:hAnsi="Times New Roman" w:cs="Times New Roman"/>
                <w:noProof/>
                <w:lang w:eastAsia="fr-FR"/>
              </w:rPr>
              <w:t>Tel: +356 2093 9800</w:t>
            </w:r>
          </w:p>
        </w:tc>
      </w:tr>
      <w:tr w:rsidR="00C4182E" w14:paraId="146B73C6" w14:textId="77777777" w:rsidTr="008D6A97">
        <w:tc>
          <w:tcPr>
            <w:tcW w:w="2500" w:type="pct"/>
            <w:hideMark/>
          </w:tcPr>
          <w:p w14:paraId="6443A043" w14:textId="77777777" w:rsidR="00C4182E" w:rsidRPr="008C5B9D" w:rsidRDefault="00C4182E" w:rsidP="008D6A97">
            <w:pPr>
              <w:adjustRightInd w:val="0"/>
              <w:snapToGrid w:val="0"/>
              <w:rPr>
                <w:rFonts w:ascii="Times New Roman" w:hAnsi="Times New Roman" w:cs="Times New Roman"/>
                <w:b/>
                <w:noProof/>
                <w:lang w:eastAsia="fr-FR"/>
              </w:rPr>
            </w:pPr>
            <w:r w:rsidRPr="008C5B9D">
              <w:rPr>
                <w:rFonts w:ascii="Times New Roman" w:eastAsia="맑은 고딕" w:hAnsi="Times New Roman" w:cs="Times New Roman"/>
                <w:b/>
                <w:noProof/>
                <w:lang w:eastAsia="fr-FR"/>
              </w:rPr>
              <w:t>Deutschland</w:t>
            </w:r>
          </w:p>
          <w:p w14:paraId="11681963" w14:textId="77777777" w:rsidR="00C4182E" w:rsidRDefault="00C4182E" w:rsidP="008D6A9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Celltrion Healthcare </w:t>
            </w:r>
            <w:r w:rsidRPr="00E110AA">
              <w:rPr>
                <w:rFonts w:ascii="Times New Roman" w:hAnsi="Times New Roman" w:cs="Times New Roman"/>
              </w:rPr>
              <w:t>Deutschland GmbH</w:t>
            </w:r>
            <w:r w:rsidRPr="00131FCB">
              <w:rPr>
                <w:rFonts w:ascii="Times New Roman" w:hAnsi="Times New Roman" w:cs="Times New Roman"/>
              </w:rPr>
              <w:t xml:space="preserve"> </w:t>
            </w:r>
          </w:p>
          <w:p w14:paraId="61A2A5C8" w14:textId="77777777" w:rsidR="00C4182E" w:rsidRDefault="00C4182E" w:rsidP="008D6A97">
            <w:pPr>
              <w:tabs>
                <w:tab w:val="left" w:pos="-720"/>
              </w:tabs>
              <w:suppressAutoHyphens/>
              <w:adjustRightInd w:val="0"/>
              <w:snapToGrid w:val="0"/>
              <w:rPr>
                <w:rFonts w:ascii="Times New Roman" w:hAnsi="Times New Roman" w:cs="Times New Roman"/>
              </w:rPr>
            </w:pPr>
            <w:r w:rsidRPr="00131FCB">
              <w:rPr>
                <w:rFonts w:ascii="Times New Roman" w:hAnsi="Times New Roman" w:cs="Times New Roman"/>
              </w:rPr>
              <w:t xml:space="preserve">Tel: </w:t>
            </w:r>
            <w:r w:rsidRPr="00E110AA">
              <w:rPr>
                <w:rFonts w:ascii="Times New Roman" w:hAnsi="Times New Roman" w:cs="Times New Roman"/>
              </w:rPr>
              <w:t>+49 (0)30 346494150</w:t>
            </w:r>
          </w:p>
          <w:p w14:paraId="37BEDA0D" w14:textId="77777777" w:rsidR="00C4182E" w:rsidRDefault="00C4182E" w:rsidP="008D6A97">
            <w:pPr>
              <w:tabs>
                <w:tab w:val="left" w:pos="-720"/>
              </w:tabs>
              <w:suppressAutoHyphens/>
              <w:adjustRightInd w:val="0"/>
              <w:snapToGrid w:val="0"/>
              <w:rPr>
                <w:rFonts w:ascii="Times New Roman" w:eastAsia="맑은 고딕" w:hAnsi="Times New Roman" w:cs="Times New Roman"/>
                <w:noProof/>
                <w:lang w:eastAsia="fr-FR"/>
              </w:rPr>
            </w:pPr>
            <w:r w:rsidRPr="00576C4F">
              <w:rPr>
                <w:rFonts w:ascii="Times New Roman" w:eastAsia="맑은 고딕" w:hAnsi="Times New Roman" w:cs="Times New Roman"/>
                <w:noProof/>
                <w:lang w:eastAsia="fr-FR"/>
              </w:rPr>
              <w:t>infoDE@celltrionhc.com</w:t>
            </w:r>
          </w:p>
          <w:p w14:paraId="2FBFE9E2" w14:textId="77777777" w:rsidR="00C4182E" w:rsidRDefault="00C4182E" w:rsidP="008D6A97">
            <w:pPr>
              <w:tabs>
                <w:tab w:val="left" w:pos="-720"/>
              </w:tabs>
              <w:suppressAutoHyphens/>
              <w:adjustRightInd w:val="0"/>
              <w:snapToGrid w:val="0"/>
              <w:rPr>
                <w:rFonts w:ascii="Times New Roman" w:eastAsia="맑은 고딕" w:hAnsi="Times New Roman" w:cs="Times New Roman"/>
                <w:noProof/>
                <w:lang w:eastAsia="fr-FR"/>
              </w:rPr>
            </w:pPr>
          </w:p>
          <w:p w14:paraId="707C4FAD" w14:textId="77777777" w:rsidR="00C4182E" w:rsidRPr="008C5B9D" w:rsidRDefault="00C4182E" w:rsidP="008D6A97">
            <w:pPr>
              <w:tabs>
                <w:tab w:val="left" w:pos="-720"/>
              </w:tabs>
              <w:suppressAutoHyphens/>
              <w:adjustRightInd w:val="0"/>
              <w:snapToGrid w:val="0"/>
              <w:rPr>
                <w:rFonts w:ascii="Times New Roman" w:eastAsia="맑은 고딕" w:hAnsi="Times New Roman" w:cs="Times New Roman"/>
                <w:noProof/>
                <w:lang w:eastAsia="fr-FR"/>
              </w:rPr>
            </w:pPr>
          </w:p>
        </w:tc>
        <w:tc>
          <w:tcPr>
            <w:tcW w:w="2500" w:type="pct"/>
          </w:tcPr>
          <w:p w14:paraId="6C09921C" w14:textId="77777777" w:rsidR="00C4182E" w:rsidRPr="00811842" w:rsidRDefault="00C4182E" w:rsidP="008D6A97">
            <w:pPr>
              <w:adjustRightInd w:val="0"/>
              <w:snapToGrid w:val="0"/>
              <w:rPr>
                <w:rFonts w:ascii="Times New Roman" w:hAnsi="Times New Roman" w:cs="Times New Roman"/>
                <w:noProof/>
                <w:lang w:eastAsia="fr-FR"/>
              </w:rPr>
            </w:pPr>
            <w:r w:rsidRPr="00811842">
              <w:rPr>
                <w:rFonts w:ascii="Times New Roman" w:eastAsia="맑은 고딕" w:hAnsi="Times New Roman" w:cs="Times New Roman"/>
                <w:b/>
                <w:noProof/>
                <w:lang w:eastAsia="fr-FR"/>
              </w:rPr>
              <w:t>Nederland</w:t>
            </w:r>
          </w:p>
          <w:p w14:paraId="46373C86" w14:textId="77777777" w:rsidR="00C4182E" w:rsidRDefault="00C4182E" w:rsidP="008D6A97">
            <w:pPr>
              <w:adjustRightInd w:val="0"/>
              <w:snapToGrid w:val="0"/>
              <w:rPr>
                <w:rFonts w:ascii="Times New Roman" w:hAnsi="Times New Roman" w:cs="Times New Roman"/>
              </w:rPr>
            </w:pPr>
            <w:r w:rsidRPr="00131FCB">
              <w:rPr>
                <w:rFonts w:ascii="Times New Roman" w:hAnsi="Times New Roman" w:cs="Times New Roman"/>
              </w:rPr>
              <w:t xml:space="preserve">Celltrion Healthcare Netherlands B.V. </w:t>
            </w:r>
          </w:p>
          <w:p w14:paraId="5019C05D" w14:textId="77777777" w:rsidR="00C4182E" w:rsidRPr="008C5B9D" w:rsidRDefault="00C4182E" w:rsidP="008D6A97">
            <w:pPr>
              <w:adjustRightInd w:val="0"/>
              <w:snapToGrid w:val="0"/>
              <w:rPr>
                <w:rFonts w:ascii="Times New Roman" w:eastAsia="맑은 고딕" w:hAnsi="Times New Roman" w:cs="Times New Roman"/>
                <w:noProof/>
                <w:lang w:eastAsia="fr-FR"/>
              </w:rPr>
            </w:pPr>
            <w:r w:rsidRPr="00131FCB">
              <w:rPr>
                <w:rFonts w:ascii="Times New Roman" w:hAnsi="Times New Roman" w:cs="Times New Roman"/>
              </w:rPr>
              <w:t>Tel: + 31 20 888 7300</w:t>
            </w:r>
          </w:p>
          <w:p w14:paraId="06F587E8"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r>
      <w:tr w:rsidR="00C4182E" w14:paraId="4110F642" w14:textId="77777777" w:rsidTr="008D6A97">
        <w:tc>
          <w:tcPr>
            <w:tcW w:w="2500" w:type="pct"/>
            <w:hideMark/>
          </w:tcPr>
          <w:p w14:paraId="79453803" w14:textId="77777777" w:rsidR="00C4182E" w:rsidRPr="00576C4F" w:rsidRDefault="00C4182E" w:rsidP="008D6A97">
            <w:pPr>
              <w:tabs>
                <w:tab w:val="left" w:pos="-720"/>
                <w:tab w:val="left" w:pos="4536"/>
              </w:tabs>
              <w:suppressAutoHyphens/>
              <w:adjustRightInd w:val="0"/>
              <w:snapToGrid w:val="0"/>
              <w:rPr>
                <w:rFonts w:ascii="Times New Roman" w:hAnsi="Times New Roman" w:cs="Times New Roman"/>
                <w:b/>
                <w:noProof/>
                <w:lang w:eastAsia="fr-FR"/>
              </w:rPr>
            </w:pPr>
            <w:r w:rsidRPr="00576C4F">
              <w:rPr>
                <w:rFonts w:ascii="Times New Roman" w:eastAsia="맑은 고딕" w:hAnsi="Times New Roman" w:cs="Times New Roman"/>
                <w:b/>
                <w:noProof/>
                <w:lang w:eastAsia="fr-FR"/>
              </w:rPr>
              <w:t>Eesti</w:t>
            </w:r>
          </w:p>
          <w:p w14:paraId="6F82B70F" w14:textId="77777777" w:rsidR="00C4182E" w:rsidRPr="00576C4F" w:rsidRDefault="00C4182E" w:rsidP="008D6A97">
            <w:pPr>
              <w:tabs>
                <w:tab w:val="left" w:pos="-720"/>
              </w:tabs>
              <w:suppressAutoHyphens/>
              <w:adjustRightInd w:val="0"/>
              <w:snapToGrid w:val="0"/>
              <w:rPr>
                <w:rFonts w:ascii="Times New Roman" w:hAnsi="Times New Roman" w:cs="Times New Roman"/>
              </w:rPr>
            </w:pPr>
            <w:r w:rsidRPr="00576C4F">
              <w:rPr>
                <w:rFonts w:ascii="Times New Roman" w:hAnsi="Times New Roman" w:cs="Times New Roman"/>
              </w:rPr>
              <w:t xml:space="preserve">Celltrion Healthcare Hungary Kft. </w:t>
            </w:r>
          </w:p>
          <w:p w14:paraId="04B5B0EA" w14:textId="77777777" w:rsidR="00C4182E" w:rsidRPr="00576C4F" w:rsidRDefault="00C4182E" w:rsidP="008D6A97">
            <w:pPr>
              <w:tabs>
                <w:tab w:val="left" w:pos="-720"/>
              </w:tabs>
              <w:suppressAutoHyphens/>
              <w:adjustRightInd w:val="0"/>
              <w:snapToGrid w:val="0"/>
              <w:rPr>
                <w:rFonts w:ascii="Times New Roman" w:hAnsi="Times New Roman" w:cs="Times New Roman"/>
              </w:rPr>
            </w:pPr>
            <w:r w:rsidRPr="00576C4F">
              <w:rPr>
                <w:rFonts w:ascii="Times New Roman" w:hAnsi="Times New Roman" w:cs="Times New Roman"/>
              </w:rPr>
              <w:t>Tel: +36 1 231 0493</w:t>
            </w:r>
          </w:p>
          <w:p w14:paraId="4950BB3A" w14:textId="77777777" w:rsidR="00C4182E" w:rsidRPr="00576C4F" w:rsidRDefault="00C4182E" w:rsidP="008D6A97">
            <w:pPr>
              <w:tabs>
                <w:tab w:val="left" w:pos="-720"/>
              </w:tabs>
              <w:suppressAutoHyphens/>
              <w:adjustRightInd w:val="0"/>
              <w:snapToGrid w:val="0"/>
              <w:rPr>
                <w:rFonts w:ascii="Times New Roman" w:eastAsia="맑은 고딕" w:hAnsi="Times New Roman" w:cs="Times New Roman"/>
                <w:noProof/>
                <w:lang w:eastAsia="fr-FR"/>
              </w:rPr>
            </w:pPr>
          </w:p>
          <w:p w14:paraId="392B7F15" w14:textId="77777777" w:rsidR="00C4182E" w:rsidRPr="00576C4F" w:rsidRDefault="00C4182E" w:rsidP="008D6A97">
            <w:pPr>
              <w:tabs>
                <w:tab w:val="left" w:pos="-720"/>
              </w:tabs>
              <w:suppressAutoHyphens/>
              <w:adjustRightInd w:val="0"/>
              <w:snapToGrid w:val="0"/>
              <w:rPr>
                <w:rFonts w:ascii="Times New Roman" w:eastAsia="맑은 고딕" w:hAnsi="Times New Roman" w:cs="Times New Roman"/>
                <w:noProof/>
                <w:lang w:eastAsia="ko-KR"/>
              </w:rPr>
            </w:pPr>
          </w:p>
        </w:tc>
        <w:tc>
          <w:tcPr>
            <w:tcW w:w="2500" w:type="pct"/>
          </w:tcPr>
          <w:p w14:paraId="54B70864" w14:textId="77777777" w:rsidR="00C4182E" w:rsidRPr="00576C4F" w:rsidRDefault="00C4182E" w:rsidP="008D6A97">
            <w:pPr>
              <w:tabs>
                <w:tab w:val="left" w:pos="-720"/>
              </w:tabs>
              <w:suppressAutoHyphens/>
              <w:adjustRightInd w:val="0"/>
              <w:snapToGrid w:val="0"/>
              <w:rPr>
                <w:rFonts w:ascii="Times New Roman" w:hAnsi="Times New Roman" w:cs="Times New Roman"/>
                <w:noProof/>
                <w:lang w:eastAsia="fr-FR"/>
              </w:rPr>
            </w:pPr>
            <w:r w:rsidRPr="00576C4F">
              <w:rPr>
                <w:rFonts w:ascii="Times New Roman" w:eastAsia="맑은 고딕" w:hAnsi="Times New Roman" w:cs="Times New Roman"/>
                <w:b/>
                <w:noProof/>
                <w:lang w:eastAsia="fr-FR"/>
              </w:rPr>
              <w:t>Norge</w:t>
            </w:r>
          </w:p>
          <w:p w14:paraId="0CC9D446" w14:textId="77777777" w:rsidR="00C4182E" w:rsidRPr="00576C4F" w:rsidRDefault="00C4182E"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35E14325" w14:textId="77777777" w:rsidR="00C4182E" w:rsidRPr="00576C4F" w:rsidRDefault="00C4182E"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1DD9A162" w14:textId="77777777" w:rsidR="00C4182E" w:rsidRPr="00576C4F" w:rsidRDefault="00C4182E" w:rsidP="008D6A97">
            <w:pPr>
              <w:tabs>
                <w:tab w:val="left" w:pos="-720"/>
              </w:tabs>
              <w:suppressAutoHyphens/>
              <w:adjustRightInd w:val="0"/>
              <w:snapToGrid w:val="0"/>
              <w:rPr>
                <w:rFonts w:ascii="Times New Roman" w:eastAsia="맑은 고딕" w:hAnsi="Times New Roman" w:cs="Times New Roman"/>
                <w:noProof/>
                <w:lang w:eastAsia="ko-KR"/>
              </w:rPr>
            </w:pPr>
          </w:p>
        </w:tc>
      </w:tr>
      <w:tr w:rsidR="00C4182E" w14:paraId="3C83F8BB" w14:textId="77777777" w:rsidTr="008D6A97">
        <w:tc>
          <w:tcPr>
            <w:tcW w:w="2500" w:type="pct"/>
            <w:hideMark/>
          </w:tcPr>
          <w:p w14:paraId="42C40AA8" w14:textId="77777777" w:rsidR="00C4182E" w:rsidRPr="00EC2F90" w:rsidRDefault="00C4182E" w:rsidP="008D6A97">
            <w:pPr>
              <w:adjustRightInd w:val="0"/>
              <w:snapToGrid w:val="0"/>
              <w:rPr>
                <w:rFonts w:ascii="Times New Roman" w:hAnsi="Times New Roman" w:cs="Times New Roman"/>
                <w:noProof/>
                <w:lang w:val="fr-CA" w:eastAsia="fr-FR"/>
              </w:rPr>
            </w:pPr>
            <w:r w:rsidRPr="00EC2F90">
              <w:rPr>
                <w:rFonts w:ascii="Times New Roman" w:hAnsi="Times New Roman" w:cs="Times New Roman"/>
                <w:b/>
                <w:noProof/>
                <w:lang w:val="fr-CA"/>
              </w:rPr>
              <w:t>España</w:t>
            </w:r>
          </w:p>
          <w:p w14:paraId="75D9B036" w14:textId="77777777" w:rsidR="00C4182E" w:rsidRPr="00EC2F90" w:rsidRDefault="00C4182E" w:rsidP="008D6A97">
            <w:pPr>
              <w:adjustRightInd w:val="0"/>
              <w:snapToGrid w:val="0"/>
              <w:rPr>
                <w:rFonts w:ascii="Times New Roman" w:eastAsia="맑은 고딕" w:hAnsi="Times New Roman" w:cs="Times New Roman"/>
                <w:noProof/>
                <w:lang w:val="fr-CA" w:eastAsia="ko-KR"/>
              </w:rPr>
            </w:pPr>
            <w:r w:rsidRPr="00EC2F90">
              <w:rPr>
                <w:rFonts w:ascii="Times New Roman" w:eastAsia="맑은 고딕" w:hAnsi="Times New Roman" w:cs="Times New Roman"/>
                <w:noProof/>
                <w:lang w:val="fr-CA" w:eastAsia="fr-FR"/>
              </w:rPr>
              <w:t>CELLTRION FARMACEUTICA (ESPAÑA) S.L</w:t>
            </w:r>
            <w:r w:rsidRPr="00EC2F90">
              <w:rPr>
                <w:rFonts w:ascii="Times New Roman" w:eastAsia="맑은 고딕" w:hAnsi="Times New Roman" w:cs="Times New Roman" w:hint="eastAsia"/>
                <w:noProof/>
                <w:lang w:val="fr-CA" w:eastAsia="ko-KR"/>
              </w:rPr>
              <w:t>.</w:t>
            </w:r>
          </w:p>
          <w:p w14:paraId="3B49F803" w14:textId="77777777" w:rsidR="00C4182E" w:rsidRDefault="00C4182E" w:rsidP="008D6A97">
            <w:pPr>
              <w:adjustRightInd w:val="0"/>
              <w:snapToGrid w:val="0"/>
              <w:rPr>
                <w:rFonts w:ascii="Times New Roman" w:eastAsia="맑은 고딕" w:hAnsi="Times New Roman" w:cs="Times New Roman"/>
                <w:noProof/>
                <w:lang w:eastAsia="fr-FR"/>
              </w:rPr>
            </w:pPr>
            <w:r w:rsidRPr="00811842">
              <w:rPr>
                <w:rFonts w:ascii="Times New Roman" w:eastAsia="맑은 고딕" w:hAnsi="Times New Roman" w:cs="Times New Roman"/>
                <w:noProof/>
                <w:lang w:eastAsia="fr-FR"/>
              </w:rPr>
              <w:t xml:space="preserve">Tel: </w:t>
            </w:r>
            <w:r w:rsidRPr="00F75F44">
              <w:rPr>
                <w:rFonts w:ascii="Times New Roman" w:eastAsia="맑은 고딕" w:hAnsi="Times New Roman" w:cs="Times New Roman"/>
                <w:noProof/>
                <w:lang w:eastAsia="fr-FR"/>
              </w:rPr>
              <w:t>+34 910 498 478</w:t>
            </w:r>
          </w:p>
          <w:p w14:paraId="1FBC5040" w14:textId="77777777" w:rsidR="00C4182E" w:rsidRPr="00811842" w:rsidRDefault="00C4182E" w:rsidP="008D6A97">
            <w:pPr>
              <w:adjustRightInd w:val="0"/>
              <w:snapToGrid w:val="0"/>
              <w:rPr>
                <w:rFonts w:ascii="Times New Roman" w:eastAsia="맑은 고딕" w:hAnsi="Times New Roman" w:cs="Times New Roman"/>
                <w:noProof/>
                <w:lang w:eastAsia="ko-KR"/>
              </w:rPr>
            </w:pPr>
          </w:p>
          <w:p w14:paraId="165F73D4" w14:textId="77777777" w:rsidR="00C4182E" w:rsidRPr="00811842" w:rsidRDefault="00C4182E" w:rsidP="008D6A97">
            <w:pPr>
              <w:adjustRightInd w:val="0"/>
              <w:snapToGrid w:val="0"/>
              <w:rPr>
                <w:rFonts w:ascii="Times New Roman" w:hAnsi="Times New Roman" w:cs="Times New Roman"/>
                <w:b/>
                <w:noProof/>
                <w:lang w:eastAsia="fr-FR"/>
              </w:rPr>
            </w:pPr>
          </w:p>
        </w:tc>
        <w:tc>
          <w:tcPr>
            <w:tcW w:w="2500" w:type="pct"/>
          </w:tcPr>
          <w:p w14:paraId="66EB57EA" w14:textId="77777777" w:rsidR="00C4182E" w:rsidRPr="00D05A06" w:rsidRDefault="00C4182E" w:rsidP="008D6A97">
            <w:pPr>
              <w:adjustRightInd w:val="0"/>
              <w:snapToGrid w:val="0"/>
              <w:rPr>
                <w:rFonts w:ascii="Times New Roman" w:hAnsi="Times New Roman" w:cs="Times New Roman"/>
                <w:noProof/>
                <w:lang w:eastAsia="fr-FR"/>
              </w:rPr>
            </w:pPr>
            <w:r w:rsidRPr="00811842">
              <w:rPr>
                <w:rFonts w:ascii="Times New Roman" w:hAnsi="Times New Roman" w:cs="Times New Roman"/>
                <w:b/>
                <w:noProof/>
              </w:rPr>
              <w:t>Österreich</w:t>
            </w:r>
          </w:p>
          <w:p w14:paraId="6D98AC48" w14:textId="77777777" w:rsidR="00C4182E" w:rsidRPr="00D05A06" w:rsidRDefault="00C4182E" w:rsidP="008D6A97">
            <w:pPr>
              <w:adjustRightInd w:val="0"/>
              <w:snapToGrid w:val="0"/>
              <w:rPr>
                <w:rFonts w:ascii="Times New Roman" w:eastAsia="맑은 고딕" w:hAnsi="Times New Roman" w:cs="Times New Roman"/>
                <w:noProof/>
                <w:lang w:eastAsia="ko-KR"/>
              </w:rPr>
            </w:pPr>
            <w:r w:rsidRPr="00D05A06">
              <w:rPr>
                <w:rFonts w:ascii="Times New Roman" w:eastAsia="맑은 고딕" w:hAnsi="Times New Roman" w:cs="Times New Roman"/>
                <w:noProof/>
                <w:lang w:eastAsia="fr-FR"/>
              </w:rPr>
              <w:t>Astro-Pharma GmbH</w:t>
            </w:r>
          </w:p>
          <w:p w14:paraId="1516452A" w14:textId="77777777" w:rsidR="00C4182E" w:rsidRPr="00D05A06" w:rsidRDefault="00C4182E" w:rsidP="008D6A97">
            <w:pPr>
              <w:tabs>
                <w:tab w:val="left" w:pos="-720"/>
              </w:tabs>
              <w:suppressAutoHyphens/>
              <w:adjustRightInd w:val="0"/>
              <w:snapToGrid w:val="0"/>
              <w:rPr>
                <w:rFonts w:ascii="Times New Roman" w:eastAsia="맑은 고딕" w:hAnsi="Times New Roman" w:cs="Times New Roman"/>
                <w:noProof/>
                <w:lang w:eastAsia="fr-FR"/>
              </w:rPr>
            </w:pPr>
            <w:r w:rsidRPr="00D05A06">
              <w:rPr>
                <w:rFonts w:ascii="Times New Roman" w:eastAsia="맑은 고딕" w:hAnsi="Times New Roman" w:cs="Times New Roman"/>
                <w:noProof/>
                <w:lang w:eastAsia="fr-FR"/>
              </w:rPr>
              <w:t>Tel: +43 1 97 99 860</w:t>
            </w:r>
          </w:p>
          <w:p w14:paraId="12680B3E" w14:textId="77777777" w:rsidR="00C4182E" w:rsidRPr="00D05A06" w:rsidRDefault="00C4182E" w:rsidP="008D6A97">
            <w:pPr>
              <w:tabs>
                <w:tab w:val="left" w:pos="-720"/>
              </w:tabs>
              <w:suppressAutoHyphens/>
              <w:adjustRightInd w:val="0"/>
              <w:snapToGrid w:val="0"/>
              <w:rPr>
                <w:rFonts w:ascii="Times New Roman" w:hAnsi="Times New Roman" w:cs="Times New Roman"/>
                <w:noProof/>
                <w:lang w:eastAsia="fr-FR"/>
              </w:rPr>
            </w:pPr>
          </w:p>
        </w:tc>
      </w:tr>
      <w:tr w:rsidR="00C4182E" w14:paraId="3899E567" w14:textId="77777777" w:rsidTr="008D6A97">
        <w:tc>
          <w:tcPr>
            <w:tcW w:w="2500" w:type="pct"/>
          </w:tcPr>
          <w:p w14:paraId="2DE9E20B" w14:textId="77777777" w:rsidR="00C4182E" w:rsidRPr="008C5B9D" w:rsidRDefault="00C4182E" w:rsidP="008D6A97">
            <w:pPr>
              <w:adjustRightInd w:val="0"/>
              <w:snapToGrid w:val="0"/>
              <w:rPr>
                <w:rFonts w:ascii="Times New Roman" w:hAnsi="Times New Roman" w:cs="Times New Roman"/>
                <w:b/>
                <w:noProof/>
                <w:lang w:eastAsia="fr-FR"/>
              </w:rPr>
            </w:pPr>
            <w:r w:rsidRPr="008C5B9D">
              <w:rPr>
                <w:rFonts w:ascii="Times New Roman" w:hAnsi="Times New Roman" w:cs="Times New Roman"/>
                <w:b/>
                <w:noProof/>
                <w:lang w:eastAsia="fr-FR"/>
              </w:rPr>
              <w:t>Ελλάδα</w:t>
            </w:r>
          </w:p>
          <w:p w14:paraId="00919E1C" w14:textId="77777777" w:rsidR="00C4182E" w:rsidRPr="00811842" w:rsidRDefault="00C4182E" w:rsidP="008D6A9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ΒΙΑΝΕΞ Α.Ε.</w:t>
            </w:r>
          </w:p>
          <w:p w14:paraId="6D6B510A" w14:textId="77777777" w:rsidR="00C4182E" w:rsidRPr="00811842" w:rsidRDefault="00C4182E" w:rsidP="008D6A97">
            <w:pPr>
              <w:adjustRightInd w:val="0"/>
              <w:snapToGrid w:val="0"/>
              <w:rPr>
                <w:rFonts w:ascii="Times New Roman" w:hAnsi="Times New Roman" w:cs="Times New Roman"/>
                <w:noProof/>
                <w:lang w:eastAsia="fr-FR"/>
              </w:rPr>
            </w:pPr>
            <w:r w:rsidRPr="00811842">
              <w:rPr>
                <w:rFonts w:ascii="Times New Roman" w:hAnsi="Times New Roman" w:cs="Times New Roman"/>
                <w:noProof/>
                <w:lang w:eastAsia="fr-FR"/>
              </w:rPr>
              <w:t>Τηλ: +30 210 8009111 - 120</w:t>
            </w:r>
          </w:p>
          <w:p w14:paraId="4910E7AA"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c>
          <w:tcPr>
            <w:tcW w:w="2500" w:type="pct"/>
          </w:tcPr>
          <w:p w14:paraId="289453E1" w14:textId="77777777" w:rsidR="00C4182E" w:rsidRPr="00D05A06" w:rsidRDefault="00C4182E" w:rsidP="008D6A97">
            <w:pPr>
              <w:adjustRightInd w:val="0"/>
              <w:snapToGrid w:val="0"/>
              <w:rPr>
                <w:rFonts w:ascii="Times New Roman" w:eastAsia="맑은 고딕" w:hAnsi="Times New Roman" w:cs="Times New Roman"/>
                <w:b/>
                <w:noProof/>
                <w:lang w:eastAsia="fr-FR"/>
              </w:rPr>
            </w:pPr>
            <w:r w:rsidRPr="00811842">
              <w:rPr>
                <w:rFonts w:ascii="Times New Roman" w:eastAsia="맑은 고딕" w:hAnsi="Times New Roman" w:cs="Times New Roman"/>
                <w:b/>
                <w:noProof/>
                <w:lang w:eastAsia="fr-FR"/>
              </w:rPr>
              <w:t>Polska</w:t>
            </w:r>
          </w:p>
          <w:p w14:paraId="5D62A086" w14:textId="77777777" w:rsidR="00C4182E" w:rsidRPr="002410B7" w:rsidRDefault="00C4182E" w:rsidP="008D6A97">
            <w:pPr>
              <w:adjustRightInd w:val="0"/>
              <w:snapToGrid w:val="0"/>
              <w:rPr>
                <w:rFonts w:ascii="Times New Roman" w:eastAsia="맑은 고딕" w:hAnsi="Times New Roman" w:cs="Times New Roman"/>
                <w:noProof/>
                <w:lang w:eastAsia="fr-FR"/>
              </w:rPr>
            </w:pPr>
            <w:r w:rsidRPr="002410B7">
              <w:rPr>
                <w:rFonts w:ascii="Times New Roman" w:eastAsia="맑은 고딕" w:hAnsi="Times New Roman" w:cs="Times New Roman"/>
                <w:noProof/>
                <w:lang w:eastAsia="fr-FR"/>
              </w:rPr>
              <w:t>Celltrion Healthcare Hungary Kft.</w:t>
            </w:r>
          </w:p>
          <w:p w14:paraId="2BB520F4" w14:textId="77777777" w:rsidR="00C4182E" w:rsidRDefault="00C4182E" w:rsidP="008D6A97">
            <w:pPr>
              <w:adjustRightInd w:val="0"/>
              <w:snapToGrid w:val="0"/>
              <w:rPr>
                <w:rFonts w:ascii="Times New Roman" w:hAnsi="Times New Roman" w:cs="Times New Roman"/>
                <w:b/>
                <w:noProof/>
              </w:rPr>
            </w:pPr>
            <w:r w:rsidRPr="007E01E8">
              <w:rPr>
                <w:rFonts w:ascii="Times New Roman" w:eastAsia="맑은 고딕" w:hAnsi="Times New Roman" w:cs="Times New Roman"/>
                <w:noProof/>
                <w:lang w:eastAsia="fr-FR"/>
              </w:rPr>
              <w:t>Tel.: +36 1 231 0493</w:t>
            </w:r>
          </w:p>
          <w:p w14:paraId="5EBDF62C" w14:textId="77777777" w:rsidR="00C4182E" w:rsidRPr="00D05A06" w:rsidRDefault="00C4182E" w:rsidP="008D6A97">
            <w:pPr>
              <w:adjustRightInd w:val="0"/>
              <w:snapToGrid w:val="0"/>
              <w:rPr>
                <w:rFonts w:ascii="Times New Roman" w:hAnsi="Times New Roman" w:cs="Times New Roman"/>
                <w:b/>
                <w:noProof/>
              </w:rPr>
            </w:pPr>
          </w:p>
        </w:tc>
      </w:tr>
      <w:tr w:rsidR="00C4182E" w:rsidRPr="00225BBA" w14:paraId="1285FB21" w14:textId="77777777" w:rsidTr="008D6A97">
        <w:tc>
          <w:tcPr>
            <w:tcW w:w="2500" w:type="pct"/>
          </w:tcPr>
          <w:p w14:paraId="03027E15" w14:textId="77777777" w:rsidR="00C4182E" w:rsidRPr="008C5B9D" w:rsidRDefault="00C4182E" w:rsidP="008D6A97">
            <w:pPr>
              <w:adjustRightInd w:val="0"/>
              <w:snapToGrid w:val="0"/>
              <w:rPr>
                <w:rFonts w:ascii="Times New Roman" w:hAnsi="Times New Roman" w:cs="Times New Roman"/>
                <w:b/>
                <w:noProof/>
                <w:lang w:eastAsia="ko-KR"/>
              </w:rPr>
            </w:pPr>
            <w:r w:rsidRPr="008C5B9D">
              <w:rPr>
                <w:rFonts w:ascii="Times New Roman" w:hAnsi="Times New Roman" w:cs="Times New Roman"/>
                <w:b/>
                <w:noProof/>
                <w:lang w:eastAsia="ko-KR"/>
              </w:rPr>
              <w:t>France</w:t>
            </w:r>
          </w:p>
          <w:p w14:paraId="11ABA10E" w14:textId="77777777" w:rsidR="00C4182E" w:rsidRPr="00811842" w:rsidRDefault="00C4182E" w:rsidP="008D6A9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CELLTRION HEALTHCARE FRANCE SAS</w:t>
            </w:r>
          </w:p>
          <w:p w14:paraId="004E5D20" w14:textId="77777777" w:rsidR="00C4182E" w:rsidRPr="00811842" w:rsidRDefault="00C4182E" w:rsidP="008D6A97">
            <w:pPr>
              <w:adjustRightInd w:val="0"/>
              <w:snapToGrid w:val="0"/>
              <w:rPr>
                <w:rFonts w:ascii="Times New Roman" w:eastAsia="맑은 고딕" w:hAnsi="Times New Roman" w:cs="Times New Roman"/>
                <w:noProof/>
                <w:lang w:eastAsia="ko-KR"/>
              </w:rPr>
            </w:pPr>
            <w:r w:rsidRPr="00811842">
              <w:rPr>
                <w:rFonts w:ascii="Times New Roman" w:hAnsi="Times New Roman" w:cs="Times New Roman"/>
                <w:noProof/>
                <w:lang w:eastAsia="ko-KR"/>
              </w:rPr>
              <w:t>Tél.: +33 (0)1 71 25 27 00</w:t>
            </w:r>
          </w:p>
          <w:p w14:paraId="5957403B"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c>
          <w:tcPr>
            <w:tcW w:w="2500" w:type="pct"/>
            <w:tcMar>
              <w:right w:w="108" w:type="dxa"/>
            </w:tcMar>
          </w:tcPr>
          <w:p w14:paraId="03480CB4" w14:textId="77777777" w:rsidR="00C4182E" w:rsidRPr="00D05A06" w:rsidRDefault="00C4182E" w:rsidP="008D6A97">
            <w:pPr>
              <w:autoSpaceDE w:val="0"/>
              <w:autoSpaceDN w:val="0"/>
              <w:adjustRightInd w:val="0"/>
              <w:snapToGrid w:val="0"/>
              <w:rPr>
                <w:rFonts w:ascii="Times New Roman" w:hAnsi="Times New Roman" w:cs="Times New Roman"/>
                <w:noProof/>
                <w:lang w:val="fr-CA" w:eastAsia="fr-FR"/>
              </w:rPr>
            </w:pPr>
            <w:r w:rsidRPr="00811842">
              <w:rPr>
                <w:rFonts w:ascii="Times New Roman" w:eastAsia="맑은 고딕" w:hAnsi="Times New Roman" w:cs="Times New Roman"/>
                <w:b/>
                <w:noProof/>
                <w:lang w:val="fr-CA" w:eastAsia="fr-FR"/>
              </w:rPr>
              <w:t>Portugal</w:t>
            </w:r>
          </w:p>
          <w:p w14:paraId="7E1BFB27" w14:textId="77777777" w:rsidR="00C4182E" w:rsidRPr="00D05A06" w:rsidRDefault="00C4182E" w:rsidP="008D6A97">
            <w:pPr>
              <w:autoSpaceDE w:val="0"/>
              <w:autoSpaceDN w:val="0"/>
              <w:adjustRightInd w:val="0"/>
              <w:snapToGrid w:val="0"/>
              <w:rPr>
                <w:rFonts w:ascii="Times New Roman" w:eastAsia="맑은 고딕" w:hAnsi="Times New Roman" w:cs="Times New Roman"/>
                <w:noProof/>
                <w:lang w:val="fr-CA" w:eastAsia="ko-KR"/>
              </w:rPr>
            </w:pPr>
            <w:r w:rsidRPr="002A2405">
              <w:rPr>
                <w:rFonts w:ascii="Times New Roman" w:eastAsia="맑은 고딕" w:hAnsi="Times New Roman" w:cs="Times New Roman"/>
                <w:noProof/>
                <w:lang w:val="fr-CA" w:eastAsia="fr-FR"/>
              </w:rPr>
              <w:t>CELLTRION PORTUGAL, UNIPESSOAL LDA</w:t>
            </w:r>
          </w:p>
          <w:p w14:paraId="127EF5FE" w14:textId="77777777" w:rsidR="00C4182E" w:rsidRPr="00EC2F90" w:rsidRDefault="00C4182E" w:rsidP="008D6A97">
            <w:pPr>
              <w:adjustRightInd w:val="0"/>
              <w:snapToGrid w:val="0"/>
              <w:rPr>
                <w:rFonts w:ascii="Times New Roman" w:eastAsia="맑은 고딕" w:hAnsi="Times New Roman" w:cs="Times New Roman"/>
                <w:noProof/>
                <w:lang w:val="fr-CA" w:eastAsia="ko-KR"/>
              </w:rPr>
            </w:pPr>
            <w:r w:rsidRPr="00EC2F90">
              <w:rPr>
                <w:rFonts w:ascii="Times New Roman" w:eastAsia="맑은 고딕" w:hAnsi="Times New Roman" w:cs="Times New Roman"/>
                <w:noProof/>
                <w:lang w:val="fr-CA" w:eastAsia="fr-FR"/>
              </w:rPr>
              <w:t>Tel: +351 21 936 8542</w:t>
            </w:r>
          </w:p>
          <w:p w14:paraId="2BAFCE31" w14:textId="77777777" w:rsidR="00C4182E" w:rsidRPr="00EC2F90" w:rsidRDefault="00C4182E" w:rsidP="008D6A97">
            <w:pPr>
              <w:adjustRightInd w:val="0"/>
              <w:snapToGrid w:val="0"/>
              <w:rPr>
                <w:rFonts w:ascii="Times New Roman" w:hAnsi="Times New Roman" w:cs="Times New Roman"/>
                <w:b/>
                <w:noProof/>
                <w:lang w:val="fr-CA"/>
              </w:rPr>
            </w:pPr>
          </w:p>
        </w:tc>
      </w:tr>
      <w:tr w:rsidR="00C4182E" w14:paraId="23C8962F" w14:textId="77777777" w:rsidTr="008D6A97">
        <w:tc>
          <w:tcPr>
            <w:tcW w:w="2500" w:type="pct"/>
          </w:tcPr>
          <w:p w14:paraId="38FFE5D9" w14:textId="77777777" w:rsidR="00C4182E" w:rsidRPr="008C5B9D" w:rsidRDefault="00C4182E" w:rsidP="008D6A97">
            <w:pPr>
              <w:adjustRightInd w:val="0"/>
              <w:snapToGrid w:val="0"/>
              <w:rPr>
                <w:rFonts w:ascii="Times New Roman" w:hAnsi="Times New Roman" w:cs="Times New Roman"/>
                <w:b/>
                <w:noProof/>
                <w:lang w:eastAsia="ko-KR"/>
              </w:rPr>
            </w:pPr>
            <w:r w:rsidRPr="008C5B9D">
              <w:rPr>
                <w:rFonts w:ascii="Times New Roman" w:hAnsi="Times New Roman" w:cs="Times New Roman"/>
                <w:b/>
                <w:noProof/>
                <w:lang w:eastAsia="ko-KR"/>
              </w:rPr>
              <w:t>Hrvatska</w:t>
            </w:r>
          </w:p>
          <w:p w14:paraId="4C218CE6" w14:textId="77777777" w:rsidR="00C4182E" w:rsidRPr="00811842" w:rsidRDefault="00C4182E" w:rsidP="008D6A9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Oktal Pharma d.o.o.</w:t>
            </w:r>
          </w:p>
          <w:p w14:paraId="3E272FF1" w14:textId="77777777" w:rsidR="00C4182E" w:rsidRPr="00811842" w:rsidRDefault="00C4182E" w:rsidP="008D6A97">
            <w:pPr>
              <w:adjustRightInd w:val="0"/>
              <w:snapToGrid w:val="0"/>
              <w:rPr>
                <w:rFonts w:ascii="Times New Roman" w:hAnsi="Times New Roman" w:cs="Times New Roman"/>
                <w:noProof/>
                <w:lang w:eastAsia="ko-KR"/>
              </w:rPr>
            </w:pPr>
            <w:r w:rsidRPr="00811842">
              <w:rPr>
                <w:rFonts w:ascii="Times New Roman" w:hAnsi="Times New Roman" w:cs="Times New Roman"/>
                <w:noProof/>
                <w:lang w:eastAsia="ko-KR"/>
              </w:rPr>
              <w:t>Tel: +385 1 6595 777</w:t>
            </w:r>
          </w:p>
          <w:p w14:paraId="006708F8"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c>
          <w:tcPr>
            <w:tcW w:w="2500" w:type="pct"/>
          </w:tcPr>
          <w:p w14:paraId="0BCFD276" w14:textId="77777777" w:rsidR="00C4182E" w:rsidRPr="00BA3060" w:rsidRDefault="00C4182E" w:rsidP="008D6A97">
            <w:pPr>
              <w:tabs>
                <w:tab w:val="left" w:pos="-720"/>
              </w:tabs>
              <w:suppressAutoHyphens/>
              <w:adjustRightInd w:val="0"/>
              <w:snapToGrid w:val="0"/>
              <w:rPr>
                <w:rFonts w:ascii="Times New Roman" w:eastAsia="맑은 고딕" w:hAnsi="Times New Roman" w:cs="Times New Roman"/>
                <w:b/>
                <w:noProof/>
                <w:lang w:eastAsia="fr-FR"/>
              </w:rPr>
            </w:pPr>
            <w:r w:rsidRPr="00BA3060">
              <w:rPr>
                <w:rFonts w:ascii="Times New Roman" w:hAnsi="Times New Roman" w:cs="Times New Roman"/>
                <w:b/>
                <w:noProof/>
              </w:rPr>
              <w:t>România</w:t>
            </w:r>
          </w:p>
          <w:p w14:paraId="3EC9AD78" w14:textId="77777777" w:rsidR="00C4182E" w:rsidRPr="00BA3060" w:rsidRDefault="00C4182E" w:rsidP="008D6A97">
            <w:pPr>
              <w:pStyle w:val="Default"/>
              <w:rPr>
                <w:sz w:val="22"/>
                <w:szCs w:val="22"/>
              </w:rPr>
            </w:pPr>
            <w:r w:rsidRPr="00BA3060">
              <w:rPr>
                <w:sz w:val="22"/>
                <w:szCs w:val="22"/>
              </w:rPr>
              <w:t xml:space="preserve">Celltrion Healthcare Hungary Kft. </w:t>
            </w:r>
          </w:p>
          <w:p w14:paraId="5A10AA14" w14:textId="77777777" w:rsidR="00C4182E" w:rsidRPr="00BA3060" w:rsidRDefault="00C4182E" w:rsidP="008D6A97">
            <w:pPr>
              <w:tabs>
                <w:tab w:val="left" w:pos="-720"/>
              </w:tabs>
              <w:suppressAutoHyphens/>
              <w:adjustRightInd w:val="0"/>
              <w:snapToGrid w:val="0"/>
              <w:rPr>
                <w:rFonts w:ascii="Times New Roman" w:eastAsia="맑은 고딕" w:hAnsi="Times New Roman" w:cs="Times New Roman"/>
                <w:noProof/>
                <w:lang w:eastAsia="fr-FR"/>
              </w:rPr>
            </w:pPr>
            <w:r w:rsidRPr="00BA3060">
              <w:rPr>
                <w:rFonts w:ascii="Times New Roman" w:eastAsia="SimSun" w:hAnsi="Times New Roman" w:cs="Times New Roman"/>
                <w:color w:val="000000"/>
                <w:lang w:eastAsia="zh-CN"/>
              </w:rPr>
              <w:t>Tel: +36 1 231 0493</w:t>
            </w:r>
          </w:p>
          <w:p w14:paraId="4C59957C" w14:textId="77777777" w:rsidR="00C4182E" w:rsidRPr="00BA3060" w:rsidRDefault="00C4182E" w:rsidP="008D6A97">
            <w:pPr>
              <w:adjustRightInd w:val="0"/>
              <w:snapToGrid w:val="0"/>
              <w:rPr>
                <w:rFonts w:ascii="Times New Roman" w:hAnsi="Times New Roman" w:cs="Times New Roman"/>
                <w:b/>
                <w:noProof/>
              </w:rPr>
            </w:pPr>
          </w:p>
        </w:tc>
      </w:tr>
      <w:tr w:rsidR="00C4182E" w14:paraId="197A80C0" w14:textId="77777777" w:rsidTr="008D6A97">
        <w:tc>
          <w:tcPr>
            <w:tcW w:w="2500" w:type="pct"/>
          </w:tcPr>
          <w:p w14:paraId="61363E46" w14:textId="77777777" w:rsidR="00C4182E" w:rsidRPr="008C5B9D" w:rsidRDefault="00C4182E" w:rsidP="008D6A97">
            <w:pPr>
              <w:tabs>
                <w:tab w:val="left" w:pos="-720"/>
              </w:tabs>
              <w:suppressAutoHyphens/>
              <w:adjustRightInd w:val="0"/>
              <w:snapToGrid w:val="0"/>
              <w:rPr>
                <w:rFonts w:ascii="Times New Roman" w:hAnsi="Times New Roman" w:cs="Times New Roman"/>
                <w:noProof/>
                <w:lang w:eastAsia="fr-FR"/>
              </w:rPr>
            </w:pPr>
            <w:r w:rsidRPr="008C5B9D">
              <w:rPr>
                <w:rFonts w:ascii="Times New Roman" w:eastAsia="맑은 고딕" w:hAnsi="Times New Roman" w:cs="Times New Roman"/>
                <w:b/>
                <w:noProof/>
                <w:lang w:eastAsia="fr-FR"/>
              </w:rPr>
              <w:t>Ireland</w:t>
            </w:r>
          </w:p>
          <w:p w14:paraId="78FFDBEB" w14:textId="77777777" w:rsidR="00C4182E" w:rsidRDefault="00C4182E" w:rsidP="008D6A97">
            <w:pPr>
              <w:adjustRightInd w:val="0"/>
              <w:snapToGrid w:val="0"/>
              <w:rPr>
                <w:rFonts w:ascii="Times New Roman" w:hAnsi="Times New Roman" w:cs="Times New Roman"/>
              </w:rPr>
            </w:pPr>
            <w:r w:rsidRPr="00131FCB">
              <w:rPr>
                <w:rFonts w:ascii="Times New Roman" w:hAnsi="Times New Roman" w:cs="Times New Roman"/>
              </w:rPr>
              <w:t xml:space="preserve">Celltrion Healthcare Ireland Limited </w:t>
            </w:r>
          </w:p>
          <w:p w14:paraId="0AA4B412" w14:textId="77777777" w:rsidR="00C4182E" w:rsidRPr="008C5B9D" w:rsidRDefault="00C4182E" w:rsidP="008D6A97">
            <w:pPr>
              <w:adjustRightInd w:val="0"/>
              <w:snapToGrid w:val="0"/>
              <w:rPr>
                <w:rFonts w:ascii="Times New Roman" w:eastAsia="맑은 고딕" w:hAnsi="Times New Roman" w:cs="Times New Roman"/>
                <w:noProof/>
                <w:lang w:eastAsia="fr-FR"/>
              </w:rPr>
            </w:pPr>
            <w:r w:rsidRPr="00131FCB">
              <w:rPr>
                <w:rFonts w:ascii="Times New Roman" w:hAnsi="Times New Roman" w:cs="Times New Roman"/>
              </w:rPr>
              <w:t>Tel: +353 1 223 4026</w:t>
            </w:r>
          </w:p>
          <w:p w14:paraId="6B9CC704"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c>
          <w:tcPr>
            <w:tcW w:w="2500" w:type="pct"/>
          </w:tcPr>
          <w:p w14:paraId="788BD24B" w14:textId="77777777" w:rsidR="00C4182E" w:rsidRPr="00BA3060" w:rsidRDefault="00C4182E" w:rsidP="008D6A97">
            <w:pPr>
              <w:adjustRightInd w:val="0"/>
              <w:snapToGrid w:val="0"/>
              <w:rPr>
                <w:rFonts w:ascii="Times New Roman" w:eastAsia="맑은 고딕" w:hAnsi="Times New Roman" w:cs="Times New Roman"/>
                <w:b/>
                <w:noProof/>
                <w:lang w:eastAsia="fr-FR"/>
              </w:rPr>
            </w:pPr>
            <w:r w:rsidRPr="00BA3060">
              <w:rPr>
                <w:rFonts w:ascii="Times New Roman" w:eastAsia="맑은 고딕" w:hAnsi="Times New Roman" w:cs="Times New Roman"/>
                <w:b/>
                <w:noProof/>
                <w:lang w:eastAsia="fr-FR"/>
              </w:rPr>
              <w:t>Slovenija</w:t>
            </w:r>
          </w:p>
          <w:p w14:paraId="270F928A" w14:textId="77777777" w:rsidR="00C4182E" w:rsidRPr="00BA3060" w:rsidRDefault="00C4182E" w:rsidP="008D6A97">
            <w:pPr>
              <w:adjustRightInd w:val="0"/>
              <w:snapToGrid w:val="0"/>
              <w:rPr>
                <w:rFonts w:ascii="Times New Roman" w:eastAsia="맑은 고딕" w:hAnsi="Times New Roman" w:cs="Times New Roman"/>
                <w:noProof/>
                <w:lang w:eastAsia="fr-FR"/>
              </w:rPr>
            </w:pPr>
            <w:r w:rsidRPr="00BA3060">
              <w:rPr>
                <w:rFonts w:ascii="Times New Roman" w:eastAsia="맑은 고딕" w:hAnsi="Times New Roman" w:cs="Times New Roman"/>
                <w:noProof/>
                <w:lang w:eastAsia="fr-FR"/>
              </w:rPr>
              <w:t>OPH Oktal Pharma d.o.o.</w:t>
            </w:r>
          </w:p>
          <w:p w14:paraId="1B758563" w14:textId="77777777" w:rsidR="00C4182E" w:rsidRPr="00BA3060" w:rsidRDefault="00C4182E" w:rsidP="008D6A97">
            <w:pPr>
              <w:adjustRightInd w:val="0"/>
              <w:snapToGrid w:val="0"/>
              <w:rPr>
                <w:rFonts w:ascii="Times New Roman" w:eastAsia="맑은 고딕" w:hAnsi="Times New Roman" w:cs="Times New Roman"/>
                <w:noProof/>
                <w:lang w:eastAsia="fr-FR"/>
              </w:rPr>
            </w:pPr>
            <w:r w:rsidRPr="00BA3060">
              <w:rPr>
                <w:rFonts w:ascii="Times New Roman" w:eastAsia="맑은 고딕" w:hAnsi="Times New Roman" w:cs="Times New Roman"/>
                <w:noProof/>
                <w:lang w:eastAsia="fr-FR"/>
              </w:rPr>
              <w:t>Tel.: +386 1 519 29 22</w:t>
            </w:r>
          </w:p>
          <w:p w14:paraId="068AE4DC" w14:textId="77777777" w:rsidR="00C4182E" w:rsidRPr="00BA3060" w:rsidRDefault="00C4182E" w:rsidP="008D6A97">
            <w:pPr>
              <w:adjustRightInd w:val="0"/>
              <w:snapToGrid w:val="0"/>
              <w:rPr>
                <w:rFonts w:ascii="Times New Roman" w:hAnsi="Times New Roman" w:cs="Times New Roman"/>
                <w:b/>
                <w:noProof/>
              </w:rPr>
            </w:pPr>
          </w:p>
        </w:tc>
      </w:tr>
      <w:tr w:rsidR="00C4182E" w14:paraId="0A2FE3EF" w14:textId="77777777" w:rsidTr="008D6A97">
        <w:tc>
          <w:tcPr>
            <w:tcW w:w="2500" w:type="pct"/>
          </w:tcPr>
          <w:p w14:paraId="0BA9FB67" w14:textId="77777777" w:rsidR="00C4182E" w:rsidRPr="008C5B9D" w:rsidRDefault="00C4182E" w:rsidP="008D6A97">
            <w:pPr>
              <w:adjustRightInd w:val="0"/>
              <w:snapToGrid w:val="0"/>
              <w:rPr>
                <w:rFonts w:ascii="Times New Roman" w:eastAsia="맑은 고딕" w:hAnsi="Times New Roman" w:cs="Times New Roman"/>
                <w:noProof/>
                <w:lang w:eastAsia="fr-FR"/>
              </w:rPr>
            </w:pPr>
            <w:r w:rsidRPr="008C5B9D">
              <w:rPr>
                <w:rFonts w:ascii="Times New Roman" w:eastAsia="맑은 고딕" w:hAnsi="Times New Roman" w:cs="Times New Roman"/>
                <w:b/>
                <w:noProof/>
                <w:lang w:eastAsia="fr-FR"/>
              </w:rPr>
              <w:t>Ísland</w:t>
            </w:r>
          </w:p>
          <w:p w14:paraId="131E53FF" w14:textId="77777777" w:rsidR="00C4182E" w:rsidRDefault="00C4182E" w:rsidP="008D6A97">
            <w:pPr>
              <w:adjustRightInd w:val="0"/>
              <w:snapToGrid w:val="0"/>
              <w:rPr>
                <w:rFonts w:ascii="Times New Roman" w:hAnsi="Times New Roman" w:cs="Times New Roman"/>
              </w:rPr>
            </w:pPr>
            <w:r w:rsidRPr="00131FCB">
              <w:rPr>
                <w:rFonts w:ascii="Times New Roman" w:hAnsi="Times New Roman" w:cs="Times New Roman"/>
              </w:rPr>
              <w:t xml:space="preserve">Celltrion Healthcare Hungary Kft. </w:t>
            </w:r>
          </w:p>
          <w:p w14:paraId="0D890C3F" w14:textId="77777777" w:rsidR="00C4182E" w:rsidRPr="008C5B9D" w:rsidRDefault="00C4182E" w:rsidP="008D6A97">
            <w:pPr>
              <w:adjustRightInd w:val="0"/>
              <w:snapToGrid w:val="0"/>
              <w:rPr>
                <w:rFonts w:ascii="Times New Roman" w:eastAsia="맑은 고딕" w:hAnsi="Times New Roman" w:cs="Times New Roman"/>
                <w:noProof/>
                <w:lang w:eastAsia="fr-FR"/>
              </w:rPr>
            </w:pPr>
            <w:r w:rsidRPr="00131FCB">
              <w:rPr>
                <w:rFonts w:ascii="Times New Roman" w:hAnsi="Times New Roman" w:cs="Times New Roman"/>
              </w:rPr>
              <w:t>Sími: +36 1 231 0493</w:t>
            </w:r>
          </w:p>
          <w:p w14:paraId="5DA77F9D"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c>
          <w:tcPr>
            <w:tcW w:w="2500" w:type="pct"/>
          </w:tcPr>
          <w:p w14:paraId="7DD782BF" w14:textId="77777777" w:rsidR="00C4182E" w:rsidRPr="00811842" w:rsidRDefault="00C4182E" w:rsidP="008D6A97">
            <w:pPr>
              <w:adjustRightInd w:val="0"/>
              <w:snapToGrid w:val="0"/>
              <w:rPr>
                <w:rFonts w:ascii="Times New Roman" w:eastAsia="맑은 고딕" w:hAnsi="Times New Roman" w:cs="Times New Roman"/>
                <w:b/>
                <w:noProof/>
                <w:lang w:eastAsia="fr-FR"/>
              </w:rPr>
            </w:pPr>
            <w:r w:rsidRPr="00811842">
              <w:rPr>
                <w:rFonts w:ascii="Times New Roman" w:hAnsi="Times New Roman" w:cs="Times New Roman"/>
                <w:b/>
                <w:noProof/>
              </w:rPr>
              <w:t>Slovenská republika</w:t>
            </w:r>
          </w:p>
          <w:p w14:paraId="4FBFDBFC" w14:textId="77777777" w:rsidR="00C4182E" w:rsidRPr="002410B7" w:rsidRDefault="00C4182E" w:rsidP="008D6A97">
            <w:pPr>
              <w:adjustRightInd w:val="0"/>
              <w:snapToGrid w:val="0"/>
              <w:rPr>
                <w:rFonts w:ascii="Times New Roman" w:eastAsia="맑은 고딕" w:hAnsi="Times New Roman" w:cs="Times New Roman"/>
                <w:noProof/>
                <w:lang w:eastAsia="fr-FR"/>
              </w:rPr>
            </w:pPr>
            <w:r w:rsidRPr="002410B7">
              <w:rPr>
                <w:rFonts w:ascii="Times New Roman" w:eastAsia="맑은 고딕" w:hAnsi="Times New Roman" w:cs="Times New Roman"/>
                <w:noProof/>
                <w:lang w:eastAsia="fr-FR"/>
              </w:rPr>
              <w:t>Celltrion Healthcare Hungary Kft.</w:t>
            </w:r>
          </w:p>
          <w:p w14:paraId="0E674378" w14:textId="77777777" w:rsidR="00C4182E" w:rsidRPr="002410B7" w:rsidRDefault="00C4182E" w:rsidP="008D6A97">
            <w:pPr>
              <w:adjustRightInd w:val="0"/>
              <w:snapToGrid w:val="0"/>
              <w:rPr>
                <w:rFonts w:ascii="Times New Roman" w:eastAsia="맑은 고딕" w:hAnsi="Times New Roman" w:cs="Times New Roman"/>
                <w:b/>
                <w:noProof/>
                <w:lang w:eastAsia="fr-FR"/>
              </w:rPr>
            </w:pPr>
            <w:r w:rsidRPr="007E01E8">
              <w:rPr>
                <w:rFonts w:ascii="Times New Roman" w:eastAsia="맑은 고딕" w:hAnsi="Times New Roman" w:cs="Times New Roman"/>
                <w:noProof/>
                <w:lang w:eastAsia="fr-FR"/>
              </w:rPr>
              <w:t>Tel: +36 1 231 0493</w:t>
            </w:r>
          </w:p>
          <w:p w14:paraId="2A93FBCE" w14:textId="77777777" w:rsidR="00C4182E" w:rsidRPr="002410B7" w:rsidRDefault="00C4182E" w:rsidP="008D6A97">
            <w:pPr>
              <w:adjustRightInd w:val="0"/>
              <w:snapToGrid w:val="0"/>
              <w:rPr>
                <w:rFonts w:ascii="Times New Roman" w:eastAsia="맑은 고딕" w:hAnsi="Times New Roman" w:cs="Times New Roman"/>
                <w:b/>
                <w:noProof/>
                <w:lang w:eastAsia="fr-FR"/>
              </w:rPr>
            </w:pPr>
          </w:p>
        </w:tc>
      </w:tr>
      <w:tr w:rsidR="00C4182E" w14:paraId="7DA58E55" w14:textId="77777777" w:rsidTr="008D6A97">
        <w:tc>
          <w:tcPr>
            <w:tcW w:w="2500" w:type="pct"/>
          </w:tcPr>
          <w:p w14:paraId="6A47EFFC" w14:textId="77777777" w:rsidR="00C4182E" w:rsidRPr="008C5B9D" w:rsidRDefault="00C4182E" w:rsidP="008D6A97">
            <w:pPr>
              <w:adjustRightInd w:val="0"/>
              <w:snapToGrid w:val="0"/>
              <w:rPr>
                <w:rFonts w:ascii="Times New Roman" w:hAnsi="Times New Roman" w:cs="Times New Roman"/>
                <w:noProof/>
                <w:lang w:eastAsia="fr-FR"/>
              </w:rPr>
            </w:pPr>
            <w:r w:rsidRPr="008C5B9D">
              <w:rPr>
                <w:rFonts w:ascii="Times New Roman" w:eastAsia="맑은 고딕" w:hAnsi="Times New Roman" w:cs="Times New Roman"/>
                <w:b/>
                <w:noProof/>
                <w:lang w:eastAsia="fr-FR"/>
              </w:rPr>
              <w:t>Italia</w:t>
            </w:r>
          </w:p>
          <w:p w14:paraId="64CE7E2C" w14:textId="77777777" w:rsidR="00C4182E" w:rsidRDefault="00C4182E" w:rsidP="008D6A97">
            <w:pPr>
              <w:adjustRightInd w:val="0"/>
              <w:snapToGrid w:val="0"/>
              <w:rPr>
                <w:rFonts w:ascii="Times New Roman" w:hAnsi="Times New Roman" w:cs="Times New Roman"/>
              </w:rPr>
            </w:pPr>
            <w:r w:rsidRPr="00131FCB">
              <w:rPr>
                <w:rFonts w:ascii="Times New Roman" w:hAnsi="Times New Roman" w:cs="Times New Roman"/>
              </w:rPr>
              <w:t xml:space="preserve">Celltrion Healthcare Italy S.R.L. </w:t>
            </w:r>
          </w:p>
          <w:p w14:paraId="60CB3FD7" w14:textId="77777777" w:rsidR="00C4182E" w:rsidRPr="008C5B9D" w:rsidRDefault="00C4182E" w:rsidP="008D6A97">
            <w:pPr>
              <w:adjustRightInd w:val="0"/>
              <w:snapToGrid w:val="0"/>
              <w:rPr>
                <w:rFonts w:ascii="Times New Roman" w:eastAsia="맑은 고딕" w:hAnsi="Times New Roman" w:cs="Times New Roman"/>
                <w:noProof/>
                <w:lang w:eastAsia="fr-FR"/>
              </w:rPr>
            </w:pPr>
            <w:r w:rsidRPr="00131FCB">
              <w:rPr>
                <w:rFonts w:ascii="Times New Roman" w:hAnsi="Times New Roman" w:cs="Times New Roman"/>
              </w:rPr>
              <w:t>Tel: +39 02</w:t>
            </w:r>
            <w:r>
              <w:rPr>
                <w:rFonts w:ascii="Times New Roman" w:hAnsi="Times New Roman" w:cs="Times New Roman"/>
              </w:rPr>
              <w:t>47927040</w:t>
            </w:r>
          </w:p>
          <w:p w14:paraId="705CFD7C" w14:textId="77777777" w:rsidR="00C4182E" w:rsidRPr="00811842" w:rsidRDefault="00C4182E" w:rsidP="008D6A97">
            <w:pPr>
              <w:adjustRightInd w:val="0"/>
              <w:snapToGrid w:val="0"/>
              <w:rPr>
                <w:rFonts w:ascii="Times New Roman" w:eastAsia="맑은 고딕" w:hAnsi="Times New Roman" w:cs="Times New Roman"/>
                <w:noProof/>
                <w:lang w:eastAsia="fr-FR"/>
              </w:rPr>
            </w:pPr>
          </w:p>
        </w:tc>
        <w:tc>
          <w:tcPr>
            <w:tcW w:w="2500" w:type="pct"/>
          </w:tcPr>
          <w:p w14:paraId="3A756AD8" w14:textId="77777777" w:rsidR="00C4182E" w:rsidRPr="00267BCE" w:rsidRDefault="00C4182E" w:rsidP="008D6A97">
            <w:pPr>
              <w:adjustRightInd w:val="0"/>
              <w:snapToGrid w:val="0"/>
              <w:rPr>
                <w:rFonts w:ascii="Times New Roman" w:hAnsi="Times New Roman" w:cs="Times New Roman"/>
                <w:noProof/>
                <w:lang w:eastAsia="fr-FR"/>
              </w:rPr>
            </w:pPr>
            <w:r w:rsidRPr="00267BCE">
              <w:rPr>
                <w:rFonts w:ascii="Times New Roman" w:eastAsia="맑은 고딕" w:hAnsi="Times New Roman" w:cs="Times New Roman"/>
                <w:b/>
                <w:noProof/>
                <w:lang w:eastAsia="fr-FR"/>
              </w:rPr>
              <w:t>Suomi/Finland</w:t>
            </w:r>
          </w:p>
          <w:p w14:paraId="4590B06B" w14:textId="77777777" w:rsidR="00C4182E" w:rsidRPr="00FF6E98" w:rsidRDefault="00C4182E" w:rsidP="008D6A97">
            <w:pPr>
              <w:autoSpaceDE w:val="0"/>
              <w:autoSpaceDN w:val="0"/>
              <w:adjustRightInd w:val="0"/>
              <w:snapToGrid w:val="0"/>
              <w:rPr>
                <w:rFonts w:ascii="Times New Roman" w:hAnsi="Times New Roman" w:cs="Times New Roman"/>
              </w:rPr>
            </w:pPr>
            <w:r w:rsidRPr="00FF6E98">
              <w:rPr>
                <w:rFonts w:ascii="Times New Roman" w:hAnsi="Times New Roman" w:cs="Times New Roman"/>
              </w:rPr>
              <w:t>Celltrion Healthcare Finland Oy.</w:t>
            </w:r>
          </w:p>
          <w:p w14:paraId="0B1DAE12" w14:textId="77777777" w:rsidR="00800056" w:rsidRDefault="00C4182E" w:rsidP="008D6A97">
            <w:pPr>
              <w:autoSpaceDE w:val="0"/>
              <w:autoSpaceDN w:val="0"/>
              <w:adjustRightInd w:val="0"/>
              <w:snapToGrid w:val="0"/>
              <w:rPr>
                <w:ins w:id="35" w:author="만든 이"/>
                <w:rFonts w:ascii="Times New Roman" w:eastAsia="맑은 고딕" w:hAnsi="Times New Roman" w:cs="Times New Roman"/>
                <w:noProof/>
                <w:lang w:eastAsia="ko-KR"/>
              </w:rPr>
            </w:pPr>
            <w:r w:rsidRPr="00FF6E98">
              <w:rPr>
                <w:rFonts w:ascii="Times New Roman" w:hAnsi="Times New Roman" w:cs="Times New Roman"/>
              </w:rPr>
              <w:t>Puh/Tel: +358 29 170 7755</w:t>
            </w:r>
          </w:p>
          <w:p w14:paraId="00094DFB" w14:textId="20545149" w:rsidR="00BA25AD" w:rsidRPr="00BA25AD" w:rsidRDefault="00BA25AD" w:rsidP="008D6A97">
            <w:pPr>
              <w:autoSpaceDE w:val="0"/>
              <w:autoSpaceDN w:val="0"/>
              <w:adjustRightInd w:val="0"/>
              <w:snapToGrid w:val="0"/>
              <w:rPr>
                <w:ins w:id="36" w:author="만든 이"/>
                <w:rFonts w:ascii="Times New Roman" w:eastAsia="맑은 고딕" w:hAnsi="Times New Roman" w:cs="Times New Roman"/>
                <w:noProof/>
                <w:lang w:eastAsia="ko-KR"/>
              </w:rPr>
            </w:pPr>
            <w:ins w:id="37" w:author="만든 이">
              <w:r w:rsidRPr="00BA25AD">
                <w:rPr>
                  <w:rFonts w:ascii="Times New Roman" w:eastAsia="맑은 고딕" w:hAnsi="Times New Roman" w:cs="Times New Roman"/>
                  <w:noProof/>
                  <w:lang w:eastAsia="ko-KR"/>
                </w:rPr>
                <w:t>contact_fi@celltrionhc.com</w:t>
              </w:r>
            </w:ins>
          </w:p>
          <w:p w14:paraId="5ACCCB71" w14:textId="69B37E18" w:rsidR="00BA25AD" w:rsidRPr="00267BCE" w:rsidRDefault="00BA25AD" w:rsidP="008D6A97">
            <w:pPr>
              <w:autoSpaceDE w:val="0"/>
              <w:autoSpaceDN w:val="0"/>
              <w:adjustRightInd w:val="0"/>
              <w:snapToGrid w:val="0"/>
              <w:rPr>
                <w:rFonts w:ascii="Times New Roman" w:eastAsia="맑은 고딕" w:hAnsi="Times New Roman" w:cs="Times New Roman"/>
                <w:noProof/>
                <w:lang w:eastAsia="ko-KR"/>
              </w:rPr>
            </w:pPr>
          </w:p>
        </w:tc>
      </w:tr>
      <w:tr w:rsidR="00C4182E" w14:paraId="6243BFE3" w14:textId="77777777" w:rsidTr="008D6A97">
        <w:tc>
          <w:tcPr>
            <w:tcW w:w="2500" w:type="pct"/>
          </w:tcPr>
          <w:p w14:paraId="53523C61" w14:textId="77777777" w:rsidR="00C4182E" w:rsidRPr="00BA3060" w:rsidRDefault="00C4182E" w:rsidP="008D6A97">
            <w:pPr>
              <w:keepNext/>
              <w:keepLines/>
              <w:tabs>
                <w:tab w:val="left" w:pos="-720"/>
              </w:tabs>
              <w:suppressAutoHyphens/>
              <w:adjustRightInd w:val="0"/>
              <w:snapToGrid w:val="0"/>
              <w:rPr>
                <w:rFonts w:ascii="Times New Roman" w:hAnsi="Times New Roman" w:cs="Times New Roman"/>
                <w:b/>
                <w:bCs/>
                <w:noProof/>
                <w:lang w:eastAsia="fr-FR"/>
              </w:rPr>
            </w:pPr>
            <w:r w:rsidRPr="00BA3060">
              <w:rPr>
                <w:rFonts w:ascii="Times New Roman" w:hAnsi="Times New Roman" w:cs="Times New Roman"/>
                <w:b/>
                <w:noProof/>
              </w:rPr>
              <w:lastRenderedPageBreak/>
              <w:t>Κύπρος</w:t>
            </w:r>
          </w:p>
          <w:p w14:paraId="14E3257D" w14:textId="77777777" w:rsidR="00C4182E" w:rsidRPr="00BA3060" w:rsidRDefault="00C4182E" w:rsidP="008D6A97">
            <w:pPr>
              <w:keepNext/>
              <w:keepLines/>
              <w:tabs>
                <w:tab w:val="left" w:pos="-720"/>
              </w:tabs>
              <w:suppressAutoHyphens/>
              <w:adjustRightInd w:val="0"/>
              <w:snapToGrid w:val="0"/>
              <w:rPr>
                <w:rFonts w:ascii="Times New Roman" w:eastAsia="맑은 고딕" w:hAnsi="Times New Roman" w:cs="Times New Roman"/>
                <w:noProof/>
                <w:lang w:eastAsia="ko-KR"/>
              </w:rPr>
            </w:pPr>
            <w:r w:rsidRPr="00BA3060">
              <w:rPr>
                <w:rFonts w:ascii="Times New Roman" w:eastAsia="맑은 고딕" w:hAnsi="Times New Roman" w:cs="Times New Roman"/>
                <w:noProof/>
                <w:lang w:eastAsia="fr-FR"/>
              </w:rPr>
              <w:t>C.A. Papaellinas Ltd</w:t>
            </w:r>
          </w:p>
          <w:p w14:paraId="6921F47D" w14:textId="77777777" w:rsidR="00C4182E" w:rsidRPr="00BA3060" w:rsidRDefault="00C4182E" w:rsidP="008D6A97">
            <w:pPr>
              <w:keepNext/>
              <w:keepLines/>
              <w:autoSpaceDE w:val="0"/>
              <w:autoSpaceDN w:val="0"/>
              <w:adjustRightInd w:val="0"/>
              <w:snapToGrid w:val="0"/>
              <w:rPr>
                <w:rFonts w:ascii="Times New Roman" w:eastAsia="맑은 고딕" w:hAnsi="Times New Roman" w:cs="Times New Roman"/>
                <w:b/>
                <w:bCs/>
                <w:lang w:eastAsia="fr-FR"/>
              </w:rPr>
            </w:pPr>
            <w:r w:rsidRPr="00BA3060">
              <w:rPr>
                <w:rFonts w:ascii="Times New Roman" w:hAnsi="Times New Roman" w:cs="Times New Roman"/>
                <w:noProof/>
              </w:rPr>
              <w:t xml:space="preserve">Τηλ: </w:t>
            </w:r>
            <w:r w:rsidRPr="00BA3060">
              <w:rPr>
                <w:rFonts w:ascii="Times New Roman" w:eastAsia="맑은 고딕" w:hAnsi="Times New Roman" w:cs="Times New Roman"/>
                <w:noProof/>
                <w:lang w:eastAsia="fr-FR"/>
              </w:rPr>
              <w:t>+357 22741741</w:t>
            </w:r>
          </w:p>
          <w:p w14:paraId="56AD5592" w14:textId="77777777" w:rsidR="00C4182E" w:rsidRPr="00BA3060" w:rsidRDefault="00C4182E" w:rsidP="008D6A97">
            <w:pPr>
              <w:keepNext/>
              <w:keepLines/>
              <w:autoSpaceDE w:val="0"/>
              <w:autoSpaceDN w:val="0"/>
              <w:adjustRightInd w:val="0"/>
              <w:snapToGrid w:val="0"/>
              <w:rPr>
                <w:rFonts w:ascii="Times New Roman" w:eastAsia="맑은 고딕" w:hAnsi="Times New Roman" w:cs="Times New Roman"/>
                <w:b/>
                <w:noProof/>
                <w:lang w:eastAsia="fr-FR"/>
              </w:rPr>
            </w:pPr>
          </w:p>
        </w:tc>
        <w:tc>
          <w:tcPr>
            <w:tcW w:w="2500" w:type="pct"/>
          </w:tcPr>
          <w:p w14:paraId="52B8AD09" w14:textId="77777777" w:rsidR="00C4182E" w:rsidRPr="00BA3060" w:rsidRDefault="00C4182E" w:rsidP="008D6A97">
            <w:pPr>
              <w:keepNext/>
              <w:keepLines/>
              <w:tabs>
                <w:tab w:val="left" w:pos="-720"/>
              </w:tabs>
              <w:suppressAutoHyphens/>
              <w:adjustRightInd w:val="0"/>
              <w:snapToGrid w:val="0"/>
              <w:rPr>
                <w:rFonts w:ascii="Times New Roman" w:hAnsi="Times New Roman" w:cs="Times New Roman"/>
                <w:b/>
                <w:noProof/>
                <w:lang w:eastAsia="fr-FR"/>
              </w:rPr>
            </w:pPr>
            <w:r w:rsidRPr="00BA3060">
              <w:rPr>
                <w:rFonts w:ascii="Times New Roman" w:hAnsi="Times New Roman" w:cs="Times New Roman"/>
                <w:b/>
                <w:noProof/>
              </w:rPr>
              <w:t>Sverige</w:t>
            </w:r>
          </w:p>
          <w:p w14:paraId="11D31ACC" w14:textId="77777777" w:rsidR="00C4182E" w:rsidRDefault="00C4182E" w:rsidP="008D6A97">
            <w:pPr>
              <w:keepNext/>
              <w:keepLines/>
              <w:tabs>
                <w:tab w:val="left" w:pos="-720"/>
              </w:tabs>
              <w:suppressAutoHyphens/>
              <w:adjustRightInd w:val="0"/>
              <w:snapToGrid w:val="0"/>
              <w:rPr>
                <w:ins w:id="38" w:author="만든 이"/>
                <w:rFonts w:ascii="Times New Roman" w:hAnsi="Times New Roman" w:cs="Times New Roman"/>
                <w:lang w:eastAsia="ko-KR"/>
              </w:rPr>
            </w:pPr>
            <w:r>
              <w:rPr>
                <w:rFonts w:ascii="Times New Roman" w:hAnsi="Times New Roman" w:cs="Times New Roman" w:hint="eastAsia"/>
                <w:lang w:eastAsia="ko-KR"/>
              </w:rPr>
              <w:t>Celltrion Sweden AB</w:t>
            </w:r>
          </w:p>
          <w:p w14:paraId="4E798F63" w14:textId="230EFA3F" w:rsidR="00BA25AD" w:rsidRDefault="00BA25AD" w:rsidP="008D6A97">
            <w:pPr>
              <w:keepNext/>
              <w:keepLines/>
              <w:tabs>
                <w:tab w:val="left" w:pos="-720"/>
              </w:tabs>
              <w:suppressAutoHyphens/>
              <w:adjustRightInd w:val="0"/>
              <w:snapToGrid w:val="0"/>
              <w:rPr>
                <w:rFonts w:ascii="Times New Roman" w:hAnsi="Times New Roman" w:cs="Times New Roman"/>
                <w:lang w:eastAsia="ko-KR"/>
              </w:rPr>
            </w:pPr>
            <w:ins w:id="39" w:author="만든 이">
              <w:r w:rsidRPr="00BA25AD">
                <w:rPr>
                  <w:rFonts w:ascii="Times New Roman" w:hAnsi="Times New Roman" w:cs="Times New Roman"/>
                  <w:lang w:eastAsia="ko-KR"/>
                </w:rPr>
                <w:t>Tel: +46 8 80 11 77</w:t>
              </w:r>
            </w:ins>
          </w:p>
          <w:p w14:paraId="6AB7C67E" w14:textId="443E74CF" w:rsidR="00C4182E" w:rsidRPr="00FF297E" w:rsidRDefault="00C4182E" w:rsidP="008D6A97">
            <w:pPr>
              <w:keepNext/>
              <w:keepLines/>
              <w:tabs>
                <w:tab w:val="left" w:pos="-720"/>
              </w:tabs>
              <w:suppressAutoHyphens/>
              <w:adjustRightInd w:val="0"/>
              <w:snapToGrid w:val="0"/>
              <w:rPr>
                <w:rFonts w:ascii="Times New Roman" w:eastAsia="맑은 고딕" w:hAnsi="Times New Roman" w:cs="Times New Roman"/>
                <w:bCs/>
                <w:noProof/>
                <w:lang w:eastAsia="ko-KR"/>
              </w:rPr>
            </w:pPr>
            <w:del w:id="40" w:author="만든 이">
              <w:r w:rsidRPr="00FF297E" w:rsidDel="00225BBA">
                <w:rPr>
                  <w:rFonts w:ascii="Times New Roman" w:eastAsia="맑은 고딕" w:hAnsi="Times New Roman" w:cs="Times New Roman" w:hint="eastAsia"/>
                  <w:bCs/>
                  <w:noProof/>
                  <w:lang w:eastAsia="ko-KR"/>
                </w:rPr>
                <w:delText>c</w:delText>
              </w:r>
            </w:del>
            <w:ins w:id="41" w:author="만든 이">
              <w:r w:rsidR="00225BBA">
                <w:rPr>
                  <w:rFonts w:ascii="Times New Roman" w:eastAsia="맑은 고딕" w:hAnsi="Times New Roman" w:cs="Times New Roman" w:hint="eastAsia"/>
                  <w:bCs/>
                  <w:noProof/>
                  <w:lang w:eastAsia="ko-KR"/>
                </w:rPr>
                <w:t>C</w:t>
              </w:r>
            </w:ins>
            <w:r w:rsidRPr="00FF297E">
              <w:rPr>
                <w:rFonts w:ascii="Times New Roman" w:eastAsia="맑은 고딕" w:hAnsi="Times New Roman" w:cs="Times New Roman" w:hint="eastAsia"/>
                <w:bCs/>
                <w:noProof/>
                <w:lang w:eastAsia="ko-KR"/>
              </w:rPr>
              <w:t>ontact_se@celltrionhc.com</w:t>
            </w:r>
          </w:p>
          <w:p w14:paraId="2746CD6E" w14:textId="77777777" w:rsidR="00C4182E" w:rsidRPr="00BA3060" w:rsidRDefault="00C4182E" w:rsidP="008D6A97">
            <w:pPr>
              <w:keepNext/>
              <w:keepLines/>
              <w:tabs>
                <w:tab w:val="left" w:pos="-720"/>
              </w:tabs>
              <w:suppressAutoHyphens/>
              <w:adjustRightInd w:val="0"/>
              <w:snapToGrid w:val="0"/>
              <w:rPr>
                <w:rFonts w:ascii="Times New Roman" w:eastAsia="맑은 고딕" w:hAnsi="Times New Roman" w:cs="Times New Roman"/>
                <w:b/>
                <w:noProof/>
                <w:lang w:eastAsia="fr-FR"/>
              </w:rPr>
            </w:pPr>
          </w:p>
        </w:tc>
      </w:tr>
      <w:tr w:rsidR="00C4182E" w14:paraId="76D8F268" w14:textId="77777777" w:rsidTr="008D6A97">
        <w:tc>
          <w:tcPr>
            <w:tcW w:w="2500" w:type="pct"/>
          </w:tcPr>
          <w:p w14:paraId="5C2559E1" w14:textId="77777777" w:rsidR="00C4182E" w:rsidRPr="00BA3060" w:rsidRDefault="00C4182E" w:rsidP="008D6A97">
            <w:pPr>
              <w:adjustRightInd w:val="0"/>
              <w:snapToGrid w:val="0"/>
              <w:rPr>
                <w:rFonts w:ascii="Times New Roman" w:eastAsia="맑은 고딕" w:hAnsi="Times New Roman" w:cs="Times New Roman"/>
                <w:b/>
                <w:noProof/>
                <w:lang w:eastAsia="fr-FR"/>
              </w:rPr>
            </w:pPr>
            <w:r w:rsidRPr="00BA3060">
              <w:rPr>
                <w:rFonts w:ascii="Times New Roman" w:eastAsia="맑은 고딕" w:hAnsi="Times New Roman" w:cs="Times New Roman"/>
                <w:b/>
                <w:noProof/>
                <w:lang w:eastAsia="fr-FR"/>
              </w:rPr>
              <w:t>Latvija</w:t>
            </w:r>
          </w:p>
          <w:p w14:paraId="1FF5F497" w14:textId="77777777" w:rsidR="00C4182E" w:rsidRPr="00BA3060" w:rsidRDefault="00C4182E" w:rsidP="008D6A97">
            <w:pPr>
              <w:autoSpaceDE w:val="0"/>
              <w:autoSpaceDN w:val="0"/>
              <w:adjustRightInd w:val="0"/>
              <w:snapToGrid w:val="0"/>
              <w:rPr>
                <w:rFonts w:ascii="Times New Roman" w:eastAsia="맑은 고딕" w:hAnsi="Times New Roman" w:cs="Times New Roman"/>
                <w:noProof/>
                <w:lang w:eastAsia="fr-FR"/>
              </w:rPr>
            </w:pPr>
            <w:r w:rsidRPr="00BA3060">
              <w:rPr>
                <w:rFonts w:ascii="Times New Roman" w:eastAsia="맑은 고딕" w:hAnsi="Times New Roman" w:cs="Times New Roman"/>
                <w:noProof/>
                <w:lang w:eastAsia="fr-FR"/>
              </w:rPr>
              <w:t>Celltrion Healthcare Hungary Kft.</w:t>
            </w:r>
          </w:p>
          <w:p w14:paraId="39B51541" w14:textId="77777777" w:rsidR="00C4182E" w:rsidRPr="00BA3060" w:rsidRDefault="00C4182E" w:rsidP="008D6A97">
            <w:pPr>
              <w:autoSpaceDE w:val="0"/>
              <w:autoSpaceDN w:val="0"/>
              <w:adjustRightInd w:val="0"/>
              <w:snapToGrid w:val="0"/>
              <w:rPr>
                <w:rFonts w:ascii="Times New Roman" w:eastAsia="맑은 고딕" w:hAnsi="Times New Roman" w:cs="Times New Roman"/>
                <w:b/>
                <w:bCs/>
                <w:lang w:eastAsia="fr-FR"/>
              </w:rPr>
            </w:pPr>
            <w:r w:rsidRPr="00BA3060">
              <w:rPr>
                <w:rFonts w:ascii="Times New Roman" w:eastAsia="맑은 고딕" w:hAnsi="Times New Roman" w:cs="Times New Roman"/>
                <w:noProof/>
                <w:lang w:eastAsia="fr-FR"/>
              </w:rPr>
              <w:t>Tālr.: +36 1 231 0493</w:t>
            </w:r>
          </w:p>
        </w:tc>
        <w:tc>
          <w:tcPr>
            <w:tcW w:w="2500" w:type="pct"/>
          </w:tcPr>
          <w:p w14:paraId="72FD34A1" w14:textId="77777777" w:rsidR="00C4182E" w:rsidRPr="00BA3060" w:rsidRDefault="00C4182E" w:rsidP="008D6A97">
            <w:pPr>
              <w:tabs>
                <w:tab w:val="left" w:pos="-720"/>
              </w:tabs>
              <w:suppressAutoHyphens/>
              <w:adjustRightInd w:val="0"/>
              <w:snapToGrid w:val="0"/>
              <w:rPr>
                <w:rFonts w:ascii="Times New Roman" w:eastAsia="맑은 고딕" w:hAnsi="Times New Roman" w:cs="Times New Roman"/>
                <w:b/>
                <w:noProof/>
                <w:lang w:eastAsia="fr-FR"/>
              </w:rPr>
            </w:pPr>
          </w:p>
        </w:tc>
      </w:tr>
      <w:bookmarkEnd w:id="34"/>
    </w:tbl>
    <w:p w14:paraId="1058BDD0" w14:textId="77777777" w:rsidR="00047E69" w:rsidRPr="00AE0B87" w:rsidRDefault="00047E69" w:rsidP="004228B0">
      <w:pPr>
        <w:numPr>
          <w:ilvl w:val="12"/>
          <w:numId w:val="0"/>
        </w:numPr>
        <w:adjustRightInd w:val="0"/>
        <w:snapToGrid w:val="0"/>
        <w:rPr>
          <w:rFonts w:ascii="Times New Roman" w:hAnsi="Times New Roman" w:cs="Times New Roman"/>
          <w:b/>
          <w:noProof/>
        </w:rPr>
      </w:pPr>
    </w:p>
    <w:p w14:paraId="37769EBE" w14:textId="77777777" w:rsidR="00047E69" w:rsidRPr="00AE0B87" w:rsidRDefault="00047E69" w:rsidP="004228B0">
      <w:pPr>
        <w:numPr>
          <w:ilvl w:val="12"/>
          <w:numId w:val="0"/>
        </w:numPr>
        <w:adjustRightInd w:val="0"/>
        <w:snapToGrid w:val="0"/>
        <w:rPr>
          <w:rFonts w:ascii="Times New Roman" w:hAnsi="Times New Roman" w:cs="Times New Roman"/>
          <w:b/>
          <w:noProof/>
        </w:rPr>
      </w:pPr>
    </w:p>
    <w:p w14:paraId="5CB4B21E" w14:textId="77777777" w:rsidR="00047E69" w:rsidRPr="00AE0B87" w:rsidRDefault="00C210A5" w:rsidP="004228B0">
      <w:pPr>
        <w:numPr>
          <w:ilvl w:val="12"/>
          <w:numId w:val="0"/>
        </w:numPr>
        <w:adjustRightInd w:val="0"/>
        <w:snapToGrid w:val="0"/>
        <w:rPr>
          <w:rFonts w:ascii="Times New Roman" w:eastAsia="맑은 고딕" w:hAnsi="Times New Roman" w:cs="Times New Roman"/>
          <w:noProof/>
          <w:lang w:eastAsia="ko-KR"/>
        </w:rPr>
      </w:pPr>
      <w:r w:rsidRPr="00AE0B87">
        <w:rPr>
          <w:rFonts w:ascii="Times New Roman" w:hAnsi="Times New Roman" w:cs="Times New Roman"/>
          <w:b/>
          <w:noProof/>
        </w:rPr>
        <w:t>This leaflet was last revised in &lt;</w:t>
      </w:r>
      <w:r w:rsidRPr="00AE0B87">
        <w:rPr>
          <w:rFonts w:ascii="Times New Roman" w:hAnsi="Times New Roman" w:cs="Times New Roman"/>
          <w:noProof/>
        </w:rPr>
        <w:t>{</w:t>
      </w:r>
      <w:r w:rsidRPr="00AE0B87">
        <w:rPr>
          <w:rFonts w:ascii="Times New Roman" w:hAnsi="Times New Roman" w:cs="Times New Roman"/>
          <w:b/>
          <w:noProof/>
        </w:rPr>
        <w:t>MM/YYYY</w:t>
      </w:r>
      <w:r w:rsidRPr="00AE0B87">
        <w:rPr>
          <w:rFonts w:ascii="Times New Roman" w:hAnsi="Times New Roman" w:cs="Times New Roman"/>
          <w:noProof/>
        </w:rPr>
        <w:t>}&gt;</w:t>
      </w:r>
      <w:r w:rsidRPr="00AE0B87">
        <w:rPr>
          <w:rFonts w:ascii="Times New Roman" w:eastAsia="맑은 고딕" w:hAnsi="Times New Roman" w:cs="Times New Roman"/>
          <w:noProof/>
          <w:lang w:eastAsia="ko-KR"/>
        </w:rPr>
        <w:t>.</w:t>
      </w:r>
    </w:p>
    <w:p w14:paraId="1B221399" w14:textId="77777777" w:rsidR="00047E69" w:rsidRPr="00AE0B87" w:rsidRDefault="00047E69" w:rsidP="004228B0">
      <w:pPr>
        <w:numPr>
          <w:ilvl w:val="12"/>
          <w:numId w:val="0"/>
        </w:numPr>
        <w:adjustRightInd w:val="0"/>
        <w:snapToGrid w:val="0"/>
        <w:rPr>
          <w:rFonts w:ascii="Times New Roman" w:hAnsi="Times New Roman" w:cs="Times New Roman"/>
          <w:noProof/>
        </w:rPr>
      </w:pPr>
    </w:p>
    <w:p w14:paraId="0556A13D" w14:textId="77777777" w:rsidR="00047E69" w:rsidRPr="00AE0B87" w:rsidRDefault="00C210A5" w:rsidP="004228B0">
      <w:pPr>
        <w:numPr>
          <w:ilvl w:val="12"/>
          <w:numId w:val="0"/>
        </w:numPr>
        <w:adjustRightInd w:val="0"/>
        <w:snapToGrid w:val="0"/>
        <w:rPr>
          <w:rFonts w:ascii="Times New Roman" w:hAnsi="Times New Roman" w:cs="Times New Roman"/>
          <w:b/>
          <w:noProof/>
        </w:rPr>
      </w:pPr>
      <w:r w:rsidRPr="00AE0B87">
        <w:rPr>
          <w:rFonts w:ascii="Times New Roman" w:hAnsi="Times New Roman" w:cs="Times New Roman"/>
          <w:b/>
          <w:noProof/>
        </w:rPr>
        <w:t>Other sources of information</w:t>
      </w:r>
    </w:p>
    <w:p w14:paraId="67744DAA" w14:textId="77777777" w:rsidR="00047E69" w:rsidRPr="00AE0B87" w:rsidRDefault="00047E69" w:rsidP="004228B0">
      <w:pPr>
        <w:numPr>
          <w:ilvl w:val="12"/>
          <w:numId w:val="0"/>
        </w:numPr>
        <w:adjustRightInd w:val="0"/>
        <w:snapToGrid w:val="0"/>
        <w:rPr>
          <w:rFonts w:ascii="Times New Roman" w:eastAsia="맑은 고딕" w:hAnsi="Times New Roman" w:cs="Times New Roman"/>
          <w:b/>
          <w:noProof/>
          <w:lang w:eastAsia="ko-KR"/>
        </w:rPr>
      </w:pPr>
    </w:p>
    <w:p w14:paraId="7543B0B1" w14:textId="76F64352" w:rsidR="00A768A9" w:rsidRPr="00AE0B87" w:rsidRDefault="00C210A5" w:rsidP="00D46C5C">
      <w:pPr>
        <w:numPr>
          <w:ilvl w:val="12"/>
          <w:numId w:val="0"/>
        </w:numPr>
        <w:spacing w:before="240" w:after="240"/>
        <w:rPr>
          <w:rFonts w:ascii="Times New Roman" w:eastAsia="Times New Roman" w:hAnsi="Times New Roman" w:cs="Times New Roman"/>
        </w:rPr>
      </w:pPr>
      <w:r w:rsidRPr="00AE0B87">
        <w:rPr>
          <w:rFonts w:ascii="Times New Roman" w:hAnsi="Times New Roman" w:cs="Times New Roman"/>
        </w:rPr>
        <w:t xml:space="preserve">Detailed information on this medicine is available on the European Medicines Agency web site: </w:t>
      </w:r>
      <w:bookmarkStart w:id="42" w:name="_Hlk183094901"/>
      <w:r w:rsidR="002038AD" w:rsidRPr="00AE0B87">
        <w:rPr>
          <w:rFonts w:ascii="Times New Roman" w:hAnsi="Times New Roman" w:cs="Times New Roman"/>
          <w:snapToGrid w:val="0"/>
          <w:color w:val="0000FF"/>
          <w:lang w:val="de-DE"/>
        </w:rPr>
        <w:fldChar w:fldCharType="begin"/>
      </w:r>
      <w:r w:rsidR="002038AD" w:rsidRPr="00AE0B87">
        <w:rPr>
          <w:rFonts w:ascii="Times New Roman" w:hAnsi="Times New Roman" w:cs="Times New Roman"/>
          <w:snapToGrid w:val="0"/>
          <w:color w:val="0000FF"/>
          <w:lang w:val="de-DE"/>
        </w:rPr>
        <w:instrText>HYPERLINK "https://www.ema.europa.eu "</w:instrText>
      </w:r>
      <w:r w:rsidR="002038AD" w:rsidRPr="00AE0B87">
        <w:rPr>
          <w:rFonts w:ascii="Times New Roman" w:hAnsi="Times New Roman" w:cs="Times New Roman"/>
          <w:snapToGrid w:val="0"/>
          <w:color w:val="0000FF"/>
          <w:lang w:val="de-DE"/>
        </w:rPr>
      </w:r>
      <w:r w:rsidR="002038AD" w:rsidRPr="00AE0B87">
        <w:rPr>
          <w:rFonts w:ascii="Times New Roman" w:hAnsi="Times New Roman" w:cs="Times New Roman"/>
          <w:snapToGrid w:val="0"/>
          <w:color w:val="0000FF"/>
          <w:lang w:val="de-DE"/>
        </w:rPr>
        <w:fldChar w:fldCharType="separate"/>
      </w:r>
      <w:r w:rsidR="002038AD" w:rsidRPr="00AE0B87">
        <w:rPr>
          <w:rStyle w:val="a9"/>
          <w:snapToGrid w:val="0"/>
          <w:lang w:val="de-DE"/>
        </w:rPr>
        <w:t>https://www.ema.europa.eu</w:t>
      </w:r>
      <w:r w:rsidR="002038AD" w:rsidRPr="00AE0B87">
        <w:rPr>
          <w:rFonts w:ascii="Times New Roman" w:hAnsi="Times New Roman" w:cs="Times New Roman"/>
          <w:snapToGrid w:val="0"/>
          <w:color w:val="0000FF"/>
          <w:lang w:val="de-DE"/>
        </w:rPr>
        <w:fldChar w:fldCharType="end"/>
      </w:r>
      <w:bookmarkEnd w:id="42"/>
      <w:r w:rsidR="00FF7852" w:rsidRPr="001D0B07">
        <w:rPr>
          <w:rFonts w:ascii="Times New Roman" w:hAnsi="Times New Roman" w:cs="Times New Roman"/>
          <w:snapToGrid w:val="0"/>
          <w:lang w:val="de-DE"/>
        </w:rPr>
        <w:t>.</w:t>
      </w:r>
    </w:p>
    <w:sectPr w:rsidR="00A768A9" w:rsidRPr="00AE0B87" w:rsidSect="0060266A">
      <w:endnotePr>
        <w:numFmt w:val="decimal"/>
      </w:endnotePr>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0168" w14:textId="77777777" w:rsidR="00A92060" w:rsidRDefault="00A92060">
      <w:r>
        <w:separator/>
      </w:r>
    </w:p>
  </w:endnote>
  <w:endnote w:type="continuationSeparator" w:id="0">
    <w:p w14:paraId="3AEE22CD" w14:textId="77777777" w:rsidR="00A92060" w:rsidRDefault="00A92060">
      <w:r>
        <w:continuationSeparator/>
      </w:r>
    </w:p>
  </w:endnote>
  <w:endnote w:type="continuationNotice" w:id="1">
    <w:p w14:paraId="61F69E64" w14:textId="77777777" w:rsidR="00A92060" w:rsidRDefault="00A92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0501" w14:textId="77777777" w:rsidR="0031151E" w:rsidRDefault="00C210A5">
    <w:pPr>
      <w:spacing w:line="14" w:lineRule="auto"/>
      <w:rPr>
        <w:sz w:val="20"/>
        <w:szCs w:val="20"/>
      </w:rPr>
    </w:pPr>
    <w:r>
      <w:rPr>
        <w:noProof/>
        <w:lang w:eastAsia="ko-KR"/>
      </w:rPr>
      <mc:AlternateContent>
        <mc:Choice Requires="wps">
          <w:drawing>
            <wp:anchor distT="0" distB="0" distL="114300" distR="114300" simplePos="0" relativeHeight="251658240" behindDoc="1" locked="0" layoutInCell="1" allowOverlap="1" wp14:anchorId="460A48DB" wp14:editId="1399C7DD">
              <wp:simplePos x="0" y="0"/>
              <wp:positionH relativeFrom="page">
                <wp:posOffset>3696335</wp:posOffset>
              </wp:positionH>
              <wp:positionV relativeFrom="page">
                <wp:posOffset>10107295</wp:posOffset>
              </wp:positionV>
              <wp:extent cx="160655" cy="126365"/>
              <wp:effectExtent l="635" t="127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FC02" w14:textId="77777777" w:rsidR="0031151E" w:rsidRPr="00442F28" w:rsidRDefault="00C210A5" w:rsidP="004228B0">
                          <w:pPr>
                            <w:spacing w:line="182" w:lineRule="exact"/>
                            <w:ind w:left="40"/>
                            <w:jc w:val="center"/>
                            <w:rPr>
                              <w:rFonts w:ascii="Arial" w:eastAsia="Arial" w:hAnsi="Arial" w:cs="Arial"/>
                              <w:sz w:val="16"/>
                              <w:szCs w:val="16"/>
                            </w:rPr>
                          </w:pPr>
                          <w:r w:rsidRPr="004228B0">
                            <w:rPr>
                              <w:rFonts w:ascii="Arial" w:hAnsi="Arial" w:cs="Arial"/>
                              <w:sz w:val="16"/>
                              <w:szCs w:val="16"/>
                            </w:rPr>
                            <w:fldChar w:fldCharType="begin"/>
                          </w:r>
                          <w:r w:rsidRPr="004228B0">
                            <w:rPr>
                              <w:rFonts w:ascii="Arial" w:hAnsi="Arial" w:cs="Arial"/>
                              <w:sz w:val="16"/>
                              <w:szCs w:val="16"/>
                            </w:rPr>
                            <w:instrText xml:space="preserve"> PAGE </w:instrText>
                          </w:r>
                          <w:r w:rsidRPr="004228B0">
                            <w:rPr>
                              <w:rFonts w:ascii="Arial" w:hAnsi="Arial" w:cs="Arial"/>
                              <w:sz w:val="16"/>
                              <w:szCs w:val="16"/>
                            </w:rPr>
                            <w:fldChar w:fldCharType="separate"/>
                          </w:r>
                          <w:r w:rsidR="00F84DCB" w:rsidRPr="004228B0">
                            <w:rPr>
                              <w:rFonts w:ascii="Arial" w:hAnsi="Arial" w:cs="Arial"/>
                              <w:noProof/>
                              <w:sz w:val="16"/>
                              <w:szCs w:val="16"/>
                            </w:rPr>
                            <w:t>54</w:t>
                          </w:r>
                          <w:r w:rsidRPr="004228B0">
                            <w:rPr>
                              <w:rFonts w:ascii="Arial" w:hAnsi="Arial" w:cs="Arial"/>
                              <w:sz w:val="16"/>
                              <w:szCs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0A48DB" id="_x0000_t202" coordsize="21600,21600" o:spt="202" path="m,l,21600r21600,l21600,xe">
              <v:stroke joinstyle="miter"/>
              <v:path gradientshapeok="t" o:connecttype="rect"/>
            </v:shapetype>
            <v:shape id="Text Box 2" o:spid="_x0000_s1026" type="#_x0000_t202" style="position:absolute;margin-left:291.05pt;margin-top:795.85pt;width:12.65pt;height: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" filled="f" stroked="f">
              <v:textbox inset="0,0,0,0">
                <w:txbxContent>
                  <w:p w14:paraId="3DD8FC02" w14:textId="77777777" w:rsidR="0031151E" w:rsidRPr="00442F28" w:rsidRDefault="00C210A5" w:rsidP="004228B0">
                    <w:pPr>
                      <w:spacing w:line="182" w:lineRule="exact"/>
                      <w:ind w:left="40"/>
                      <w:jc w:val="center"/>
                      <w:rPr>
                        <w:rFonts w:ascii="Arial" w:eastAsia="Arial" w:hAnsi="Arial" w:cs="Arial"/>
                        <w:sz w:val="16"/>
                        <w:szCs w:val="16"/>
                      </w:rPr>
                    </w:pPr>
                    <w:r w:rsidRPr="004228B0">
                      <w:rPr>
                        <w:rFonts w:ascii="Arial" w:hAnsi="Arial" w:cs="Arial"/>
                        <w:sz w:val="16"/>
                        <w:szCs w:val="16"/>
                      </w:rPr>
                      <w:fldChar w:fldCharType="begin"/>
                    </w:r>
                    <w:r w:rsidRPr="004228B0">
                      <w:rPr>
                        <w:rFonts w:ascii="Arial" w:hAnsi="Arial" w:cs="Arial"/>
                        <w:sz w:val="16"/>
                        <w:szCs w:val="16"/>
                      </w:rPr>
                      <w:instrText xml:space="preserve"> PAGE </w:instrText>
                    </w:r>
                    <w:r w:rsidRPr="004228B0">
                      <w:rPr>
                        <w:rFonts w:ascii="Arial" w:hAnsi="Arial" w:cs="Arial"/>
                        <w:sz w:val="16"/>
                        <w:szCs w:val="16"/>
                      </w:rPr>
                      <w:fldChar w:fldCharType="separate"/>
                    </w:r>
                    <w:r w:rsidR="00F84DCB" w:rsidRPr="004228B0">
                      <w:rPr>
                        <w:rFonts w:ascii="Arial" w:hAnsi="Arial" w:cs="Arial"/>
                        <w:noProof/>
                        <w:sz w:val="16"/>
                        <w:szCs w:val="16"/>
                      </w:rPr>
                      <w:t>54</w:t>
                    </w:r>
                    <w:r w:rsidRPr="004228B0">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DAD3" w14:textId="77777777" w:rsidR="0031151E" w:rsidRDefault="00C210A5">
    <w:pPr>
      <w:pStyle w:val="a8"/>
      <w:tabs>
        <w:tab w:val="left" w:pos="0"/>
        <w:tab w:val="right" w:pos="8931"/>
      </w:tabs>
      <w:jc w:val="center"/>
    </w:pPr>
    <w:r>
      <w:fldChar w:fldCharType="begin"/>
    </w:r>
    <w:r>
      <w:instrText xml:space="preserve"> EQ </w:instrText>
    </w:r>
    <w:r>
      <w:fldChar w:fldCharType="separate"/>
    </w:r>
    <w:r>
      <w:fldChar w:fldCharType="end"/>
    </w:r>
    <w:r>
      <w:rPr>
        <w:rStyle w:val="af0"/>
        <w:rFonts w:cs="Arial"/>
      </w:rPr>
      <w:fldChar w:fldCharType="begin"/>
    </w:r>
    <w:r>
      <w:rPr>
        <w:rStyle w:val="af0"/>
        <w:rFonts w:cs="Arial"/>
      </w:rPr>
      <w:instrText xml:space="preserve">PAGE  </w:instrText>
    </w:r>
    <w:r>
      <w:rPr>
        <w:rStyle w:val="af0"/>
        <w:rFonts w:cs="Arial"/>
      </w:rPr>
      <w:fldChar w:fldCharType="separate"/>
    </w:r>
    <w:r w:rsidR="00F84DCB">
      <w:rPr>
        <w:rStyle w:val="af0"/>
        <w:rFonts w:cs="Arial"/>
        <w:noProof/>
      </w:rPr>
      <w:t>64</w:t>
    </w:r>
    <w:r>
      <w:rPr>
        <w:rStyle w:val="af0"/>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4DF5" w14:textId="77777777" w:rsidR="0031151E" w:rsidRDefault="00C210A5">
    <w:pPr>
      <w:pStyle w:val="a8"/>
      <w:tabs>
        <w:tab w:val="right" w:pos="8931"/>
      </w:tabs>
      <w:ind w:right="96"/>
      <w:jc w:val="center"/>
    </w:pPr>
    <w:r>
      <w:fldChar w:fldCharType="begin"/>
    </w:r>
    <w:r>
      <w:instrText xml:space="preserve"> EQ </w:instrText>
    </w:r>
    <w:r>
      <w:fldChar w:fldCharType="separate"/>
    </w:r>
    <w:r>
      <w:fldChar w:fldCharType="end"/>
    </w:r>
    <w:r>
      <w:rPr>
        <w:rStyle w:val="af0"/>
        <w:rFonts w:cs="Arial"/>
      </w:rPr>
      <w:fldChar w:fldCharType="begin"/>
    </w:r>
    <w:r>
      <w:rPr>
        <w:rStyle w:val="af0"/>
        <w:rFonts w:cs="Arial"/>
      </w:rPr>
      <w:instrText xml:space="preserve">PAGE  </w:instrText>
    </w:r>
    <w:r>
      <w:rPr>
        <w:rStyle w:val="af0"/>
        <w:rFonts w:cs="Arial"/>
      </w:rPr>
      <w:fldChar w:fldCharType="separate"/>
    </w:r>
    <w:r>
      <w:rPr>
        <w:rStyle w:val="af0"/>
        <w:rFonts w:cs="Arial"/>
      </w:rPr>
      <w:t>1</w:t>
    </w:r>
    <w:r>
      <w:rPr>
        <w:rStyle w:val="af0"/>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2655" w14:textId="77777777" w:rsidR="00A92060" w:rsidRDefault="00A92060">
      <w:r>
        <w:separator/>
      </w:r>
    </w:p>
  </w:footnote>
  <w:footnote w:type="continuationSeparator" w:id="0">
    <w:p w14:paraId="6FA91D0A" w14:textId="77777777" w:rsidR="00A92060" w:rsidRDefault="00A92060">
      <w:r>
        <w:continuationSeparator/>
      </w:r>
    </w:p>
  </w:footnote>
  <w:footnote w:type="continuationNotice" w:id="1">
    <w:p w14:paraId="3E08FC3F" w14:textId="77777777" w:rsidR="00A92060" w:rsidRDefault="00A92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449470"/>
    <w:lvl w:ilvl="0">
      <w:start w:val="1"/>
      <w:numFmt w:val="decimal"/>
      <w:pStyle w:val="5"/>
      <w:lvlText w:val="%1."/>
      <w:lvlJc w:val="left"/>
      <w:pPr>
        <w:tabs>
          <w:tab w:val="num" w:pos="2062"/>
        </w:tabs>
        <w:ind w:leftChars="1000" w:left="2062" w:hangingChars="200" w:hanging="360"/>
      </w:pPr>
    </w:lvl>
  </w:abstractNum>
  <w:abstractNum w:abstractNumId="1" w15:restartNumberingAfterBreak="0">
    <w:nsid w:val="FFFFFF7D"/>
    <w:multiLevelType w:val="singleLevel"/>
    <w:tmpl w:val="403832EE"/>
    <w:lvl w:ilvl="0">
      <w:start w:val="1"/>
      <w:numFmt w:val="decimal"/>
      <w:pStyle w:val="4"/>
      <w:lvlText w:val="%1."/>
      <w:lvlJc w:val="left"/>
      <w:pPr>
        <w:tabs>
          <w:tab w:val="num" w:pos="1637"/>
        </w:tabs>
        <w:ind w:leftChars="800" w:left="1637" w:hangingChars="200" w:hanging="360"/>
      </w:pPr>
    </w:lvl>
  </w:abstractNum>
  <w:abstractNum w:abstractNumId="2" w15:restartNumberingAfterBreak="0">
    <w:nsid w:val="FFFFFF7E"/>
    <w:multiLevelType w:val="singleLevel"/>
    <w:tmpl w:val="1C88FD9A"/>
    <w:lvl w:ilvl="0">
      <w:start w:val="1"/>
      <w:numFmt w:val="decimal"/>
      <w:pStyle w:val="3"/>
      <w:lvlText w:val="%1."/>
      <w:lvlJc w:val="left"/>
      <w:pPr>
        <w:tabs>
          <w:tab w:val="num" w:pos="1212"/>
        </w:tabs>
        <w:ind w:leftChars="600" w:left="1212" w:hangingChars="200" w:hanging="360"/>
      </w:pPr>
    </w:lvl>
  </w:abstractNum>
  <w:abstractNum w:abstractNumId="3" w15:restartNumberingAfterBreak="0">
    <w:nsid w:val="FFFFFF7F"/>
    <w:multiLevelType w:val="singleLevel"/>
    <w:tmpl w:val="E772B8A0"/>
    <w:lvl w:ilvl="0">
      <w:start w:val="1"/>
      <w:numFmt w:val="decimal"/>
      <w:pStyle w:val="2"/>
      <w:lvlText w:val="%1."/>
      <w:lvlJc w:val="left"/>
      <w:pPr>
        <w:tabs>
          <w:tab w:val="num" w:pos="786"/>
        </w:tabs>
        <w:ind w:leftChars="400" w:left="786" w:hangingChars="200" w:hanging="360"/>
      </w:pPr>
    </w:lvl>
  </w:abstractNum>
  <w:abstractNum w:abstractNumId="4" w15:restartNumberingAfterBreak="0">
    <w:nsid w:val="FFFFFF80"/>
    <w:multiLevelType w:val="singleLevel"/>
    <w:tmpl w:val="C0CE1CAC"/>
    <w:lvl w:ilvl="0">
      <w:start w:val="1"/>
      <w:numFmt w:val="bullet"/>
      <w:pStyle w:val="50"/>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92C6004"/>
    <w:lvl w:ilvl="0">
      <w:start w:val="1"/>
      <w:numFmt w:val="bullet"/>
      <w:pStyle w:val="40"/>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82A0BB9A"/>
    <w:lvl w:ilvl="0">
      <w:start w:val="1"/>
      <w:numFmt w:val="bullet"/>
      <w:pStyle w:val="30"/>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D362284"/>
    <w:lvl w:ilvl="0">
      <w:start w:val="1"/>
      <w:numFmt w:val="bullet"/>
      <w:pStyle w:val="20"/>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E99A445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CD4A306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013B1E"/>
    <w:multiLevelType w:val="hybridMultilevel"/>
    <w:tmpl w:val="60065B8A"/>
    <w:lvl w:ilvl="0" w:tplc="32FE80AE">
      <w:start w:val="1"/>
      <w:numFmt w:val="bullet"/>
      <w:lvlText w:val="●"/>
      <w:lvlJc w:val="left"/>
      <w:pPr>
        <w:ind w:left="716" w:hanging="601"/>
      </w:pPr>
      <w:rPr>
        <w:rFonts w:ascii="Arial" w:eastAsia="Arial" w:hAnsi="Arial" w:hint="default"/>
        <w:sz w:val="22"/>
        <w:szCs w:val="22"/>
      </w:rPr>
    </w:lvl>
    <w:lvl w:ilvl="1" w:tplc="243A4AFC">
      <w:start w:val="1"/>
      <w:numFmt w:val="bullet"/>
      <w:lvlText w:val="●"/>
      <w:lvlJc w:val="left"/>
      <w:pPr>
        <w:ind w:left="716" w:hanging="240"/>
      </w:pPr>
      <w:rPr>
        <w:rFonts w:ascii="Times New Roman" w:eastAsia="Times New Roman" w:hAnsi="Times New Roman" w:hint="default"/>
        <w:b/>
        <w:bCs/>
        <w:sz w:val="20"/>
        <w:szCs w:val="20"/>
      </w:rPr>
    </w:lvl>
    <w:lvl w:ilvl="2" w:tplc="34A271AC">
      <w:start w:val="1"/>
      <w:numFmt w:val="bullet"/>
      <w:lvlText w:val="•"/>
      <w:lvlJc w:val="left"/>
      <w:pPr>
        <w:ind w:left="1662" w:hanging="240"/>
      </w:pPr>
      <w:rPr>
        <w:rFonts w:hint="default"/>
      </w:rPr>
    </w:lvl>
    <w:lvl w:ilvl="3" w:tplc="3B7452E2">
      <w:start w:val="1"/>
      <w:numFmt w:val="bullet"/>
      <w:lvlText w:val="•"/>
      <w:lvlJc w:val="left"/>
      <w:pPr>
        <w:ind w:left="2608" w:hanging="240"/>
      </w:pPr>
      <w:rPr>
        <w:rFonts w:hint="default"/>
      </w:rPr>
    </w:lvl>
    <w:lvl w:ilvl="4" w:tplc="3522B1A2">
      <w:start w:val="1"/>
      <w:numFmt w:val="bullet"/>
      <w:lvlText w:val="•"/>
      <w:lvlJc w:val="left"/>
      <w:pPr>
        <w:ind w:left="3553" w:hanging="240"/>
      </w:pPr>
      <w:rPr>
        <w:rFonts w:hint="default"/>
      </w:rPr>
    </w:lvl>
    <w:lvl w:ilvl="5" w:tplc="4BE88C9C">
      <w:start w:val="1"/>
      <w:numFmt w:val="bullet"/>
      <w:lvlText w:val="•"/>
      <w:lvlJc w:val="left"/>
      <w:pPr>
        <w:ind w:left="4499" w:hanging="240"/>
      </w:pPr>
      <w:rPr>
        <w:rFonts w:hint="default"/>
      </w:rPr>
    </w:lvl>
    <w:lvl w:ilvl="6" w:tplc="D54ECD2A">
      <w:start w:val="1"/>
      <w:numFmt w:val="bullet"/>
      <w:lvlText w:val="•"/>
      <w:lvlJc w:val="left"/>
      <w:pPr>
        <w:ind w:left="5445" w:hanging="240"/>
      </w:pPr>
      <w:rPr>
        <w:rFonts w:hint="default"/>
      </w:rPr>
    </w:lvl>
    <w:lvl w:ilvl="7" w:tplc="3BB270EE">
      <w:start w:val="1"/>
      <w:numFmt w:val="bullet"/>
      <w:lvlText w:val="•"/>
      <w:lvlJc w:val="left"/>
      <w:pPr>
        <w:ind w:left="6391" w:hanging="240"/>
      </w:pPr>
      <w:rPr>
        <w:rFonts w:hint="default"/>
      </w:rPr>
    </w:lvl>
    <w:lvl w:ilvl="8" w:tplc="C36A5710">
      <w:start w:val="1"/>
      <w:numFmt w:val="bullet"/>
      <w:lvlText w:val="•"/>
      <w:lvlJc w:val="left"/>
      <w:pPr>
        <w:ind w:left="7337" w:hanging="240"/>
      </w:pPr>
      <w:rPr>
        <w:rFonts w:hint="default"/>
      </w:rPr>
    </w:lvl>
  </w:abstractNum>
  <w:abstractNum w:abstractNumId="11" w15:restartNumberingAfterBreak="0">
    <w:nsid w:val="05843CF1"/>
    <w:multiLevelType w:val="hybridMultilevel"/>
    <w:tmpl w:val="71EA9B74"/>
    <w:lvl w:ilvl="0" w:tplc="90128E6A">
      <w:start w:val="1"/>
      <w:numFmt w:val="upperLetter"/>
      <w:lvlText w:val="%1."/>
      <w:lvlJc w:val="left"/>
      <w:pPr>
        <w:ind w:left="1415" w:hanging="548"/>
      </w:pPr>
      <w:rPr>
        <w:rFonts w:ascii="Times New Roman" w:eastAsia="Times New Roman" w:hAnsi="Times New Roman" w:hint="default"/>
        <w:b/>
        <w:bCs/>
        <w:spacing w:val="-2"/>
        <w:sz w:val="22"/>
        <w:szCs w:val="22"/>
      </w:rPr>
    </w:lvl>
    <w:lvl w:ilvl="1" w:tplc="153E595A">
      <w:start w:val="1"/>
      <w:numFmt w:val="bullet"/>
      <w:lvlText w:val="•"/>
      <w:lvlJc w:val="left"/>
      <w:pPr>
        <w:ind w:left="2128" w:hanging="548"/>
      </w:pPr>
      <w:rPr>
        <w:rFonts w:hint="default"/>
      </w:rPr>
    </w:lvl>
    <w:lvl w:ilvl="2" w:tplc="6486E214">
      <w:start w:val="1"/>
      <w:numFmt w:val="bullet"/>
      <w:lvlText w:val="•"/>
      <w:lvlJc w:val="left"/>
      <w:pPr>
        <w:ind w:left="2842" w:hanging="548"/>
      </w:pPr>
      <w:rPr>
        <w:rFonts w:hint="default"/>
      </w:rPr>
    </w:lvl>
    <w:lvl w:ilvl="3" w:tplc="B010F2A0">
      <w:start w:val="1"/>
      <w:numFmt w:val="bullet"/>
      <w:lvlText w:val="•"/>
      <w:lvlJc w:val="left"/>
      <w:pPr>
        <w:ind w:left="3555" w:hanging="548"/>
      </w:pPr>
      <w:rPr>
        <w:rFonts w:hint="default"/>
      </w:rPr>
    </w:lvl>
    <w:lvl w:ilvl="4" w:tplc="8648E974">
      <w:start w:val="1"/>
      <w:numFmt w:val="bullet"/>
      <w:lvlText w:val="•"/>
      <w:lvlJc w:val="left"/>
      <w:pPr>
        <w:ind w:left="4268" w:hanging="548"/>
      </w:pPr>
      <w:rPr>
        <w:rFonts w:hint="default"/>
      </w:rPr>
    </w:lvl>
    <w:lvl w:ilvl="5" w:tplc="836EA29E">
      <w:start w:val="1"/>
      <w:numFmt w:val="bullet"/>
      <w:lvlText w:val="•"/>
      <w:lvlJc w:val="left"/>
      <w:pPr>
        <w:ind w:left="4982" w:hanging="548"/>
      </w:pPr>
      <w:rPr>
        <w:rFonts w:hint="default"/>
      </w:rPr>
    </w:lvl>
    <w:lvl w:ilvl="6" w:tplc="0128B87E">
      <w:start w:val="1"/>
      <w:numFmt w:val="bullet"/>
      <w:lvlText w:val="•"/>
      <w:lvlJc w:val="left"/>
      <w:pPr>
        <w:ind w:left="5695" w:hanging="548"/>
      </w:pPr>
      <w:rPr>
        <w:rFonts w:hint="default"/>
      </w:rPr>
    </w:lvl>
    <w:lvl w:ilvl="7" w:tplc="28F80CDA">
      <w:start w:val="1"/>
      <w:numFmt w:val="bullet"/>
      <w:lvlText w:val="•"/>
      <w:lvlJc w:val="left"/>
      <w:pPr>
        <w:ind w:left="6408" w:hanging="548"/>
      </w:pPr>
      <w:rPr>
        <w:rFonts w:hint="default"/>
      </w:rPr>
    </w:lvl>
    <w:lvl w:ilvl="8" w:tplc="47980C4E">
      <w:start w:val="1"/>
      <w:numFmt w:val="bullet"/>
      <w:lvlText w:val="•"/>
      <w:lvlJc w:val="left"/>
      <w:pPr>
        <w:ind w:left="7122" w:hanging="548"/>
      </w:pPr>
      <w:rPr>
        <w:rFonts w:hint="default"/>
      </w:rPr>
    </w:lvl>
  </w:abstractNum>
  <w:abstractNum w:abstractNumId="12" w15:restartNumberingAfterBreak="0">
    <w:nsid w:val="083C176F"/>
    <w:multiLevelType w:val="hybridMultilevel"/>
    <w:tmpl w:val="8182D872"/>
    <w:lvl w:ilvl="0" w:tplc="A76AFB58">
      <w:start w:val="1"/>
      <w:numFmt w:val="bullet"/>
      <w:lvlText w:val="-"/>
      <w:lvlJc w:val="left"/>
      <w:pPr>
        <w:ind w:left="800" w:hanging="400"/>
      </w:pPr>
      <w:rPr>
        <w:rFonts w:ascii="Times New Roman" w:eastAsia="Times New Roman" w:hAnsi="Times New Roman" w:hint="default"/>
        <w:w w:val="99"/>
        <w:sz w:val="22"/>
        <w:szCs w:val="22"/>
      </w:rPr>
    </w:lvl>
    <w:lvl w:ilvl="1" w:tplc="0160F9E0" w:tentative="1">
      <w:start w:val="1"/>
      <w:numFmt w:val="bullet"/>
      <w:lvlText w:val=""/>
      <w:lvlJc w:val="left"/>
      <w:pPr>
        <w:ind w:left="1200" w:hanging="400"/>
      </w:pPr>
      <w:rPr>
        <w:rFonts w:ascii="Wingdings" w:hAnsi="Wingdings" w:hint="default"/>
      </w:rPr>
    </w:lvl>
    <w:lvl w:ilvl="2" w:tplc="A062466E" w:tentative="1">
      <w:start w:val="1"/>
      <w:numFmt w:val="bullet"/>
      <w:lvlText w:val=""/>
      <w:lvlJc w:val="left"/>
      <w:pPr>
        <w:ind w:left="1600" w:hanging="400"/>
      </w:pPr>
      <w:rPr>
        <w:rFonts w:ascii="Wingdings" w:hAnsi="Wingdings" w:hint="default"/>
      </w:rPr>
    </w:lvl>
    <w:lvl w:ilvl="3" w:tplc="4A2866C6" w:tentative="1">
      <w:start w:val="1"/>
      <w:numFmt w:val="bullet"/>
      <w:lvlText w:val=""/>
      <w:lvlJc w:val="left"/>
      <w:pPr>
        <w:ind w:left="2000" w:hanging="400"/>
      </w:pPr>
      <w:rPr>
        <w:rFonts w:ascii="Wingdings" w:hAnsi="Wingdings" w:hint="default"/>
      </w:rPr>
    </w:lvl>
    <w:lvl w:ilvl="4" w:tplc="3E744B68" w:tentative="1">
      <w:start w:val="1"/>
      <w:numFmt w:val="bullet"/>
      <w:lvlText w:val=""/>
      <w:lvlJc w:val="left"/>
      <w:pPr>
        <w:ind w:left="2400" w:hanging="400"/>
      </w:pPr>
      <w:rPr>
        <w:rFonts w:ascii="Wingdings" w:hAnsi="Wingdings" w:hint="default"/>
      </w:rPr>
    </w:lvl>
    <w:lvl w:ilvl="5" w:tplc="3F1CA804" w:tentative="1">
      <w:start w:val="1"/>
      <w:numFmt w:val="bullet"/>
      <w:lvlText w:val=""/>
      <w:lvlJc w:val="left"/>
      <w:pPr>
        <w:ind w:left="2800" w:hanging="400"/>
      </w:pPr>
      <w:rPr>
        <w:rFonts w:ascii="Wingdings" w:hAnsi="Wingdings" w:hint="default"/>
      </w:rPr>
    </w:lvl>
    <w:lvl w:ilvl="6" w:tplc="540CD4DA" w:tentative="1">
      <w:start w:val="1"/>
      <w:numFmt w:val="bullet"/>
      <w:lvlText w:val=""/>
      <w:lvlJc w:val="left"/>
      <w:pPr>
        <w:ind w:left="3200" w:hanging="400"/>
      </w:pPr>
      <w:rPr>
        <w:rFonts w:ascii="Wingdings" w:hAnsi="Wingdings" w:hint="default"/>
      </w:rPr>
    </w:lvl>
    <w:lvl w:ilvl="7" w:tplc="44586D82" w:tentative="1">
      <w:start w:val="1"/>
      <w:numFmt w:val="bullet"/>
      <w:lvlText w:val=""/>
      <w:lvlJc w:val="left"/>
      <w:pPr>
        <w:ind w:left="3600" w:hanging="400"/>
      </w:pPr>
      <w:rPr>
        <w:rFonts w:ascii="Wingdings" w:hAnsi="Wingdings" w:hint="default"/>
      </w:rPr>
    </w:lvl>
    <w:lvl w:ilvl="8" w:tplc="A2B0BC60" w:tentative="1">
      <w:start w:val="1"/>
      <w:numFmt w:val="bullet"/>
      <w:lvlText w:val=""/>
      <w:lvlJc w:val="left"/>
      <w:pPr>
        <w:ind w:left="4000" w:hanging="400"/>
      </w:pPr>
      <w:rPr>
        <w:rFonts w:ascii="Wingdings" w:hAnsi="Wingdings" w:hint="default"/>
      </w:rPr>
    </w:lvl>
  </w:abstractNum>
  <w:abstractNum w:abstractNumId="13" w15:restartNumberingAfterBreak="0">
    <w:nsid w:val="0E38346B"/>
    <w:multiLevelType w:val="hybridMultilevel"/>
    <w:tmpl w:val="6DD61BCE"/>
    <w:lvl w:ilvl="0" w:tplc="2EEEAB82">
      <w:start w:val="1"/>
      <w:numFmt w:val="bullet"/>
      <w:lvlText w:val=""/>
      <w:lvlJc w:val="left"/>
      <w:pPr>
        <w:ind w:left="800" w:hanging="400"/>
      </w:pPr>
      <w:rPr>
        <w:rFonts w:ascii="Wingdings" w:hAnsi="Wingdings" w:hint="default"/>
      </w:rPr>
    </w:lvl>
    <w:lvl w:ilvl="1" w:tplc="3CFE6100" w:tentative="1">
      <w:start w:val="1"/>
      <w:numFmt w:val="bullet"/>
      <w:lvlText w:val=""/>
      <w:lvlJc w:val="left"/>
      <w:pPr>
        <w:ind w:left="1200" w:hanging="400"/>
      </w:pPr>
      <w:rPr>
        <w:rFonts w:ascii="Wingdings" w:hAnsi="Wingdings" w:hint="default"/>
      </w:rPr>
    </w:lvl>
    <w:lvl w:ilvl="2" w:tplc="B4546884" w:tentative="1">
      <w:start w:val="1"/>
      <w:numFmt w:val="bullet"/>
      <w:lvlText w:val=""/>
      <w:lvlJc w:val="left"/>
      <w:pPr>
        <w:ind w:left="1600" w:hanging="400"/>
      </w:pPr>
      <w:rPr>
        <w:rFonts w:ascii="Wingdings" w:hAnsi="Wingdings" w:hint="default"/>
      </w:rPr>
    </w:lvl>
    <w:lvl w:ilvl="3" w:tplc="F7900BDE" w:tentative="1">
      <w:start w:val="1"/>
      <w:numFmt w:val="bullet"/>
      <w:lvlText w:val=""/>
      <w:lvlJc w:val="left"/>
      <w:pPr>
        <w:ind w:left="2000" w:hanging="400"/>
      </w:pPr>
      <w:rPr>
        <w:rFonts w:ascii="Wingdings" w:hAnsi="Wingdings" w:hint="default"/>
      </w:rPr>
    </w:lvl>
    <w:lvl w:ilvl="4" w:tplc="93220EA6" w:tentative="1">
      <w:start w:val="1"/>
      <w:numFmt w:val="bullet"/>
      <w:lvlText w:val=""/>
      <w:lvlJc w:val="left"/>
      <w:pPr>
        <w:ind w:left="2400" w:hanging="400"/>
      </w:pPr>
      <w:rPr>
        <w:rFonts w:ascii="Wingdings" w:hAnsi="Wingdings" w:hint="default"/>
      </w:rPr>
    </w:lvl>
    <w:lvl w:ilvl="5" w:tplc="6D6C51B4" w:tentative="1">
      <w:start w:val="1"/>
      <w:numFmt w:val="bullet"/>
      <w:lvlText w:val=""/>
      <w:lvlJc w:val="left"/>
      <w:pPr>
        <w:ind w:left="2800" w:hanging="400"/>
      </w:pPr>
      <w:rPr>
        <w:rFonts w:ascii="Wingdings" w:hAnsi="Wingdings" w:hint="default"/>
      </w:rPr>
    </w:lvl>
    <w:lvl w:ilvl="6" w:tplc="D65C3780" w:tentative="1">
      <w:start w:val="1"/>
      <w:numFmt w:val="bullet"/>
      <w:lvlText w:val=""/>
      <w:lvlJc w:val="left"/>
      <w:pPr>
        <w:ind w:left="3200" w:hanging="400"/>
      </w:pPr>
      <w:rPr>
        <w:rFonts w:ascii="Wingdings" w:hAnsi="Wingdings" w:hint="default"/>
      </w:rPr>
    </w:lvl>
    <w:lvl w:ilvl="7" w:tplc="A64C427A" w:tentative="1">
      <w:start w:val="1"/>
      <w:numFmt w:val="bullet"/>
      <w:lvlText w:val=""/>
      <w:lvlJc w:val="left"/>
      <w:pPr>
        <w:ind w:left="3600" w:hanging="400"/>
      </w:pPr>
      <w:rPr>
        <w:rFonts w:ascii="Wingdings" w:hAnsi="Wingdings" w:hint="default"/>
      </w:rPr>
    </w:lvl>
    <w:lvl w:ilvl="8" w:tplc="C8281C5A" w:tentative="1">
      <w:start w:val="1"/>
      <w:numFmt w:val="bullet"/>
      <w:lvlText w:val=""/>
      <w:lvlJc w:val="left"/>
      <w:pPr>
        <w:ind w:left="4000" w:hanging="400"/>
      </w:pPr>
      <w:rPr>
        <w:rFonts w:ascii="Wingdings" w:hAnsi="Wingdings" w:hint="default"/>
      </w:rPr>
    </w:lvl>
  </w:abstractNum>
  <w:abstractNum w:abstractNumId="14" w15:restartNumberingAfterBreak="0">
    <w:nsid w:val="13AD033D"/>
    <w:multiLevelType w:val="hybridMultilevel"/>
    <w:tmpl w:val="BF4A1DBE"/>
    <w:lvl w:ilvl="0" w:tplc="D66ED6D8">
      <w:start w:val="1"/>
      <w:numFmt w:val="bullet"/>
      <w:lvlText w:val=""/>
      <w:lvlJc w:val="left"/>
      <w:pPr>
        <w:ind w:left="800" w:hanging="400"/>
      </w:pPr>
      <w:rPr>
        <w:rFonts w:ascii="Wingdings" w:hAnsi="Wingdings" w:hint="default"/>
      </w:rPr>
    </w:lvl>
    <w:lvl w:ilvl="1" w:tplc="DAD22B7E" w:tentative="1">
      <w:start w:val="1"/>
      <w:numFmt w:val="bullet"/>
      <w:lvlText w:val=""/>
      <w:lvlJc w:val="left"/>
      <w:pPr>
        <w:ind w:left="1200" w:hanging="400"/>
      </w:pPr>
      <w:rPr>
        <w:rFonts w:ascii="Wingdings" w:hAnsi="Wingdings" w:hint="default"/>
      </w:rPr>
    </w:lvl>
    <w:lvl w:ilvl="2" w:tplc="089A6E02" w:tentative="1">
      <w:start w:val="1"/>
      <w:numFmt w:val="bullet"/>
      <w:lvlText w:val=""/>
      <w:lvlJc w:val="left"/>
      <w:pPr>
        <w:ind w:left="1600" w:hanging="400"/>
      </w:pPr>
      <w:rPr>
        <w:rFonts w:ascii="Wingdings" w:hAnsi="Wingdings" w:hint="default"/>
      </w:rPr>
    </w:lvl>
    <w:lvl w:ilvl="3" w:tplc="CF466F04" w:tentative="1">
      <w:start w:val="1"/>
      <w:numFmt w:val="bullet"/>
      <w:lvlText w:val=""/>
      <w:lvlJc w:val="left"/>
      <w:pPr>
        <w:ind w:left="2000" w:hanging="400"/>
      </w:pPr>
      <w:rPr>
        <w:rFonts w:ascii="Wingdings" w:hAnsi="Wingdings" w:hint="default"/>
      </w:rPr>
    </w:lvl>
    <w:lvl w:ilvl="4" w:tplc="54C0DD7A" w:tentative="1">
      <w:start w:val="1"/>
      <w:numFmt w:val="bullet"/>
      <w:lvlText w:val=""/>
      <w:lvlJc w:val="left"/>
      <w:pPr>
        <w:ind w:left="2400" w:hanging="400"/>
      </w:pPr>
      <w:rPr>
        <w:rFonts w:ascii="Wingdings" w:hAnsi="Wingdings" w:hint="default"/>
      </w:rPr>
    </w:lvl>
    <w:lvl w:ilvl="5" w:tplc="1320F89A" w:tentative="1">
      <w:start w:val="1"/>
      <w:numFmt w:val="bullet"/>
      <w:lvlText w:val=""/>
      <w:lvlJc w:val="left"/>
      <w:pPr>
        <w:ind w:left="2800" w:hanging="400"/>
      </w:pPr>
      <w:rPr>
        <w:rFonts w:ascii="Wingdings" w:hAnsi="Wingdings" w:hint="default"/>
      </w:rPr>
    </w:lvl>
    <w:lvl w:ilvl="6" w:tplc="B74E98DA" w:tentative="1">
      <w:start w:val="1"/>
      <w:numFmt w:val="bullet"/>
      <w:lvlText w:val=""/>
      <w:lvlJc w:val="left"/>
      <w:pPr>
        <w:ind w:left="3200" w:hanging="400"/>
      </w:pPr>
      <w:rPr>
        <w:rFonts w:ascii="Wingdings" w:hAnsi="Wingdings" w:hint="default"/>
      </w:rPr>
    </w:lvl>
    <w:lvl w:ilvl="7" w:tplc="88DE122E" w:tentative="1">
      <w:start w:val="1"/>
      <w:numFmt w:val="bullet"/>
      <w:lvlText w:val=""/>
      <w:lvlJc w:val="left"/>
      <w:pPr>
        <w:ind w:left="3600" w:hanging="400"/>
      </w:pPr>
      <w:rPr>
        <w:rFonts w:ascii="Wingdings" w:hAnsi="Wingdings" w:hint="default"/>
      </w:rPr>
    </w:lvl>
    <w:lvl w:ilvl="8" w:tplc="B6963D7A" w:tentative="1">
      <w:start w:val="1"/>
      <w:numFmt w:val="bullet"/>
      <w:lvlText w:val=""/>
      <w:lvlJc w:val="left"/>
      <w:pPr>
        <w:ind w:left="4000" w:hanging="400"/>
      </w:pPr>
      <w:rPr>
        <w:rFonts w:ascii="Wingdings" w:hAnsi="Wingdings" w:hint="default"/>
      </w:rPr>
    </w:lvl>
  </w:abstractNum>
  <w:abstractNum w:abstractNumId="15" w15:restartNumberingAfterBreak="0">
    <w:nsid w:val="15A8010B"/>
    <w:multiLevelType w:val="hybridMultilevel"/>
    <w:tmpl w:val="5C8A9D26"/>
    <w:lvl w:ilvl="0" w:tplc="F920F672">
      <w:start w:val="1"/>
      <w:numFmt w:val="bullet"/>
      <w:lvlText w:val=""/>
      <w:lvlJc w:val="left"/>
      <w:pPr>
        <w:ind w:left="800" w:hanging="400"/>
      </w:pPr>
      <w:rPr>
        <w:rFonts w:ascii="Wingdings" w:hAnsi="Wingdings" w:hint="default"/>
      </w:rPr>
    </w:lvl>
    <w:lvl w:ilvl="1" w:tplc="3BCC8400" w:tentative="1">
      <w:start w:val="1"/>
      <w:numFmt w:val="bullet"/>
      <w:lvlText w:val=""/>
      <w:lvlJc w:val="left"/>
      <w:pPr>
        <w:ind w:left="1200" w:hanging="400"/>
      </w:pPr>
      <w:rPr>
        <w:rFonts w:ascii="Wingdings" w:hAnsi="Wingdings" w:hint="default"/>
      </w:rPr>
    </w:lvl>
    <w:lvl w:ilvl="2" w:tplc="7E701D9A" w:tentative="1">
      <w:start w:val="1"/>
      <w:numFmt w:val="bullet"/>
      <w:lvlText w:val=""/>
      <w:lvlJc w:val="left"/>
      <w:pPr>
        <w:ind w:left="1600" w:hanging="400"/>
      </w:pPr>
      <w:rPr>
        <w:rFonts w:ascii="Wingdings" w:hAnsi="Wingdings" w:hint="default"/>
      </w:rPr>
    </w:lvl>
    <w:lvl w:ilvl="3" w:tplc="EF764692" w:tentative="1">
      <w:start w:val="1"/>
      <w:numFmt w:val="bullet"/>
      <w:lvlText w:val=""/>
      <w:lvlJc w:val="left"/>
      <w:pPr>
        <w:ind w:left="2000" w:hanging="400"/>
      </w:pPr>
      <w:rPr>
        <w:rFonts w:ascii="Wingdings" w:hAnsi="Wingdings" w:hint="default"/>
      </w:rPr>
    </w:lvl>
    <w:lvl w:ilvl="4" w:tplc="B204B3F0" w:tentative="1">
      <w:start w:val="1"/>
      <w:numFmt w:val="bullet"/>
      <w:lvlText w:val=""/>
      <w:lvlJc w:val="left"/>
      <w:pPr>
        <w:ind w:left="2400" w:hanging="400"/>
      </w:pPr>
      <w:rPr>
        <w:rFonts w:ascii="Wingdings" w:hAnsi="Wingdings" w:hint="default"/>
      </w:rPr>
    </w:lvl>
    <w:lvl w:ilvl="5" w:tplc="A22CDA2C" w:tentative="1">
      <w:start w:val="1"/>
      <w:numFmt w:val="bullet"/>
      <w:lvlText w:val=""/>
      <w:lvlJc w:val="left"/>
      <w:pPr>
        <w:ind w:left="2800" w:hanging="400"/>
      </w:pPr>
      <w:rPr>
        <w:rFonts w:ascii="Wingdings" w:hAnsi="Wingdings" w:hint="default"/>
      </w:rPr>
    </w:lvl>
    <w:lvl w:ilvl="6" w:tplc="689207E8" w:tentative="1">
      <w:start w:val="1"/>
      <w:numFmt w:val="bullet"/>
      <w:lvlText w:val=""/>
      <w:lvlJc w:val="left"/>
      <w:pPr>
        <w:ind w:left="3200" w:hanging="400"/>
      </w:pPr>
      <w:rPr>
        <w:rFonts w:ascii="Wingdings" w:hAnsi="Wingdings" w:hint="default"/>
      </w:rPr>
    </w:lvl>
    <w:lvl w:ilvl="7" w:tplc="D0EC6A68" w:tentative="1">
      <w:start w:val="1"/>
      <w:numFmt w:val="bullet"/>
      <w:lvlText w:val=""/>
      <w:lvlJc w:val="left"/>
      <w:pPr>
        <w:ind w:left="3600" w:hanging="400"/>
      </w:pPr>
      <w:rPr>
        <w:rFonts w:ascii="Wingdings" w:hAnsi="Wingdings" w:hint="default"/>
      </w:rPr>
    </w:lvl>
    <w:lvl w:ilvl="8" w:tplc="ADE4AFDE" w:tentative="1">
      <w:start w:val="1"/>
      <w:numFmt w:val="bullet"/>
      <w:lvlText w:val=""/>
      <w:lvlJc w:val="left"/>
      <w:pPr>
        <w:ind w:left="4000" w:hanging="400"/>
      </w:pPr>
      <w:rPr>
        <w:rFonts w:ascii="Wingdings" w:hAnsi="Wingdings" w:hint="default"/>
      </w:rPr>
    </w:lvl>
  </w:abstractNum>
  <w:abstractNum w:abstractNumId="16" w15:restartNumberingAfterBreak="0">
    <w:nsid w:val="16160BA2"/>
    <w:multiLevelType w:val="hybridMultilevel"/>
    <w:tmpl w:val="D6A28A78"/>
    <w:lvl w:ilvl="0" w:tplc="243A4AFC">
      <w:start w:val="1"/>
      <w:numFmt w:val="bullet"/>
      <w:lvlText w:val="●"/>
      <w:lvlJc w:val="left"/>
      <w:pPr>
        <w:ind w:left="684" w:hanging="400"/>
      </w:pPr>
      <w:rPr>
        <w:rFonts w:ascii="Times New Roman" w:eastAsia="Times New Roman" w:hAnsi="Times New Roman" w:hint="default"/>
        <w:b/>
        <w:bCs/>
        <w:sz w:val="20"/>
        <w:szCs w:val="20"/>
      </w:rPr>
    </w:lvl>
    <w:lvl w:ilvl="1" w:tplc="4A9A86C6" w:tentative="1">
      <w:start w:val="1"/>
      <w:numFmt w:val="bullet"/>
      <w:lvlText w:val=""/>
      <w:lvlJc w:val="left"/>
      <w:pPr>
        <w:ind w:left="1200" w:hanging="400"/>
      </w:pPr>
      <w:rPr>
        <w:rFonts w:ascii="Wingdings" w:hAnsi="Wingdings" w:hint="default"/>
      </w:rPr>
    </w:lvl>
    <w:lvl w:ilvl="2" w:tplc="01E28004" w:tentative="1">
      <w:start w:val="1"/>
      <w:numFmt w:val="bullet"/>
      <w:lvlText w:val=""/>
      <w:lvlJc w:val="left"/>
      <w:pPr>
        <w:ind w:left="1600" w:hanging="400"/>
      </w:pPr>
      <w:rPr>
        <w:rFonts w:ascii="Wingdings" w:hAnsi="Wingdings" w:hint="default"/>
      </w:rPr>
    </w:lvl>
    <w:lvl w:ilvl="3" w:tplc="7D92CA36" w:tentative="1">
      <w:start w:val="1"/>
      <w:numFmt w:val="bullet"/>
      <w:lvlText w:val=""/>
      <w:lvlJc w:val="left"/>
      <w:pPr>
        <w:ind w:left="2000" w:hanging="400"/>
      </w:pPr>
      <w:rPr>
        <w:rFonts w:ascii="Wingdings" w:hAnsi="Wingdings" w:hint="default"/>
      </w:rPr>
    </w:lvl>
    <w:lvl w:ilvl="4" w:tplc="F324503A" w:tentative="1">
      <w:start w:val="1"/>
      <w:numFmt w:val="bullet"/>
      <w:lvlText w:val=""/>
      <w:lvlJc w:val="left"/>
      <w:pPr>
        <w:ind w:left="2400" w:hanging="400"/>
      </w:pPr>
      <w:rPr>
        <w:rFonts w:ascii="Wingdings" w:hAnsi="Wingdings" w:hint="default"/>
      </w:rPr>
    </w:lvl>
    <w:lvl w:ilvl="5" w:tplc="3DF434DA" w:tentative="1">
      <w:start w:val="1"/>
      <w:numFmt w:val="bullet"/>
      <w:lvlText w:val=""/>
      <w:lvlJc w:val="left"/>
      <w:pPr>
        <w:ind w:left="2800" w:hanging="400"/>
      </w:pPr>
      <w:rPr>
        <w:rFonts w:ascii="Wingdings" w:hAnsi="Wingdings" w:hint="default"/>
      </w:rPr>
    </w:lvl>
    <w:lvl w:ilvl="6" w:tplc="DB96A5C2" w:tentative="1">
      <w:start w:val="1"/>
      <w:numFmt w:val="bullet"/>
      <w:lvlText w:val=""/>
      <w:lvlJc w:val="left"/>
      <w:pPr>
        <w:ind w:left="3200" w:hanging="400"/>
      </w:pPr>
      <w:rPr>
        <w:rFonts w:ascii="Wingdings" w:hAnsi="Wingdings" w:hint="default"/>
      </w:rPr>
    </w:lvl>
    <w:lvl w:ilvl="7" w:tplc="B07ACC3C" w:tentative="1">
      <w:start w:val="1"/>
      <w:numFmt w:val="bullet"/>
      <w:lvlText w:val=""/>
      <w:lvlJc w:val="left"/>
      <w:pPr>
        <w:ind w:left="3600" w:hanging="400"/>
      </w:pPr>
      <w:rPr>
        <w:rFonts w:ascii="Wingdings" w:hAnsi="Wingdings" w:hint="default"/>
      </w:rPr>
    </w:lvl>
    <w:lvl w:ilvl="8" w:tplc="C914C162" w:tentative="1">
      <w:start w:val="1"/>
      <w:numFmt w:val="bullet"/>
      <w:lvlText w:val=""/>
      <w:lvlJc w:val="left"/>
      <w:pPr>
        <w:ind w:left="4000" w:hanging="400"/>
      </w:pPr>
      <w:rPr>
        <w:rFonts w:ascii="Wingdings" w:hAnsi="Wingdings" w:hint="default"/>
      </w:rPr>
    </w:lvl>
  </w:abstractNum>
  <w:abstractNum w:abstractNumId="17" w15:restartNumberingAfterBreak="0">
    <w:nsid w:val="1BC16F69"/>
    <w:multiLevelType w:val="hybridMultilevel"/>
    <w:tmpl w:val="B352E65C"/>
    <w:lvl w:ilvl="0" w:tplc="38348818">
      <w:start w:val="1"/>
      <w:numFmt w:val="bullet"/>
      <w:lvlText w:val="*"/>
      <w:lvlJc w:val="left"/>
      <w:pPr>
        <w:ind w:left="269" w:hanging="154"/>
      </w:pPr>
      <w:rPr>
        <w:rFonts w:ascii="Times New Roman" w:eastAsia="Times New Roman" w:hAnsi="Times New Roman" w:hint="default"/>
        <w:sz w:val="20"/>
        <w:szCs w:val="20"/>
      </w:rPr>
    </w:lvl>
    <w:lvl w:ilvl="1" w:tplc="A9BADABA">
      <w:start w:val="1"/>
      <w:numFmt w:val="bullet"/>
      <w:lvlText w:val=""/>
      <w:lvlJc w:val="left"/>
      <w:pPr>
        <w:ind w:left="836" w:hanging="365"/>
      </w:pPr>
      <w:rPr>
        <w:rFonts w:ascii="Symbol" w:eastAsia="Symbol" w:hAnsi="Symbol" w:hint="default"/>
        <w:sz w:val="22"/>
        <w:szCs w:val="22"/>
      </w:rPr>
    </w:lvl>
    <w:lvl w:ilvl="2" w:tplc="B22499F8">
      <w:start w:val="1"/>
      <w:numFmt w:val="bullet"/>
      <w:lvlText w:val="•"/>
      <w:lvlJc w:val="left"/>
      <w:pPr>
        <w:ind w:left="1775" w:hanging="365"/>
      </w:pPr>
      <w:rPr>
        <w:rFonts w:hint="default"/>
      </w:rPr>
    </w:lvl>
    <w:lvl w:ilvl="3" w:tplc="65B8E1D8">
      <w:start w:val="1"/>
      <w:numFmt w:val="bullet"/>
      <w:lvlText w:val="•"/>
      <w:lvlJc w:val="left"/>
      <w:pPr>
        <w:ind w:left="2714" w:hanging="365"/>
      </w:pPr>
      <w:rPr>
        <w:rFonts w:hint="default"/>
      </w:rPr>
    </w:lvl>
    <w:lvl w:ilvl="4" w:tplc="95D81A78">
      <w:start w:val="1"/>
      <w:numFmt w:val="bullet"/>
      <w:lvlText w:val="•"/>
      <w:lvlJc w:val="left"/>
      <w:pPr>
        <w:ind w:left="3653" w:hanging="365"/>
      </w:pPr>
      <w:rPr>
        <w:rFonts w:hint="default"/>
      </w:rPr>
    </w:lvl>
    <w:lvl w:ilvl="5" w:tplc="DCD8D4C6">
      <w:start w:val="1"/>
      <w:numFmt w:val="bullet"/>
      <w:lvlText w:val="•"/>
      <w:lvlJc w:val="left"/>
      <w:pPr>
        <w:ind w:left="4592" w:hanging="365"/>
      </w:pPr>
      <w:rPr>
        <w:rFonts w:hint="default"/>
      </w:rPr>
    </w:lvl>
    <w:lvl w:ilvl="6" w:tplc="67849CAA">
      <w:start w:val="1"/>
      <w:numFmt w:val="bullet"/>
      <w:lvlText w:val="•"/>
      <w:lvlJc w:val="left"/>
      <w:pPr>
        <w:ind w:left="5532" w:hanging="365"/>
      </w:pPr>
      <w:rPr>
        <w:rFonts w:hint="default"/>
      </w:rPr>
    </w:lvl>
    <w:lvl w:ilvl="7" w:tplc="ACD4AFFC">
      <w:start w:val="1"/>
      <w:numFmt w:val="bullet"/>
      <w:lvlText w:val="•"/>
      <w:lvlJc w:val="left"/>
      <w:pPr>
        <w:ind w:left="6471" w:hanging="365"/>
      </w:pPr>
      <w:rPr>
        <w:rFonts w:hint="default"/>
      </w:rPr>
    </w:lvl>
    <w:lvl w:ilvl="8" w:tplc="E26ABBD0">
      <w:start w:val="1"/>
      <w:numFmt w:val="bullet"/>
      <w:lvlText w:val="•"/>
      <w:lvlJc w:val="left"/>
      <w:pPr>
        <w:ind w:left="7410" w:hanging="365"/>
      </w:pPr>
      <w:rPr>
        <w:rFonts w:hint="default"/>
      </w:rPr>
    </w:lvl>
  </w:abstractNum>
  <w:abstractNum w:abstractNumId="18" w15:restartNumberingAfterBreak="0">
    <w:nsid w:val="1C0D4D16"/>
    <w:multiLevelType w:val="hybridMultilevel"/>
    <w:tmpl w:val="D674B0A2"/>
    <w:lvl w:ilvl="0" w:tplc="243A4AFC">
      <w:start w:val="1"/>
      <w:numFmt w:val="bullet"/>
      <w:lvlText w:val="●"/>
      <w:lvlJc w:val="left"/>
      <w:pPr>
        <w:ind w:left="716" w:hanging="601"/>
      </w:pPr>
      <w:rPr>
        <w:rFonts w:ascii="Times New Roman" w:eastAsia="Times New Roman" w:hAnsi="Times New Roman" w:hint="default"/>
        <w:b/>
        <w:bCs/>
        <w:sz w:val="20"/>
        <w:szCs w:val="20"/>
      </w:rPr>
    </w:lvl>
    <w:lvl w:ilvl="1" w:tplc="243A4AFC">
      <w:start w:val="1"/>
      <w:numFmt w:val="bullet"/>
      <w:lvlText w:val="●"/>
      <w:lvlJc w:val="left"/>
      <w:pPr>
        <w:ind w:left="836" w:hanging="361"/>
      </w:pPr>
      <w:rPr>
        <w:rFonts w:ascii="Times New Roman" w:eastAsia="Times New Roman" w:hAnsi="Times New Roman" w:hint="default"/>
        <w:b/>
        <w:bCs/>
        <w:sz w:val="20"/>
        <w:szCs w:val="20"/>
      </w:rPr>
    </w:lvl>
    <w:lvl w:ilvl="2" w:tplc="4FE8DCB6">
      <w:start w:val="1"/>
      <w:numFmt w:val="bullet"/>
      <w:lvlText w:val="•"/>
      <w:lvlJc w:val="left"/>
      <w:pPr>
        <w:ind w:left="1773" w:hanging="361"/>
      </w:pPr>
      <w:rPr>
        <w:rFonts w:hint="default"/>
      </w:rPr>
    </w:lvl>
    <w:lvl w:ilvl="3" w:tplc="D250DEB4">
      <w:start w:val="1"/>
      <w:numFmt w:val="bullet"/>
      <w:lvlText w:val="•"/>
      <w:lvlJc w:val="left"/>
      <w:pPr>
        <w:ind w:left="2709" w:hanging="361"/>
      </w:pPr>
      <w:rPr>
        <w:rFonts w:hint="default"/>
      </w:rPr>
    </w:lvl>
    <w:lvl w:ilvl="4" w:tplc="54440E0E">
      <w:start w:val="1"/>
      <w:numFmt w:val="bullet"/>
      <w:lvlText w:val="•"/>
      <w:lvlJc w:val="left"/>
      <w:pPr>
        <w:ind w:left="3646" w:hanging="361"/>
      </w:pPr>
      <w:rPr>
        <w:rFonts w:hint="default"/>
      </w:rPr>
    </w:lvl>
    <w:lvl w:ilvl="5" w:tplc="892828A6">
      <w:start w:val="1"/>
      <w:numFmt w:val="bullet"/>
      <w:lvlText w:val="•"/>
      <w:lvlJc w:val="left"/>
      <w:pPr>
        <w:ind w:left="4583" w:hanging="361"/>
      </w:pPr>
      <w:rPr>
        <w:rFonts w:hint="default"/>
      </w:rPr>
    </w:lvl>
    <w:lvl w:ilvl="6" w:tplc="AD9261D2">
      <w:start w:val="1"/>
      <w:numFmt w:val="bullet"/>
      <w:lvlText w:val="•"/>
      <w:lvlJc w:val="left"/>
      <w:pPr>
        <w:ind w:left="5520" w:hanging="361"/>
      </w:pPr>
      <w:rPr>
        <w:rFonts w:hint="default"/>
      </w:rPr>
    </w:lvl>
    <w:lvl w:ilvl="7" w:tplc="26BE95A8">
      <w:start w:val="1"/>
      <w:numFmt w:val="bullet"/>
      <w:lvlText w:val="•"/>
      <w:lvlJc w:val="left"/>
      <w:pPr>
        <w:ind w:left="6457" w:hanging="361"/>
      </w:pPr>
      <w:rPr>
        <w:rFonts w:hint="default"/>
      </w:rPr>
    </w:lvl>
    <w:lvl w:ilvl="8" w:tplc="E7D20C14">
      <w:start w:val="1"/>
      <w:numFmt w:val="bullet"/>
      <w:lvlText w:val="•"/>
      <w:lvlJc w:val="left"/>
      <w:pPr>
        <w:ind w:left="7394" w:hanging="361"/>
      </w:pPr>
      <w:rPr>
        <w:rFonts w:hint="default"/>
      </w:rPr>
    </w:lvl>
  </w:abstractNum>
  <w:abstractNum w:abstractNumId="19" w15:restartNumberingAfterBreak="0">
    <w:nsid w:val="1F830A5F"/>
    <w:multiLevelType w:val="hybridMultilevel"/>
    <w:tmpl w:val="1B26F29C"/>
    <w:lvl w:ilvl="0" w:tplc="9534743C">
      <w:start w:val="1"/>
      <w:numFmt w:val="bullet"/>
      <w:lvlText w:val="*"/>
      <w:lvlJc w:val="left"/>
      <w:pPr>
        <w:ind w:left="547" w:hanging="154"/>
      </w:pPr>
      <w:rPr>
        <w:rFonts w:ascii="Times New Roman" w:eastAsia="Times New Roman" w:hAnsi="Times New Roman" w:hint="default"/>
        <w:sz w:val="20"/>
        <w:szCs w:val="20"/>
      </w:rPr>
    </w:lvl>
    <w:lvl w:ilvl="1" w:tplc="84CC298A">
      <w:start w:val="1"/>
      <w:numFmt w:val="bullet"/>
      <w:lvlText w:val=""/>
      <w:lvlJc w:val="left"/>
      <w:pPr>
        <w:ind w:left="6026" w:hanging="356"/>
      </w:pPr>
      <w:rPr>
        <w:rFonts w:ascii="Symbol" w:eastAsia="Symbol" w:hAnsi="Symbol" w:hint="default"/>
        <w:sz w:val="22"/>
        <w:szCs w:val="22"/>
      </w:rPr>
    </w:lvl>
    <w:lvl w:ilvl="2" w:tplc="E4B8132C">
      <w:start w:val="1"/>
      <w:numFmt w:val="bullet"/>
      <w:lvlText w:val=""/>
      <w:lvlJc w:val="left"/>
      <w:pPr>
        <w:ind w:left="1113" w:hanging="361"/>
      </w:pPr>
      <w:rPr>
        <w:rFonts w:ascii="Symbol" w:eastAsia="Symbol" w:hAnsi="Symbol" w:hint="default"/>
        <w:sz w:val="22"/>
        <w:szCs w:val="22"/>
      </w:rPr>
    </w:lvl>
    <w:lvl w:ilvl="3" w:tplc="C0B80E5A">
      <w:start w:val="1"/>
      <w:numFmt w:val="bullet"/>
      <w:lvlText w:val="•"/>
      <w:lvlJc w:val="left"/>
      <w:pPr>
        <w:ind w:left="2160" w:hanging="361"/>
      </w:pPr>
      <w:rPr>
        <w:rFonts w:hint="default"/>
      </w:rPr>
    </w:lvl>
    <w:lvl w:ilvl="4" w:tplc="F73076CA">
      <w:start w:val="1"/>
      <w:numFmt w:val="bullet"/>
      <w:lvlText w:val="•"/>
      <w:lvlJc w:val="left"/>
      <w:pPr>
        <w:ind w:left="3206" w:hanging="361"/>
      </w:pPr>
      <w:rPr>
        <w:rFonts w:hint="default"/>
      </w:rPr>
    </w:lvl>
    <w:lvl w:ilvl="5" w:tplc="806896F6">
      <w:start w:val="1"/>
      <w:numFmt w:val="bullet"/>
      <w:lvlText w:val="•"/>
      <w:lvlJc w:val="left"/>
      <w:pPr>
        <w:ind w:left="4253" w:hanging="361"/>
      </w:pPr>
      <w:rPr>
        <w:rFonts w:hint="default"/>
      </w:rPr>
    </w:lvl>
    <w:lvl w:ilvl="6" w:tplc="05B664D6">
      <w:start w:val="1"/>
      <w:numFmt w:val="bullet"/>
      <w:lvlText w:val="•"/>
      <w:lvlJc w:val="left"/>
      <w:pPr>
        <w:ind w:left="5300" w:hanging="361"/>
      </w:pPr>
      <w:rPr>
        <w:rFonts w:hint="default"/>
      </w:rPr>
    </w:lvl>
    <w:lvl w:ilvl="7" w:tplc="FB84ABC4">
      <w:start w:val="1"/>
      <w:numFmt w:val="bullet"/>
      <w:lvlText w:val="•"/>
      <w:lvlJc w:val="left"/>
      <w:pPr>
        <w:ind w:left="6346" w:hanging="361"/>
      </w:pPr>
      <w:rPr>
        <w:rFonts w:hint="default"/>
      </w:rPr>
    </w:lvl>
    <w:lvl w:ilvl="8" w:tplc="19147E64">
      <w:start w:val="1"/>
      <w:numFmt w:val="bullet"/>
      <w:lvlText w:val="•"/>
      <w:lvlJc w:val="left"/>
      <w:pPr>
        <w:ind w:left="7393" w:hanging="361"/>
      </w:pPr>
      <w:rPr>
        <w:rFonts w:hint="default"/>
      </w:rPr>
    </w:lvl>
  </w:abstractNum>
  <w:abstractNum w:abstractNumId="20" w15:restartNumberingAfterBreak="0">
    <w:nsid w:val="275B0E2E"/>
    <w:multiLevelType w:val="hybridMultilevel"/>
    <w:tmpl w:val="634E4034"/>
    <w:lvl w:ilvl="0" w:tplc="9DD68496">
      <w:start w:val="1"/>
      <w:numFmt w:val="decimal"/>
      <w:lvlText w:val="%1."/>
      <w:lvlJc w:val="left"/>
      <w:pPr>
        <w:ind w:left="683" w:hanging="567"/>
      </w:pPr>
      <w:rPr>
        <w:rFonts w:ascii="Times New Roman" w:eastAsia="Times New Roman" w:hAnsi="Times New Roman" w:hint="default"/>
        <w:sz w:val="22"/>
        <w:szCs w:val="22"/>
      </w:rPr>
    </w:lvl>
    <w:lvl w:ilvl="1" w:tplc="D2A80804">
      <w:start w:val="1"/>
      <w:numFmt w:val="bullet"/>
      <w:lvlText w:val="•"/>
      <w:lvlJc w:val="left"/>
      <w:pPr>
        <w:ind w:left="1541" w:hanging="567"/>
      </w:pPr>
      <w:rPr>
        <w:rFonts w:hint="default"/>
      </w:rPr>
    </w:lvl>
    <w:lvl w:ilvl="2" w:tplc="BF387544">
      <w:start w:val="1"/>
      <w:numFmt w:val="bullet"/>
      <w:lvlText w:val="•"/>
      <w:lvlJc w:val="left"/>
      <w:pPr>
        <w:ind w:left="2400" w:hanging="567"/>
      </w:pPr>
      <w:rPr>
        <w:rFonts w:hint="default"/>
      </w:rPr>
    </w:lvl>
    <w:lvl w:ilvl="3" w:tplc="0B8EAA36">
      <w:start w:val="1"/>
      <w:numFmt w:val="bullet"/>
      <w:lvlText w:val="•"/>
      <w:lvlJc w:val="left"/>
      <w:pPr>
        <w:ind w:left="3259" w:hanging="567"/>
      </w:pPr>
      <w:rPr>
        <w:rFonts w:hint="default"/>
      </w:rPr>
    </w:lvl>
    <w:lvl w:ilvl="4" w:tplc="5762BA50">
      <w:start w:val="1"/>
      <w:numFmt w:val="bullet"/>
      <w:lvlText w:val="•"/>
      <w:lvlJc w:val="left"/>
      <w:pPr>
        <w:ind w:left="4117" w:hanging="567"/>
      </w:pPr>
      <w:rPr>
        <w:rFonts w:hint="default"/>
      </w:rPr>
    </w:lvl>
    <w:lvl w:ilvl="5" w:tplc="12CA18D4">
      <w:start w:val="1"/>
      <w:numFmt w:val="bullet"/>
      <w:lvlText w:val="•"/>
      <w:lvlJc w:val="left"/>
      <w:pPr>
        <w:ind w:left="4976" w:hanging="567"/>
      </w:pPr>
      <w:rPr>
        <w:rFonts w:hint="default"/>
      </w:rPr>
    </w:lvl>
    <w:lvl w:ilvl="6" w:tplc="E7E8575E">
      <w:start w:val="1"/>
      <w:numFmt w:val="bullet"/>
      <w:lvlText w:val="•"/>
      <w:lvlJc w:val="left"/>
      <w:pPr>
        <w:ind w:left="5834" w:hanging="567"/>
      </w:pPr>
      <w:rPr>
        <w:rFonts w:hint="default"/>
      </w:rPr>
    </w:lvl>
    <w:lvl w:ilvl="7" w:tplc="4704C5A8">
      <w:start w:val="1"/>
      <w:numFmt w:val="bullet"/>
      <w:lvlText w:val="•"/>
      <w:lvlJc w:val="left"/>
      <w:pPr>
        <w:ind w:left="6693" w:hanging="567"/>
      </w:pPr>
      <w:rPr>
        <w:rFonts w:hint="default"/>
      </w:rPr>
    </w:lvl>
    <w:lvl w:ilvl="8" w:tplc="389C3260">
      <w:start w:val="1"/>
      <w:numFmt w:val="bullet"/>
      <w:lvlText w:val="•"/>
      <w:lvlJc w:val="left"/>
      <w:pPr>
        <w:ind w:left="7551" w:hanging="567"/>
      </w:pPr>
      <w:rPr>
        <w:rFonts w:hint="default"/>
      </w:rPr>
    </w:lvl>
  </w:abstractNum>
  <w:abstractNum w:abstractNumId="21" w15:restartNumberingAfterBreak="0">
    <w:nsid w:val="29A136AB"/>
    <w:multiLevelType w:val="hybridMultilevel"/>
    <w:tmpl w:val="37C26736"/>
    <w:lvl w:ilvl="0" w:tplc="4B6E448A">
      <w:start w:val="1"/>
      <w:numFmt w:val="bullet"/>
      <w:lvlText w:val=""/>
      <w:lvlJc w:val="left"/>
      <w:pPr>
        <w:ind w:left="800" w:hanging="400"/>
      </w:pPr>
      <w:rPr>
        <w:rFonts w:ascii="Wingdings" w:hAnsi="Wingdings" w:hint="default"/>
      </w:rPr>
    </w:lvl>
    <w:lvl w:ilvl="1" w:tplc="EED64660" w:tentative="1">
      <w:start w:val="1"/>
      <w:numFmt w:val="bullet"/>
      <w:lvlText w:val=""/>
      <w:lvlJc w:val="left"/>
      <w:pPr>
        <w:ind w:left="1200" w:hanging="400"/>
      </w:pPr>
      <w:rPr>
        <w:rFonts w:ascii="Wingdings" w:hAnsi="Wingdings" w:hint="default"/>
      </w:rPr>
    </w:lvl>
    <w:lvl w:ilvl="2" w:tplc="2464731E" w:tentative="1">
      <w:start w:val="1"/>
      <w:numFmt w:val="bullet"/>
      <w:lvlText w:val=""/>
      <w:lvlJc w:val="left"/>
      <w:pPr>
        <w:ind w:left="1600" w:hanging="400"/>
      </w:pPr>
      <w:rPr>
        <w:rFonts w:ascii="Wingdings" w:hAnsi="Wingdings" w:hint="default"/>
      </w:rPr>
    </w:lvl>
    <w:lvl w:ilvl="3" w:tplc="DAC09A42" w:tentative="1">
      <w:start w:val="1"/>
      <w:numFmt w:val="bullet"/>
      <w:lvlText w:val=""/>
      <w:lvlJc w:val="left"/>
      <w:pPr>
        <w:ind w:left="2000" w:hanging="400"/>
      </w:pPr>
      <w:rPr>
        <w:rFonts w:ascii="Wingdings" w:hAnsi="Wingdings" w:hint="default"/>
      </w:rPr>
    </w:lvl>
    <w:lvl w:ilvl="4" w:tplc="5CDAADF0" w:tentative="1">
      <w:start w:val="1"/>
      <w:numFmt w:val="bullet"/>
      <w:lvlText w:val=""/>
      <w:lvlJc w:val="left"/>
      <w:pPr>
        <w:ind w:left="2400" w:hanging="400"/>
      </w:pPr>
      <w:rPr>
        <w:rFonts w:ascii="Wingdings" w:hAnsi="Wingdings" w:hint="default"/>
      </w:rPr>
    </w:lvl>
    <w:lvl w:ilvl="5" w:tplc="4948B88E" w:tentative="1">
      <w:start w:val="1"/>
      <w:numFmt w:val="bullet"/>
      <w:lvlText w:val=""/>
      <w:lvlJc w:val="left"/>
      <w:pPr>
        <w:ind w:left="2800" w:hanging="400"/>
      </w:pPr>
      <w:rPr>
        <w:rFonts w:ascii="Wingdings" w:hAnsi="Wingdings" w:hint="default"/>
      </w:rPr>
    </w:lvl>
    <w:lvl w:ilvl="6" w:tplc="B956B6BE" w:tentative="1">
      <w:start w:val="1"/>
      <w:numFmt w:val="bullet"/>
      <w:lvlText w:val=""/>
      <w:lvlJc w:val="left"/>
      <w:pPr>
        <w:ind w:left="3200" w:hanging="400"/>
      </w:pPr>
      <w:rPr>
        <w:rFonts w:ascii="Wingdings" w:hAnsi="Wingdings" w:hint="default"/>
      </w:rPr>
    </w:lvl>
    <w:lvl w:ilvl="7" w:tplc="28BAD382" w:tentative="1">
      <w:start w:val="1"/>
      <w:numFmt w:val="bullet"/>
      <w:lvlText w:val=""/>
      <w:lvlJc w:val="left"/>
      <w:pPr>
        <w:ind w:left="3600" w:hanging="400"/>
      </w:pPr>
      <w:rPr>
        <w:rFonts w:ascii="Wingdings" w:hAnsi="Wingdings" w:hint="default"/>
      </w:rPr>
    </w:lvl>
    <w:lvl w:ilvl="8" w:tplc="9A0C284C" w:tentative="1">
      <w:start w:val="1"/>
      <w:numFmt w:val="bullet"/>
      <w:lvlText w:val=""/>
      <w:lvlJc w:val="left"/>
      <w:pPr>
        <w:ind w:left="4000" w:hanging="400"/>
      </w:pPr>
      <w:rPr>
        <w:rFonts w:ascii="Wingdings" w:hAnsi="Wingdings" w:hint="default"/>
      </w:rPr>
    </w:lvl>
  </w:abstractNum>
  <w:abstractNum w:abstractNumId="22" w15:restartNumberingAfterBreak="0">
    <w:nsid w:val="29DF0609"/>
    <w:multiLevelType w:val="hybridMultilevel"/>
    <w:tmpl w:val="87CAE598"/>
    <w:lvl w:ilvl="0" w:tplc="DE42185E">
      <w:start w:val="1"/>
      <w:numFmt w:val="bullet"/>
      <w:lvlText w:val=""/>
      <w:lvlJc w:val="left"/>
      <w:pPr>
        <w:ind w:left="684" w:hanging="400"/>
      </w:pPr>
      <w:rPr>
        <w:rFonts w:ascii="Wingdings" w:hAnsi="Wingdings" w:hint="default"/>
      </w:rPr>
    </w:lvl>
    <w:lvl w:ilvl="1" w:tplc="4A9A86C6" w:tentative="1">
      <w:start w:val="1"/>
      <w:numFmt w:val="bullet"/>
      <w:lvlText w:val=""/>
      <w:lvlJc w:val="left"/>
      <w:pPr>
        <w:ind w:left="1200" w:hanging="400"/>
      </w:pPr>
      <w:rPr>
        <w:rFonts w:ascii="Wingdings" w:hAnsi="Wingdings" w:hint="default"/>
      </w:rPr>
    </w:lvl>
    <w:lvl w:ilvl="2" w:tplc="01E28004" w:tentative="1">
      <w:start w:val="1"/>
      <w:numFmt w:val="bullet"/>
      <w:lvlText w:val=""/>
      <w:lvlJc w:val="left"/>
      <w:pPr>
        <w:ind w:left="1600" w:hanging="400"/>
      </w:pPr>
      <w:rPr>
        <w:rFonts w:ascii="Wingdings" w:hAnsi="Wingdings" w:hint="default"/>
      </w:rPr>
    </w:lvl>
    <w:lvl w:ilvl="3" w:tplc="7D92CA36" w:tentative="1">
      <w:start w:val="1"/>
      <w:numFmt w:val="bullet"/>
      <w:lvlText w:val=""/>
      <w:lvlJc w:val="left"/>
      <w:pPr>
        <w:ind w:left="2000" w:hanging="400"/>
      </w:pPr>
      <w:rPr>
        <w:rFonts w:ascii="Wingdings" w:hAnsi="Wingdings" w:hint="default"/>
      </w:rPr>
    </w:lvl>
    <w:lvl w:ilvl="4" w:tplc="F324503A" w:tentative="1">
      <w:start w:val="1"/>
      <w:numFmt w:val="bullet"/>
      <w:lvlText w:val=""/>
      <w:lvlJc w:val="left"/>
      <w:pPr>
        <w:ind w:left="2400" w:hanging="400"/>
      </w:pPr>
      <w:rPr>
        <w:rFonts w:ascii="Wingdings" w:hAnsi="Wingdings" w:hint="default"/>
      </w:rPr>
    </w:lvl>
    <w:lvl w:ilvl="5" w:tplc="3DF434DA" w:tentative="1">
      <w:start w:val="1"/>
      <w:numFmt w:val="bullet"/>
      <w:lvlText w:val=""/>
      <w:lvlJc w:val="left"/>
      <w:pPr>
        <w:ind w:left="2800" w:hanging="400"/>
      </w:pPr>
      <w:rPr>
        <w:rFonts w:ascii="Wingdings" w:hAnsi="Wingdings" w:hint="default"/>
      </w:rPr>
    </w:lvl>
    <w:lvl w:ilvl="6" w:tplc="DB96A5C2" w:tentative="1">
      <w:start w:val="1"/>
      <w:numFmt w:val="bullet"/>
      <w:lvlText w:val=""/>
      <w:lvlJc w:val="left"/>
      <w:pPr>
        <w:ind w:left="3200" w:hanging="400"/>
      </w:pPr>
      <w:rPr>
        <w:rFonts w:ascii="Wingdings" w:hAnsi="Wingdings" w:hint="default"/>
      </w:rPr>
    </w:lvl>
    <w:lvl w:ilvl="7" w:tplc="B07ACC3C" w:tentative="1">
      <w:start w:val="1"/>
      <w:numFmt w:val="bullet"/>
      <w:lvlText w:val=""/>
      <w:lvlJc w:val="left"/>
      <w:pPr>
        <w:ind w:left="3600" w:hanging="400"/>
      </w:pPr>
      <w:rPr>
        <w:rFonts w:ascii="Wingdings" w:hAnsi="Wingdings" w:hint="default"/>
      </w:rPr>
    </w:lvl>
    <w:lvl w:ilvl="8" w:tplc="C914C162" w:tentative="1">
      <w:start w:val="1"/>
      <w:numFmt w:val="bullet"/>
      <w:lvlText w:val=""/>
      <w:lvlJc w:val="left"/>
      <w:pPr>
        <w:ind w:left="4000" w:hanging="400"/>
      </w:pPr>
      <w:rPr>
        <w:rFonts w:ascii="Wingdings" w:hAnsi="Wingdings" w:hint="default"/>
      </w:rPr>
    </w:lvl>
  </w:abstractNum>
  <w:abstractNum w:abstractNumId="23" w15:restartNumberingAfterBreak="0">
    <w:nsid w:val="29F83A55"/>
    <w:multiLevelType w:val="hybridMultilevel"/>
    <w:tmpl w:val="06FC3D6C"/>
    <w:lvl w:ilvl="0" w:tplc="243A4AFC">
      <w:start w:val="1"/>
      <w:numFmt w:val="bullet"/>
      <w:lvlText w:val="●"/>
      <w:lvlJc w:val="left"/>
      <w:pPr>
        <w:ind w:left="400" w:hanging="400"/>
      </w:pPr>
      <w:rPr>
        <w:rFonts w:ascii="Times New Roman" w:eastAsia="Times New Roman" w:hAnsi="Times New Roman" w:hint="default"/>
        <w:b/>
        <w:bCs/>
        <w:sz w:val="20"/>
        <w:szCs w:val="2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2A5A0632"/>
    <w:multiLevelType w:val="hybridMultilevel"/>
    <w:tmpl w:val="C2920178"/>
    <w:lvl w:ilvl="0" w:tplc="4F9EF6A6">
      <w:start w:val="1"/>
      <w:numFmt w:val="bullet"/>
      <w:lvlText w:val=""/>
      <w:lvlJc w:val="left"/>
      <w:pPr>
        <w:ind w:left="800" w:hanging="400"/>
      </w:pPr>
      <w:rPr>
        <w:rFonts w:ascii="Wingdings" w:hAnsi="Wingdings" w:hint="default"/>
      </w:rPr>
    </w:lvl>
    <w:lvl w:ilvl="1" w:tplc="C7BE36A2" w:tentative="1">
      <w:start w:val="1"/>
      <w:numFmt w:val="bullet"/>
      <w:lvlText w:val=""/>
      <w:lvlJc w:val="left"/>
      <w:pPr>
        <w:ind w:left="1200" w:hanging="400"/>
      </w:pPr>
      <w:rPr>
        <w:rFonts w:ascii="Wingdings" w:hAnsi="Wingdings" w:hint="default"/>
      </w:rPr>
    </w:lvl>
    <w:lvl w:ilvl="2" w:tplc="6C44C552" w:tentative="1">
      <w:start w:val="1"/>
      <w:numFmt w:val="bullet"/>
      <w:lvlText w:val=""/>
      <w:lvlJc w:val="left"/>
      <w:pPr>
        <w:ind w:left="1600" w:hanging="400"/>
      </w:pPr>
      <w:rPr>
        <w:rFonts w:ascii="Wingdings" w:hAnsi="Wingdings" w:hint="default"/>
      </w:rPr>
    </w:lvl>
    <w:lvl w:ilvl="3" w:tplc="4E6C0A74" w:tentative="1">
      <w:start w:val="1"/>
      <w:numFmt w:val="bullet"/>
      <w:lvlText w:val=""/>
      <w:lvlJc w:val="left"/>
      <w:pPr>
        <w:ind w:left="2000" w:hanging="400"/>
      </w:pPr>
      <w:rPr>
        <w:rFonts w:ascii="Wingdings" w:hAnsi="Wingdings" w:hint="default"/>
      </w:rPr>
    </w:lvl>
    <w:lvl w:ilvl="4" w:tplc="753ABEF6" w:tentative="1">
      <w:start w:val="1"/>
      <w:numFmt w:val="bullet"/>
      <w:lvlText w:val=""/>
      <w:lvlJc w:val="left"/>
      <w:pPr>
        <w:ind w:left="2400" w:hanging="400"/>
      </w:pPr>
      <w:rPr>
        <w:rFonts w:ascii="Wingdings" w:hAnsi="Wingdings" w:hint="default"/>
      </w:rPr>
    </w:lvl>
    <w:lvl w:ilvl="5" w:tplc="67C8C194" w:tentative="1">
      <w:start w:val="1"/>
      <w:numFmt w:val="bullet"/>
      <w:lvlText w:val=""/>
      <w:lvlJc w:val="left"/>
      <w:pPr>
        <w:ind w:left="2800" w:hanging="400"/>
      </w:pPr>
      <w:rPr>
        <w:rFonts w:ascii="Wingdings" w:hAnsi="Wingdings" w:hint="default"/>
      </w:rPr>
    </w:lvl>
    <w:lvl w:ilvl="6" w:tplc="046E5FFE" w:tentative="1">
      <w:start w:val="1"/>
      <w:numFmt w:val="bullet"/>
      <w:lvlText w:val=""/>
      <w:lvlJc w:val="left"/>
      <w:pPr>
        <w:ind w:left="3200" w:hanging="400"/>
      </w:pPr>
      <w:rPr>
        <w:rFonts w:ascii="Wingdings" w:hAnsi="Wingdings" w:hint="default"/>
      </w:rPr>
    </w:lvl>
    <w:lvl w:ilvl="7" w:tplc="FD0A0D9E" w:tentative="1">
      <w:start w:val="1"/>
      <w:numFmt w:val="bullet"/>
      <w:lvlText w:val=""/>
      <w:lvlJc w:val="left"/>
      <w:pPr>
        <w:ind w:left="3600" w:hanging="400"/>
      </w:pPr>
      <w:rPr>
        <w:rFonts w:ascii="Wingdings" w:hAnsi="Wingdings" w:hint="default"/>
      </w:rPr>
    </w:lvl>
    <w:lvl w:ilvl="8" w:tplc="A25ADDBE" w:tentative="1">
      <w:start w:val="1"/>
      <w:numFmt w:val="bullet"/>
      <w:lvlText w:val=""/>
      <w:lvlJc w:val="left"/>
      <w:pPr>
        <w:ind w:left="4000" w:hanging="400"/>
      </w:pPr>
      <w:rPr>
        <w:rFonts w:ascii="Wingdings" w:hAnsi="Wingdings" w:hint="default"/>
      </w:rPr>
    </w:lvl>
  </w:abstractNum>
  <w:abstractNum w:abstractNumId="25" w15:restartNumberingAfterBreak="0">
    <w:nsid w:val="345A2792"/>
    <w:multiLevelType w:val="hybridMultilevel"/>
    <w:tmpl w:val="6876F0A6"/>
    <w:lvl w:ilvl="0" w:tplc="C05E4DC2">
      <w:start w:val="1"/>
      <w:numFmt w:val="bullet"/>
      <w:lvlText w:val="-"/>
      <w:lvlJc w:val="left"/>
      <w:pPr>
        <w:tabs>
          <w:tab w:val="num" w:pos="567"/>
        </w:tabs>
        <w:ind w:left="373" w:hanging="400"/>
      </w:pPr>
      <w:rPr>
        <w:rFonts w:ascii="Times New Roman" w:eastAsia="바탕" w:hAnsi="Times New Roman" w:cs="Times New Roman" w:hint="default"/>
        <w:w w:val="99"/>
        <w:sz w:val="22"/>
        <w:szCs w:val="22"/>
      </w:rPr>
    </w:lvl>
    <w:lvl w:ilvl="1" w:tplc="94806430" w:tentative="1">
      <w:start w:val="1"/>
      <w:numFmt w:val="bullet"/>
      <w:lvlText w:val=""/>
      <w:lvlJc w:val="left"/>
      <w:pPr>
        <w:ind w:left="1200" w:hanging="400"/>
      </w:pPr>
      <w:rPr>
        <w:rFonts w:ascii="Wingdings" w:hAnsi="Wingdings" w:hint="default"/>
      </w:rPr>
    </w:lvl>
    <w:lvl w:ilvl="2" w:tplc="EFF074BA" w:tentative="1">
      <w:start w:val="1"/>
      <w:numFmt w:val="bullet"/>
      <w:lvlText w:val=""/>
      <w:lvlJc w:val="left"/>
      <w:pPr>
        <w:ind w:left="1600" w:hanging="400"/>
      </w:pPr>
      <w:rPr>
        <w:rFonts w:ascii="Wingdings" w:hAnsi="Wingdings" w:hint="default"/>
      </w:rPr>
    </w:lvl>
    <w:lvl w:ilvl="3" w:tplc="69127256" w:tentative="1">
      <w:start w:val="1"/>
      <w:numFmt w:val="bullet"/>
      <w:lvlText w:val=""/>
      <w:lvlJc w:val="left"/>
      <w:pPr>
        <w:ind w:left="2000" w:hanging="400"/>
      </w:pPr>
      <w:rPr>
        <w:rFonts w:ascii="Wingdings" w:hAnsi="Wingdings" w:hint="default"/>
      </w:rPr>
    </w:lvl>
    <w:lvl w:ilvl="4" w:tplc="E202FD12" w:tentative="1">
      <w:start w:val="1"/>
      <w:numFmt w:val="bullet"/>
      <w:lvlText w:val=""/>
      <w:lvlJc w:val="left"/>
      <w:pPr>
        <w:ind w:left="2400" w:hanging="400"/>
      </w:pPr>
      <w:rPr>
        <w:rFonts w:ascii="Wingdings" w:hAnsi="Wingdings" w:hint="default"/>
      </w:rPr>
    </w:lvl>
    <w:lvl w:ilvl="5" w:tplc="5CB04138" w:tentative="1">
      <w:start w:val="1"/>
      <w:numFmt w:val="bullet"/>
      <w:lvlText w:val=""/>
      <w:lvlJc w:val="left"/>
      <w:pPr>
        <w:ind w:left="2800" w:hanging="400"/>
      </w:pPr>
      <w:rPr>
        <w:rFonts w:ascii="Wingdings" w:hAnsi="Wingdings" w:hint="default"/>
      </w:rPr>
    </w:lvl>
    <w:lvl w:ilvl="6" w:tplc="7E9247AC" w:tentative="1">
      <w:start w:val="1"/>
      <w:numFmt w:val="bullet"/>
      <w:lvlText w:val=""/>
      <w:lvlJc w:val="left"/>
      <w:pPr>
        <w:ind w:left="3200" w:hanging="400"/>
      </w:pPr>
      <w:rPr>
        <w:rFonts w:ascii="Wingdings" w:hAnsi="Wingdings" w:hint="default"/>
      </w:rPr>
    </w:lvl>
    <w:lvl w:ilvl="7" w:tplc="0B180160" w:tentative="1">
      <w:start w:val="1"/>
      <w:numFmt w:val="bullet"/>
      <w:lvlText w:val=""/>
      <w:lvlJc w:val="left"/>
      <w:pPr>
        <w:ind w:left="3600" w:hanging="400"/>
      </w:pPr>
      <w:rPr>
        <w:rFonts w:ascii="Wingdings" w:hAnsi="Wingdings" w:hint="default"/>
      </w:rPr>
    </w:lvl>
    <w:lvl w:ilvl="8" w:tplc="42E25DF6" w:tentative="1">
      <w:start w:val="1"/>
      <w:numFmt w:val="bullet"/>
      <w:lvlText w:val=""/>
      <w:lvlJc w:val="left"/>
      <w:pPr>
        <w:ind w:left="4000" w:hanging="400"/>
      </w:pPr>
      <w:rPr>
        <w:rFonts w:ascii="Wingdings" w:hAnsi="Wingdings" w:hint="default"/>
      </w:rPr>
    </w:lvl>
  </w:abstractNum>
  <w:abstractNum w:abstractNumId="26" w15:restartNumberingAfterBreak="0">
    <w:nsid w:val="378F30C2"/>
    <w:multiLevelType w:val="hybridMultilevel"/>
    <w:tmpl w:val="90C8CE0C"/>
    <w:lvl w:ilvl="0" w:tplc="68C6CEB0">
      <w:start w:val="1"/>
      <w:numFmt w:val="bullet"/>
      <w:lvlText w:val="-"/>
      <w:lvlJc w:val="left"/>
      <w:pPr>
        <w:ind w:left="1120" w:hanging="360"/>
      </w:pPr>
      <w:rPr>
        <w:rFonts w:ascii="Arial" w:eastAsia="맑은 고딕" w:hAnsi="Arial" w:cs="Arial" w:hint="default"/>
      </w:rPr>
    </w:lvl>
    <w:lvl w:ilvl="1" w:tplc="E90E538A">
      <w:start w:val="1"/>
      <w:numFmt w:val="bullet"/>
      <w:lvlText w:val=""/>
      <w:lvlJc w:val="left"/>
      <w:pPr>
        <w:ind w:left="1560" w:hanging="400"/>
      </w:pPr>
      <w:rPr>
        <w:rFonts w:ascii="Wingdings" w:hAnsi="Wingdings" w:hint="default"/>
      </w:rPr>
    </w:lvl>
    <w:lvl w:ilvl="2" w:tplc="6D48F9E8">
      <w:start w:val="1"/>
      <w:numFmt w:val="bullet"/>
      <w:lvlText w:val=""/>
      <w:lvlJc w:val="left"/>
      <w:pPr>
        <w:ind w:left="1960" w:hanging="400"/>
      </w:pPr>
      <w:rPr>
        <w:rFonts w:ascii="Wingdings" w:hAnsi="Wingdings" w:hint="default"/>
      </w:rPr>
    </w:lvl>
    <w:lvl w:ilvl="3" w:tplc="F198FEF8">
      <w:start w:val="1"/>
      <w:numFmt w:val="bullet"/>
      <w:lvlText w:val=""/>
      <w:lvlJc w:val="left"/>
      <w:pPr>
        <w:ind w:left="2360" w:hanging="400"/>
      </w:pPr>
      <w:rPr>
        <w:rFonts w:ascii="Wingdings" w:hAnsi="Wingdings" w:hint="default"/>
      </w:rPr>
    </w:lvl>
    <w:lvl w:ilvl="4" w:tplc="F8AA481E">
      <w:start w:val="1"/>
      <w:numFmt w:val="bullet"/>
      <w:lvlText w:val=""/>
      <w:lvlJc w:val="left"/>
      <w:pPr>
        <w:ind w:left="2760" w:hanging="400"/>
      </w:pPr>
      <w:rPr>
        <w:rFonts w:ascii="Wingdings" w:hAnsi="Wingdings" w:hint="default"/>
      </w:rPr>
    </w:lvl>
    <w:lvl w:ilvl="5" w:tplc="F97C9140">
      <w:start w:val="1"/>
      <w:numFmt w:val="bullet"/>
      <w:lvlText w:val=""/>
      <w:lvlJc w:val="left"/>
      <w:pPr>
        <w:ind w:left="3160" w:hanging="400"/>
      </w:pPr>
      <w:rPr>
        <w:rFonts w:ascii="Wingdings" w:hAnsi="Wingdings" w:hint="default"/>
      </w:rPr>
    </w:lvl>
    <w:lvl w:ilvl="6" w:tplc="CBA043C6">
      <w:start w:val="1"/>
      <w:numFmt w:val="bullet"/>
      <w:lvlText w:val=""/>
      <w:lvlJc w:val="left"/>
      <w:pPr>
        <w:ind w:left="3560" w:hanging="400"/>
      </w:pPr>
      <w:rPr>
        <w:rFonts w:ascii="Wingdings" w:hAnsi="Wingdings" w:hint="default"/>
      </w:rPr>
    </w:lvl>
    <w:lvl w:ilvl="7" w:tplc="93ACD4EC">
      <w:start w:val="1"/>
      <w:numFmt w:val="bullet"/>
      <w:lvlText w:val=""/>
      <w:lvlJc w:val="left"/>
      <w:pPr>
        <w:ind w:left="3960" w:hanging="400"/>
      </w:pPr>
      <w:rPr>
        <w:rFonts w:ascii="Wingdings" w:hAnsi="Wingdings" w:hint="default"/>
      </w:rPr>
    </w:lvl>
    <w:lvl w:ilvl="8" w:tplc="231EAC7A">
      <w:start w:val="1"/>
      <w:numFmt w:val="bullet"/>
      <w:lvlText w:val=""/>
      <w:lvlJc w:val="left"/>
      <w:pPr>
        <w:ind w:left="4360" w:hanging="400"/>
      </w:pPr>
      <w:rPr>
        <w:rFonts w:ascii="Wingdings" w:hAnsi="Wingdings" w:hint="default"/>
      </w:rPr>
    </w:lvl>
  </w:abstractNum>
  <w:abstractNum w:abstractNumId="27" w15:restartNumberingAfterBreak="0">
    <w:nsid w:val="38A71B8C"/>
    <w:multiLevelType w:val="hybridMultilevel"/>
    <w:tmpl w:val="0F3E3B1A"/>
    <w:lvl w:ilvl="0" w:tplc="243A4AFC">
      <w:start w:val="1"/>
      <w:numFmt w:val="bullet"/>
      <w:lvlText w:val="●"/>
      <w:lvlJc w:val="left"/>
      <w:pPr>
        <w:ind w:left="800" w:hanging="400"/>
      </w:pPr>
      <w:rPr>
        <w:rFonts w:ascii="Times New Roman" w:eastAsia="Times New Roman" w:hAnsi="Times New Roman" w:hint="default"/>
        <w:b/>
        <w:bCs/>
        <w:sz w:val="20"/>
        <w:szCs w:val="20"/>
      </w:rPr>
    </w:lvl>
    <w:lvl w:ilvl="1" w:tplc="C7BE36A2" w:tentative="1">
      <w:start w:val="1"/>
      <w:numFmt w:val="bullet"/>
      <w:lvlText w:val=""/>
      <w:lvlJc w:val="left"/>
      <w:pPr>
        <w:ind w:left="1200" w:hanging="400"/>
      </w:pPr>
      <w:rPr>
        <w:rFonts w:ascii="Wingdings" w:hAnsi="Wingdings" w:hint="default"/>
      </w:rPr>
    </w:lvl>
    <w:lvl w:ilvl="2" w:tplc="6C44C552" w:tentative="1">
      <w:start w:val="1"/>
      <w:numFmt w:val="bullet"/>
      <w:lvlText w:val=""/>
      <w:lvlJc w:val="left"/>
      <w:pPr>
        <w:ind w:left="1600" w:hanging="400"/>
      </w:pPr>
      <w:rPr>
        <w:rFonts w:ascii="Wingdings" w:hAnsi="Wingdings" w:hint="default"/>
      </w:rPr>
    </w:lvl>
    <w:lvl w:ilvl="3" w:tplc="4E6C0A74" w:tentative="1">
      <w:start w:val="1"/>
      <w:numFmt w:val="bullet"/>
      <w:lvlText w:val=""/>
      <w:lvlJc w:val="left"/>
      <w:pPr>
        <w:ind w:left="2000" w:hanging="400"/>
      </w:pPr>
      <w:rPr>
        <w:rFonts w:ascii="Wingdings" w:hAnsi="Wingdings" w:hint="default"/>
      </w:rPr>
    </w:lvl>
    <w:lvl w:ilvl="4" w:tplc="753ABEF6" w:tentative="1">
      <w:start w:val="1"/>
      <w:numFmt w:val="bullet"/>
      <w:lvlText w:val=""/>
      <w:lvlJc w:val="left"/>
      <w:pPr>
        <w:ind w:left="2400" w:hanging="400"/>
      </w:pPr>
      <w:rPr>
        <w:rFonts w:ascii="Wingdings" w:hAnsi="Wingdings" w:hint="default"/>
      </w:rPr>
    </w:lvl>
    <w:lvl w:ilvl="5" w:tplc="67C8C194" w:tentative="1">
      <w:start w:val="1"/>
      <w:numFmt w:val="bullet"/>
      <w:lvlText w:val=""/>
      <w:lvlJc w:val="left"/>
      <w:pPr>
        <w:ind w:left="2800" w:hanging="400"/>
      </w:pPr>
      <w:rPr>
        <w:rFonts w:ascii="Wingdings" w:hAnsi="Wingdings" w:hint="default"/>
      </w:rPr>
    </w:lvl>
    <w:lvl w:ilvl="6" w:tplc="046E5FFE" w:tentative="1">
      <w:start w:val="1"/>
      <w:numFmt w:val="bullet"/>
      <w:lvlText w:val=""/>
      <w:lvlJc w:val="left"/>
      <w:pPr>
        <w:ind w:left="3200" w:hanging="400"/>
      </w:pPr>
      <w:rPr>
        <w:rFonts w:ascii="Wingdings" w:hAnsi="Wingdings" w:hint="default"/>
      </w:rPr>
    </w:lvl>
    <w:lvl w:ilvl="7" w:tplc="FD0A0D9E" w:tentative="1">
      <w:start w:val="1"/>
      <w:numFmt w:val="bullet"/>
      <w:lvlText w:val=""/>
      <w:lvlJc w:val="left"/>
      <w:pPr>
        <w:ind w:left="3600" w:hanging="400"/>
      </w:pPr>
      <w:rPr>
        <w:rFonts w:ascii="Wingdings" w:hAnsi="Wingdings" w:hint="default"/>
      </w:rPr>
    </w:lvl>
    <w:lvl w:ilvl="8" w:tplc="A25ADDBE" w:tentative="1">
      <w:start w:val="1"/>
      <w:numFmt w:val="bullet"/>
      <w:lvlText w:val=""/>
      <w:lvlJc w:val="left"/>
      <w:pPr>
        <w:ind w:left="4000" w:hanging="400"/>
      </w:pPr>
      <w:rPr>
        <w:rFonts w:ascii="Wingdings" w:hAnsi="Wingdings" w:hint="default"/>
      </w:rPr>
    </w:lvl>
  </w:abstractNum>
  <w:abstractNum w:abstractNumId="28" w15:restartNumberingAfterBreak="0">
    <w:nsid w:val="38E6173C"/>
    <w:multiLevelType w:val="hybridMultilevel"/>
    <w:tmpl w:val="87C0576C"/>
    <w:lvl w:ilvl="0" w:tplc="243A4AFC">
      <w:start w:val="1"/>
      <w:numFmt w:val="bullet"/>
      <w:lvlText w:val="●"/>
      <w:lvlJc w:val="left"/>
      <w:pPr>
        <w:ind w:left="800" w:hanging="400"/>
      </w:pPr>
      <w:rPr>
        <w:rFonts w:ascii="Times New Roman" w:eastAsia="Times New Roman" w:hAnsi="Times New Roman" w:hint="default"/>
        <w:b/>
        <w:bCs/>
        <w:sz w:val="20"/>
        <w:szCs w:val="20"/>
      </w:rPr>
    </w:lvl>
    <w:lvl w:ilvl="1" w:tplc="3BCC8400" w:tentative="1">
      <w:start w:val="1"/>
      <w:numFmt w:val="bullet"/>
      <w:lvlText w:val=""/>
      <w:lvlJc w:val="left"/>
      <w:pPr>
        <w:ind w:left="1200" w:hanging="400"/>
      </w:pPr>
      <w:rPr>
        <w:rFonts w:ascii="Wingdings" w:hAnsi="Wingdings" w:hint="default"/>
      </w:rPr>
    </w:lvl>
    <w:lvl w:ilvl="2" w:tplc="7E701D9A" w:tentative="1">
      <w:start w:val="1"/>
      <w:numFmt w:val="bullet"/>
      <w:lvlText w:val=""/>
      <w:lvlJc w:val="left"/>
      <w:pPr>
        <w:ind w:left="1600" w:hanging="400"/>
      </w:pPr>
      <w:rPr>
        <w:rFonts w:ascii="Wingdings" w:hAnsi="Wingdings" w:hint="default"/>
      </w:rPr>
    </w:lvl>
    <w:lvl w:ilvl="3" w:tplc="EF764692" w:tentative="1">
      <w:start w:val="1"/>
      <w:numFmt w:val="bullet"/>
      <w:lvlText w:val=""/>
      <w:lvlJc w:val="left"/>
      <w:pPr>
        <w:ind w:left="2000" w:hanging="400"/>
      </w:pPr>
      <w:rPr>
        <w:rFonts w:ascii="Wingdings" w:hAnsi="Wingdings" w:hint="default"/>
      </w:rPr>
    </w:lvl>
    <w:lvl w:ilvl="4" w:tplc="B204B3F0" w:tentative="1">
      <w:start w:val="1"/>
      <w:numFmt w:val="bullet"/>
      <w:lvlText w:val=""/>
      <w:lvlJc w:val="left"/>
      <w:pPr>
        <w:ind w:left="2400" w:hanging="400"/>
      </w:pPr>
      <w:rPr>
        <w:rFonts w:ascii="Wingdings" w:hAnsi="Wingdings" w:hint="default"/>
      </w:rPr>
    </w:lvl>
    <w:lvl w:ilvl="5" w:tplc="A22CDA2C" w:tentative="1">
      <w:start w:val="1"/>
      <w:numFmt w:val="bullet"/>
      <w:lvlText w:val=""/>
      <w:lvlJc w:val="left"/>
      <w:pPr>
        <w:ind w:left="2800" w:hanging="400"/>
      </w:pPr>
      <w:rPr>
        <w:rFonts w:ascii="Wingdings" w:hAnsi="Wingdings" w:hint="default"/>
      </w:rPr>
    </w:lvl>
    <w:lvl w:ilvl="6" w:tplc="689207E8" w:tentative="1">
      <w:start w:val="1"/>
      <w:numFmt w:val="bullet"/>
      <w:lvlText w:val=""/>
      <w:lvlJc w:val="left"/>
      <w:pPr>
        <w:ind w:left="3200" w:hanging="400"/>
      </w:pPr>
      <w:rPr>
        <w:rFonts w:ascii="Wingdings" w:hAnsi="Wingdings" w:hint="default"/>
      </w:rPr>
    </w:lvl>
    <w:lvl w:ilvl="7" w:tplc="D0EC6A68" w:tentative="1">
      <w:start w:val="1"/>
      <w:numFmt w:val="bullet"/>
      <w:lvlText w:val=""/>
      <w:lvlJc w:val="left"/>
      <w:pPr>
        <w:ind w:left="3600" w:hanging="400"/>
      </w:pPr>
      <w:rPr>
        <w:rFonts w:ascii="Wingdings" w:hAnsi="Wingdings" w:hint="default"/>
      </w:rPr>
    </w:lvl>
    <w:lvl w:ilvl="8" w:tplc="ADE4AFDE" w:tentative="1">
      <w:start w:val="1"/>
      <w:numFmt w:val="bullet"/>
      <w:lvlText w:val=""/>
      <w:lvlJc w:val="left"/>
      <w:pPr>
        <w:ind w:left="4000" w:hanging="400"/>
      </w:pPr>
      <w:rPr>
        <w:rFonts w:ascii="Wingdings" w:hAnsi="Wingdings" w:hint="default"/>
      </w:rPr>
    </w:lvl>
  </w:abstractNum>
  <w:abstractNum w:abstractNumId="29" w15:restartNumberingAfterBreak="0">
    <w:nsid w:val="3C177DC8"/>
    <w:multiLevelType w:val="hybridMultilevel"/>
    <w:tmpl w:val="5C4A092A"/>
    <w:lvl w:ilvl="0" w:tplc="088A17BC">
      <w:start w:val="1"/>
      <w:numFmt w:val="decimal"/>
      <w:lvlText w:val="%1."/>
      <w:lvlJc w:val="left"/>
      <w:pPr>
        <w:ind w:left="118" w:hanging="562"/>
      </w:pPr>
      <w:rPr>
        <w:rFonts w:ascii="Times New Roman" w:eastAsia="Times New Roman" w:hAnsi="Times New Roman" w:hint="default"/>
        <w:b/>
        <w:bCs/>
        <w:sz w:val="22"/>
        <w:szCs w:val="22"/>
      </w:rPr>
    </w:lvl>
    <w:lvl w:ilvl="1" w:tplc="DAC8CEB0">
      <w:start w:val="1"/>
      <w:numFmt w:val="bullet"/>
      <w:lvlText w:val=""/>
      <w:lvlJc w:val="left"/>
      <w:pPr>
        <w:ind w:left="826" w:hanging="349"/>
      </w:pPr>
      <w:rPr>
        <w:rFonts w:ascii="Symbol" w:eastAsia="Symbol" w:hAnsi="Symbol" w:hint="default"/>
        <w:sz w:val="22"/>
        <w:szCs w:val="22"/>
      </w:rPr>
    </w:lvl>
    <w:lvl w:ilvl="2" w:tplc="F5DA44B6">
      <w:start w:val="1"/>
      <w:numFmt w:val="bullet"/>
      <w:lvlText w:val="•"/>
      <w:lvlJc w:val="left"/>
      <w:pPr>
        <w:ind w:left="835" w:hanging="349"/>
      </w:pPr>
      <w:rPr>
        <w:rFonts w:hint="default"/>
      </w:rPr>
    </w:lvl>
    <w:lvl w:ilvl="3" w:tplc="5D9A4160">
      <w:start w:val="1"/>
      <w:numFmt w:val="bullet"/>
      <w:lvlText w:val="•"/>
      <w:lvlJc w:val="left"/>
      <w:pPr>
        <w:ind w:left="838" w:hanging="349"/>
      </w:pPr>
      <w:rPr>
        <w:rFonts w:hint="default"/>
      </w:rPr>
    </w:lvl>
    <w:lvl w:ilvl="4" w:tplc="70922860">
      <w:start w:val="1"/>
      <w:numFmt w:val="bullet"/>
      <w:lvlText w:val="•"/>
      <w:lvlJc w:val="left"/>
      <w:pPr>
        <w:ind w:left="838" w:hanging="349"/>
      </w:pPr>
      <w:rPr>
        <w:rFonts w:hint="default"/>
      </w:rPr>
    </w:lvl>
    <w:lvl w:ilvl="5" w:tplc="577EDB0C">
      <w:start w:val="1"/>
      <w:numFmt w:val="bullet"/>
      <w:lvlText w:val="•"/>
      <w:lvlJc w:val="left"/>
      <w:pPr>
        <w:ind w:left="2229" w:hanging="349"/>
      </w:pPr>
      <w:rPr>
        <w:rFonts w:hint="default"/>
      </w:rPr>
    </w:lvl>
    <w:lvl w:ilvl="6" w:tplc="14F08192">
      <w:start w:val="1"/>
      <w:numFmt w:val="bullet"/>
      <w:lvlText w:val="•"/>
      <w:lvlJc w:val="left"/>
      <w:pPr>
        <w:ind w:left="3621" w:hanging="349"/>
      </w:pPr>
      <w:rPr>
        <w:rFonts w:hint="default"/>
      </w:rPr>
    </w:lvl>
    <w:lvl w:ilvl="7" w:tplc="51DCD6E2">
      <w:start w:val="1"/>
      <w:numFmt w:val="bullet"/>
      <w:lvlText w:val="•"/>
      <w:lvlJc w:val="left"/>
      <w:pPr>
        <w:ind w:left="5012" w:hanging="349"/>
      </w:pPr>
      <w:rPr>
        <w:rFonts w:hint="default"/>
      </w:rPr>
    </w:lvl>
    <w:lvl w:ilvl="8" w:tplc="26B207EA">
      <w:start w:val="1"/>
      <w:numFmt w:val="bullet"/>
      <w:lvlText w:val="•"/>
      <w:lvlJc w:val="left"/>
      <w:pPr>
        <w:ind w:left="6403" w:hanging="349"/>
      </w:pPr>
      <w:rPr>
        <w:rFonts w:hint="default"/>
      </w:rPr>
    </w:lvl>
  </w:abstractNum>
  <w:abstractNum w:abstractNumId="30" w15:restartNumberingAfterBreak="0">
    <w:nsid w:val="3F612B24"/>
    <w:multiLevelType w:val="hybridMultilevel"/>
    <w:tmpl w:val="76FE6988"/>
    <w:lvl w:ilvl="0" w:tplc="A65EF61E">
      <w:start w:val="1"/>
      <w:numFmt w:val="bullet"/>
      <w:lvlText w:val=""/>
      <w:lvlJc w:val="left"/>
      <w:pPr>
        <w:ind w:left="830" w:hanging="361"/>
      </w:pPr>
      <w:rPr>
        <w:rFonts w:ascii="Symbol" w:eastAsia="Symbol" w:hAnsi="Symbol" w:hint="default"/>
        <w:sz w:val="22"/>
        <w:szCs w:val="22"/>
      </w:rPr>
    </w:lvl>
    <w:lvl w:ilvl="1" w:tplc="86C46BF0">
      <w:start w:val="1"/>
      <w:numFmt w:val="bullet"/>
      <w:lvlText w:val=""/>
      <w:lvlJc w:val="left"/>
      <w:pPr>
        <w:ind w:left="1551" w:hanging="361"/>
      </w:pPr>
      <w:rPr>
        <w:rFonts w:ascii="Symbol" w:eastAsia="Symbol" w:hAnsi="Symbol" w:hint="default"/>
        <w:sz w:val="22"/>
        <w:szCs w:val="22"/>
      </w:rPr>
    </w:lvl>
    <w:lvl w:ilvl="2" w:tplc="5AFAA71C">
      <w:start w:val="1"/>
      <w:numFmt w:val="bullet"/>
      <w:lvlText w:val="•"/>
      <w:lvlJc w:val="left"/>
      <w:pPr>
        <w:ind w:left="1551" w:hanging="361"/>
      </w:pPr>
      <w:rPr>
        <w:rFonts w:hint="default"/>
      </w:rPr>
    </w:lvl>
    <w:lvl w:ilvl="3" w:tplc="7DD6EBD4">
      <w:start w:val="1"/>
      <w:numFmt w:val="bullet"/>
      <w:lvlText w:val="•"/>
      <w:lvlJc w:val="left"/>
      <w:pPr>
        <w:ind w:left="2511" w:hanging="361"/>
      </w:pPr>
      <w:rPr>
        <w:rFonts w:hint="default"/>
      </w:rPr>
    </w:lvl>
    <w:lvl w:ilvl="4" w:tplc="AD563D3A">
      <w:start w:val="1"/>
      <w:numFmt w:val="bullet"/>
      <w:lvlText w:val="•"/>
      <w:lvlJc w:val="left"/>
      <w:pPr>
        <w:ind w:left="3470" w:hanging="361"/>
      </w:pPr>
      <w:rPr>
        <w:rFonts w:hint="default"/>
      </w:rPr>
    </w:lvl>
    <w:lvl w:ilvl="5" w:tplc="49D84B76">
      <w:start w:val="1"/>
      <w:numFmt w:val="bullet"/>
      <w:lvlText w:val="•"/>
      <w:lvlJc w:val="left"/>
      <w:pPr>
        <w:ind w:left="4430" w:hanging="361"/>
      </w:pPr>
      <w:rPr>
        <w:rFonts w:hint="default"/>
      </w:rPr>
    </w:lvl>
    <w:lvl w:ilvl="6" w:tplc="62BAE8D0">
      <w:start w:val="1"/>
      <w:numFmt w:val="bullet"/>
      <w:lvlText w:val="•"/>
      <w:lvlJc w:val="left"/>
      <w:pPr>
        <w:ind w:left="5390" w:hanging="361"/>
      </w:pPr>
      <w:rPr>
        <w:rFonts w:hint="default"/>
      </w:rPr>
    </w:lvl>
    <w:lvl w:ilvl="7" w:tplc="325ECB3C">
      <w:start w:val="1"/>
      <w:numFmt w:val="bullet"/>
      <w:lvlText w:val="•"/>
      <w:lvlJc w:val="left"/>
      <w:pPr>
        <w:ind w:left="6349" w:hanging="361"/>
      </w:pPr>
      <w:rPr>
        <w:rFonts w:hint="default"/>
      </w:rPr>
    </w:lvl>
    <w:lvl w:ilvl="8" w:tplc="5B4606A4">
      <w:start w:val="1"/>
      <w:numFmt w:val="bullet"/>
      <w:lvlText w:val="•"/>
      <w:lvlJc w:val="left"/>
      <w:pPr>
        <w:ind w:left="7309" w:hanging="361"/>
      </w:pPr>
      <w:rPr>
        <w:rFonts w:hint="default"/>
      </w:rPr>
    </w:lvl>
  </w:abstractNum>
  <w:abstractNum w:abstractNumId="31" w15:restartNumberingAfterBreak="0">
    <w:nsid w:val="41D41D0E"/>
    <w:multiLevelType w:val="hybridMultilevel"/>
    <w:tmpl w:val="D5A47344"/>
    <w:lvl w:ilvl="0" w:tplc="243A4AFC">
      <w:start w:val="1"/>
      <w:numFmt w:val="bullet"/>
      <w:lvlText w:val="●"/>
      <w:lvlJc w:val="left"/>
      <w:pPr>
        <w:tabs>
          <w:tab w:val="num" w:pos="510"/>
        </w:tabs>
        <w:ind w:left="373" w:hanging="400"/>
      </w:pPr>
      <w:rPr>
        <w:rFonts w:ascii="Times New Roman" w:eastAsia="Times New Roman" w:hAnsi="Times New Roman" w:hint="default"/>
        <w:b/>
        <w:bCs/>
        <w:sz w:val="20"/>
        <w:szCs w:val="20"/>
      </w:rPr>
    </w:lvl>
    <w:lvl w:ilvl="1" w:tplc="352AFE0C" w:tentative="1">
      <w:start w:val="1"/>
      <w:numFmt w:val="bullet"/>
      <w:lvlText w:val=""/>
      <w:lvlJc w:val="left"/>
      <w:pPr>
        <w:ind w:left="1200" w:hanging="400"/>
      </w:pPr>
      <w:rPr>
        <w:rFonts w:ascii="Wingdings" w:hAnsi="Wingdings" w:hint="default"/>
      </w:rPr>
    </w:lvl>
    <w:lvl w:ilvl="2" w:tplc="A1187CE6" w:tentative="1">
      <w:start w:val="1"/>
      <w:numFmt w:val="bullet"/>
      <w:lvlText w:val=""/>
      <w:lvlJc w:val="left"/>
      <w:pPr>
        <w:ind w:left="1600" w:hanging="400"/>
      </w:pPr>
      <w:rPr>
        <w:rFonts w:ascii="Wingdings" w:hAnsi="Wingdings" w:hint="default"/>
      </w:rPr>
    </w:lvl>
    <w:lvl w:ilvl="3" w:tplc="FA426F06" w:tentative="1">
      <w:start w:val="1"/>
      <w:numFmt w:val="bullet"/>
      <w:lvlText w:val=""/>
      <w:lvlJc w:val="left"/>
      <w:pPr>
        <w:ind w:left="2000" w:hanging="400"/>
      </w:pPr>
      <w:rPr>
        <w:rFonts w:ascii="Wingdings" w:hAnsi="Wingdings" w:hint="default"/>
      </w:rPr>
    </w:lvl>
    <w:lvl w:ilvl="4" w:tplc="D200CBA6" w:tentative="1">
      <w:start w:val="1"/>
      <w:numFmt w:val="bullet"/>
      <w:lvlText w:val=""/>
      <w:lvlJc w:val="left"/>
      <w:pPr>
        <w:ind w:left="2400" w:hanging="400"/>
      </w:pPr>
      <w:rPr>
        <w:rFonts w:ascii="Wingdings" w:hAnsi="Wingdings" w:hint="default"/>
      </w:rPr>
    </w:lvl>
    <w:lvl w:ilvl="5" w:tplc="5AA0FE52" w:tentative="1">
      <w:start w:val="1"/>
      <w:numFmt w:val="bullet"/>
      <w:lvlText w:val=""/>
      <w:lvlJc w:val="left"/>
      <w:pPr>
        <w:ind w:left="2800" w:hanging="400"/>
      </w:pPr>
      <w:rPr>
        <w:rFonts w:ascii="Wingdings" w:hAnsi="Wingdings" w:hint="default"/>
      </w:rPr>
    </w:lvl>
    <w:lvl w:ilvl="6" w:tplc="3D7663CC" w:tentative="1">
      <w:start w:val="1"/>
      <w:numFmt w:val="bullet"/>
      <w:lvlText w:val=""/>
      <w:lvlJc w:val="left"/>
      <w:pPr>
        <w:ind w:left="3200" w:hanging="400"/>
      </w:pPr>
      <w:rPr>
        <w:rFonts w:ascii="Wingdings" w:hAnsi="Wingdings" w:hint="default"/>
      </w:rPr>
    </w:lvl>
    <w:lvl w:ilvl="7" w:tplc="24C892CC" w:tentative="1">
      <w:start w:val="1"/>
      <w:numFmt w:val="bullet"/>
      <w:lvlText w:val=""/>
      <w:lvlJc w:val="left"/>
      <w:pPr>
        <w:ind w:left="3600" w:hanging="400"/>
      </w:pPr>
      <w:rPr>
        <w:rFonts w:ascii="Wingdings" w:hAnsi="Wingdings" w:hint="default"/>
      </w:rPr>
    </w:lvl>
    <w:lvl w:ilvl="8" w:tplc="33CEDCCA" w:tentative="1">
      <w:start w:val="1"/>
      <w:numFmt w:val="bullet"/>
      <w:lvlText w:val=""/>
      <w:lvlJc w:val="left"/>
      <w:pPr>
        <w:ind w:left="4000" w:hanging="400"/>
      </w:pPr>
      <w:rPr>
        <w:rFonts w:ascii="Wingdings" w:hAnsi="Wingdings" w:hint="default"/>
      </w:rPr>
    </w:lvl>
  </w:abstractNum>
  <w:abstractNum w:abstractNumId="32" w15:restartNumberingAfterBreak="0">
    <w:nsid w:val="432E7060"/>
    <w:multiLevelType w:val="hybridMultilevel"/>
    <w:tmpl w:val="D79616A0"/>
    <w:lvl w:ilvl="0" w:tplc="1B4EEB10">
      <w:start w:val="1"/>
      <w:numFmt w:val="bullet"/>
      <w:lvlText w:val=""/>
      <w:lvlJc w:val="left"/>
      <w:pPr>
        <w:ind w:left="686" w:hanging="568"/>
      </w:pPr>
      <w:rPr>
        <w:rFonts w:ascii="Symbol" w:eastAsia="Symbol" w:hAnsi="Symbol" w:hint="default"/>
        <w:b/>
        <w:bCs/>
        <w:w w:val="76"/>
        <w:sz w:val="22"/>
        <w:szCs w:val="22"/>
      </w:rPr>
    </w:lvl>
    <w:lvl w:ilvl="1" w:tplc="5D5CE876">
      <w:start w:val="1"/>
      <w:numFmt w:val="bullet"/>
      <w:lvlText w:val=""/>
      <w:lvlJc w:val="left"/>
      <w:pPr>
        <w:ind w:left="1134" w:hanging="425"/>
      </w:pPr>
      <w:rPr>
        <w:rFonts w:ascii="Symbol" w:eastAsia="Symbol" w:hAnsi="Symbol" w:hint="default"/>
        <w:b/>
        <w:bCs/>
        <w:w w:val="76"/>
        <w:sz w:val="22"/>
        <w:szCs w:val="22"/>
      </w:rPr>
    </w:lvl>
    <w:lvl w:ilvl="2" w:tplc="A03812C6">
      <w:start w:val="1"/>
      <w:numFmt w:val="bullet"/>
      <w:lvlText w:val="•"/>
      <w:lvlJc w:val="left"/>
      <w:pPr>
        <w:ind w:left="1042" w:hanging="425"/>
      </w:pPr>
      <w:rPr>
        <w:rFonts w:hint="default"/>
      </w:rPr>
    </w:lvl>
    <w:lvl w:ilvl="3" w:tplc="884C6B1C">
      <w:start w:val="1"/>
      <w:numFmt w:val="bullet"/>
      <w:lvlText w:val="•"/>
      <w:lvlJc w:val="left"/>
      <w:pPr>
        <w:ind w:left="2065" w:hanging="425"/>
      </w:pPr>
      <w:rPr>
        <w:rFonts w:hint="default"/>
      </w:rPr>
    </w:lvl>
    <w:lvl w:ilvl="4" w:tplc="7E2E3EC6">
      <w:start w:val="1"/>
      <w:numFmt w:val="bullet"/>
      <w:lvlText w:val="•"/>
      <w:lvlJc w:val="left"/>
      <w:pPr>
        <w:ind w:left="3087" w:hanging="425"/>
      </w:pPr>
      <w:rPr>
        <w:rFonts w:hint="default"/>
      </w:rPr>
    </w:lvl>
    <w:lvl w:ilvl="5" w:tplc="BACE0364">
      <w:start w:val="1"/>
      <w:numFmt w:val="bullet"/>
      <w:lvlText w:val="•"/>
      <w:lvlJc w:val="left"/>
      <w:pPr>
        <w:ind w:left="4110" w:hanging="425"/>
      </w:pPr>
      <w:rPr>
        <w:rFonts w:hint="default"/>
      </w:rPr>
    </w:lvl>
    <w:lvl w:ilvl="6" w:tplc="5BAAE70E">
      <w:start w:val="1"/>
      <w:numFmt w:val="bullet"/>
      <w:lvlText w:val="•"/>
      <w:lvlJc w:val="left"/>
      <w:pPr>
        <w:ind w:left="5133" w:hanging="425"/>
      </w:pPr>
      <w:rPr>
        <w:rFonts w:hint="default"/>
      </w:rPr>
    </w:lvl>
    <w:lvl w:ilvl="7" w:tplc="B5BC7DBA">
      <w:start w:val="1"/>
      <w:numFmt w:val="bullet"/>
      <w:lvlText w:val="•"/>
      <w:lvlJc w:val="left"/>
      <w:pPr>
        <w:ind w:left="6156" w:hanging="425"/>
      </w:pPr>
      <w:rPr>
        <w:rFonts w:hint="default"/>
      </w:rPr>
    </w:lvl>
    <w:lvl w:ilvl="8" w:tplc="ED3A6CF4">
      <w:start w:val="1"/>
      <w:numFmt w:val="bullet"/>
      <w:lvlText w:val="•"/>
      <w:lvlJc w:val="left"/>
      <w:pPr>
        <w:ind w:left="7178" w:hanging="425"/>
      </w:pPr>
      <w:rPr>
        <w:rFonts w:hint="default"/>
      </w:rPr>
    </w:lvl>
  </w:abstractNum>
  <w:abstractNum w:abstractNumId="33" w15:restartNumberingAfterBreak="0">
    <w:nsid w:val="433D3CCC"/>
    <w:multiLevelType w:val="hybridMultilevel"/>
    <w:tmpl w:val="D54EBFB0"/>
    <w:lvl w:ilvl="0" w:tplc="951498E2">
      <w:start w:val="1"/>
      <w:numFmt w:val="bullet"/>
      <w:lvlText w:val="-"/>
      <w:lvlJc w:val="left"/>
      <w:pPr>
        <w:tabs>
          <w:tab w:val="num" w:pos="567"/>
        </w:tabs>
        <w:ind w:left="373" w:hanging="400"/>
      </w:pPr>
      <w:rPr>
        <w:rFonts w:ascii="Times New Roman" w:eastAsia="바탕" w:hAnsi="Times New Roman" w:cs="Times New Roman" w:hint="default"/>
        <w:w w:val="99"/>
        <w:sz w:val="22"/>
        <w:szCs w:val="22"/>
      </w:rPr>
    </w:lvl>
    <w:lvl w:ilvl="1" w:tplc="97644102" w:tentative="1">
      <w:start w:val="1"/>
      <w:numFmt w:val="bullet"/>
      <w:lvlText w:val=""/>
      <w:lvlJc w:val="left"/>
      <w:pPr>
        <w:ind w:left="1520" w:hanging="400"/>
      </w:pPr>
      <w:rPr>
        <w:rFonts w:ascii="Wingdings" w:hAnsi="Wingdings" w:hint="default"/>
      </w:rPr>
    </w:lvl>
    <w:lvl w:ilvl="2" w:tplc="442A53FE" w:tentative="1">
      <w:start w:val="1"/>
      <w:numFmt w:val="bullet"/>
      <w:lvlText w:val=""/>
      <w:lvlJc w:val="left"/>
      <w:pPr>
        <w:ind w:left="1920" w:hanging="400"/>
      </w:pPr>
      <w:rPr>
        <w:rFonts w:ascii="Wingdings" w:hAnsi="Wingdings" w:hint="default"/>
      </w:rPr>
    </w:lvl>
    <w:lvl w:ilvl="3" w:tplc="BF6AEFCC" w:tentative="1">
      <w:start w:val="1"/>
      <w:numFmt w:val="bullet"/>
      <w:lvlText w:val=""/>
      <w:lvlJc w:val="left"/>
      <w:pPr>
        <w:ind w:left="2320" w:hanging="400"/>
      </w:pPr>
      <w:rPr>
        <w:rFonts w:ascii="Wingdings" w:hAnsi="Wingdings" w:hint="default"/>
      </w:rPr>
    </w:lvl>
    <w:lvl w:ilvl="4" w:tplc="2702DB24" w:tentative="1">
      <w:start w:val="1"/>
      <w:numFmt w:val="bullet"/>
      <w:lvlText w:val=""/>
      <w:lvlJc w:val="left"/>
      <w:pPr>
        <w:ind w:left="2720" w:hanging="400"/>
      </w:pPr>
      <w:rPr>
        <w:rFonts w:ascii="Wingdings" w:hAnsi="Wingdings" w:hint="default"/>
      </w:rPr>
    </w:lvl>
    <w:lvl w:ilvl="5" w:tplc="6DF6FE2E" w:tentative="1">
      <w:start w:val="1"/>
      <w:numFmt w:val="bullet"/>
      <w:lvlText w:val=""/>
      <w:lvlJc w:val="left"/>
      <w:pPr>
        <w:ind w:left="3120" w:hanging="400"/>
      </w:pPr>
      <w:rPr>
        <w:rFonts w:ascii="Wingdings" w:hAnsi="Wingdings" w:hint="default"/>
      </w:rPr>
    </w:lvl>
    <w:lvl w:ilvl="6" w:tplc="CD4ED186" w:tentative="1">
      <w:start w:val="1"/>
      <w:numFmt w:val="bullet"/>
      <w:lvlText w:val=""/>
      <w:lvlJc w:val="left"/>
      <w:pPr>
        <w:ind w:left="3520" w:hanging="400"/>
      </w:pPr>
      <w:rPr>
        <w:rFonts w:ascii="Wingdings" w:hAnsi="Wingdings" w:hint="default"/>
      </w:rPr>
    </w:lvl>
    <w:lvl w:ilvl="7" w:tplc="9998C83C" w:tentative="1">
      <w:start w:val="1"/>
      <w:numFmt w:val="bullet"/>
      <w:lvlText w:val=""/>
      <w:lvlJc w:val="left"/>
      <w:pPr>
        <w:ind w:left="3920" w:hanging="400"/>
      </w:pPr>
      <w:rPr>
        <w:rFonts w:ascii="Wingdings" w:hAnsi="Wingdings" w:hint="default"/>
      </w:rPr>
    </w:lvl>
    <w:lvl w:ilvl="8" w:tplc="53DA3414" w:tentative="1">
      <w:start w:val="1"/>
      <w:numFmt w:val="bullet"/>
      <w:lvlText w:val=""/>
      <w:lvlJc w:val="left"/>
      <w:pPr>
        <w:ind w:left="4320" w:hanging="400"/>
      </w:pPr>
      <w:rPr>
        <w:rFonts w:ascii="Wingdings" w:hAnsi="Wingdings" w:hint="default"/>
      </w:rPr>
    </w:lvl>
  </w:abstractNum>
  <w:abstractNum w:abstractNumId="34" w15:restartNumberingAfterBreak="0">
    <w:nsid w:val="449D7D87"/>
    <w:multiLevelType w:val="hybridMultilevel"/>
    <w:tmpl w:val="DFB0DF98"/>
    <w:lvl w:ilvl="0" w:tplc="3D1E14E0">
      <w:start w:val="1"/>
      <w:numFmt w:val="bullet"/>
      <w:lvlText w:val=""/>
      <w:lvlJc w:val="left"/>
      <w:pPr>
        <w:ind w:left="800" w:hanging="400"/>
      </w:pPr>
      <w:rPr>
        <w:rFonts w:ascii="Wingdings" w:hAnsi="Wingdings" w:hint="default"/>
      </w:rPr>
    </w:lvl>
    <w:lvl w:ilvl="1" w:tplc="441A1844" w:tentative="1">
      <w:start w:val="1"/>
      <w:numFmt w:val="bullet"/>
      <w:lvlText w:val=""/>
      <w:lvlJc w:val="left"/>
      <w:pPr>
        <w:ind w:left="1200" w:hanging="400"/>
      </w:pPr>
      <w:rPr>
        <w:rFonts w:ascii="Wingdings" w:hAnsi="Wingdings" w:hint="default"/>
      </w:rPr>
    </w:lvl>
    <w:lvl w:ilvl="2" w:tplc="4BE87584" w:tentative="1">
      <w:start w:val="1"/>
      <w:numFmt w:val="bullet"/>
      <w:lvlText w:val=""/>
      <w:lvlJc w:val="left"/>
      <w:pPr>
        <w:ind w:left="1600" w:hanging="400"/>
      </w:pPr>
      <w:rPr>
        <w:rFonts w:ascii="Wingdings" w:hAnsi="Wingdings" w:hint="default"/>
      </w:rPr>
    </w:lvl>
    <w:lvl w:ilvl="3" w:tplc="A2A8A2DA" w:tentative="1">
      <w:start w:val="1"/>
      <w:numFmt w:val="bullet"/>
      <w:lvlText w:val=""/>
      <w:lvlJc w:val="left"/>
      <w:pPr>
        <w:ind w:left="2000" w:hanging="400"/>
      </w:pPr>
      <w:rPr>
        <w:rFonts w:ascii="Wingdings" w:hAnsi="Wingdings" w:hint="default"/>
      </w:rPr>
    </w:lvl>
    <w:lvl w:ilvl="4" w:tplc="0ED68614" w:tentative="1">
      <w:start w:val="1"/>
      <w:numFmt w:val="bullet"/>
      <w:lvlText w:val=""/>
      <w:lvlJc w:val="left"/>
      <w:pPr>
        <w:ind w:left="2400" w:hanging="400"/>
      </w:pPr>
      <w:rPr>
        <w:rFonts w:ascii="Wingdings" w:hAnsi="Wingdings" w:hint="default"/>
      </w:rPr>
    </w:lvl>
    <w:lvl w:ilvl="5" w:tplc="57920848" w:tentative="1">
      <w:start w:val="1"/>
      <w:numFmt w:val="bullet"/>
      <w:lvlText w:val=""/>
      <w:lvlJc w:val="left"/>
      <w:pPr>
        <w:ind w:left="2800" w:hanging="400"/>
      </w:pPr>
      <w:rPr>
        <w:rFonts w:ascii="Wingdings" w:hAnsi="Wingdings" w:hint="default"/>
      </w:rPr>
    </w:lvl>
    <w:lvl w:ilvl="6" w:tplc="2922863A" w:tentative="1">
      <w:start w:val="1"/>
      <w:numFmt w:val="bullet"/>
      <w:lvlText w:val=""/>
      <w:lvlJc w:val="left"/>
      <w:pPr>
        <w:ind w:left="3200" w:hanging="400"/>
      </w:pPr>
      <w:rPr>
        <w:rFonts w:ascii="Wingdings" w:hAnsi="Wingdings" w:hint="default"/>
      </w:rPr>
    </w:lvl>
    <w:lvl w:ilvl="7" w:tplc="053AEBB2" w:tentative="1">
      <w:start w:val="1"/>
      <w:numFmt w:val="bullet"/>
      <w:lvlText w:val=""/>
      <w:lvlJc w:val="left"/>
      <w:pPr>
        <w:ind w:left="3600" w:hanging="400"/>
      </w:pPr>
      <w:rPr>
        <w:rFonts w:ascii="Wingdings" w:hAnsi="Wingdings" w:hint="default"/>
      </w:rPr>
    </w:lvl>
    <w:lvl w:ilvl="8" w:tplc="BEA671E6" w:tentative="1">
      <w:start w:val="1"/>
      <w:numFmt w:val="bullet"/>
      <w:lvlText w:val=""/>
      <w:lvlJc w:val="left"/>
      <w:pPr>
        <w:ind w:left="4000" w:hanging="400"/>
      </w:pPr>
      <w:rPr>
        <w:rFonts w:ascii="Wingdings" w:hAnsi="Wingdings" w:hint="default"/>
      </w:rPr>
    </w:lvl>
  </w:abstractNum>
  <w:abstractNum w:abstractNumId="35" w15:restartNumberingAfterBreak="0">
    <w:nsid w:val="4A607FF7"/>
    <w:multiLevelType w:val="hybridMultilevel"/>
    <w:tmpl w:val="E2C2E780"/>
    <w:lvl w:ilvl="0" w:tplc="8BC466D6">
      <w:start w:val="1"/>
      <w:numFmt w:val="bullet"/>
      <w:lvlText w:val="*"/>
      <w:lvlJc w:val="left"/>
      <w:pPr>
        <w:ind w:left="115" w:hanging="154"/>
      </w:pPr>
      <w:rPr>
        <w:rFonts w:ascii="Times New Roman" w:eastAsia="Times New Roman" w:hAnsi="Times New Roman" w:hint="default"/>
        <w:sz w:val="20"/>
        <w:szCs w:val="20"/>
      </w:rPr>
    </w:lvl>
    <w:lvl w:ilvl="1" w:tplc="A82C508A">
      <w:start w:val="1"/>
      <w:numFmt w:val="bullet"/>
      <w:lvlText w:val=""/>
      <w:lvlJc w:val="left"/>
      <w:pPr>
        <w:ind w:left="836" w:hanging="361"/>
      </w:pPr>
      <w:rPr>
        <w:rFonts w:ascii="Symbol" w:eastAsia="Symbol" w:hAnsi="Symbol" w:hint="default"/>
        <w:sz w:val="22"/>
        <w:szCs w:val="22"/>
      </w:rPr>
    </w:lvl>
    <w:lvl w:ilvl="2" w:tplc="4FDE918C">
      <w:start w:val="1"/>
      <w:numFmt w:val="bullet"/>
      <w:lvlText w:val="•"/>
      <w:lvlJc w:val="left"/>
      <w:pPr>
        <w:ind w:left="1772" w:hanging="361"/>
      </w:pPr>
      <w:rPr>
        <w:rFonts w:hint="default"/>
      </w:rPr>
    </w:lvl>
    <w:lvl w:ilvl="3" w:tplc="1ADCA9E4">
      <w:start w:val="1"/>
      <w:numFmt w:val="bullet"/>
      <w:lvlText w:val="•"/>
      <w:lvlJc w:val="left"/>
      <w:pPr>
        <w:ind w:left="2709" w:hanging="361"/>
      </w:pPr>
      <w:rPr>
        <w:rFonts w:hint="default"/>
      </w:rPr>
    </w:lvl>
    <w:lvl w:ilvl="4" w:tplc="4328A788">
      <w:start w:val="1"/>
      <w:numFmt w:val="bullet"/>
      <w:lvlText w:val="•"/>
      <w:lvlJc w:val="left"/>
      <w:pPr>
        <w:ind w:left="3646" w:hanging="361"/>
      </w:pPr>
      <w:rPr>
        <w:rFonts w:hint="default"/>
      </w:rPr>
    </w:lvl>
    <w:lvl w:ilvl="5" w:tplc="994A4BF4">
      <w:start w:val="1"/>
      <w:numFmt w:val="bullet"/>
      <w:lvlText w:val="•"/>
      <w:lvlJc w:val="left"/>
      <w:pPr>
        <w:ind w:left="4583" w:hanging="361"/>
      </w:pPr>
      <w:rPr>
        <w:rFonts w:hint="default"/>
      </w:rPr>
    </w:lvl>
    <w:lvl w:ilvl="6" w:tplc="3F202B6C">
      <w:start w:val="1"/>
      <w:numFmt w:val="bullet"/>
      <w:lvlText w:val="•"/>
      <w:lvlJc w:val="left"/>
      <w:pPr>
        <w:ind w:left="5520" w:hanging="361"/>
      </w:pPr>
      <w:rPr>
        <w:rFonts w:hint="default"/>
      </w:rPr>
    </w:lvl>
    <w:lvl w:ilvl="7" w:tplc="14986506">
      <w:start w:val="1"/>
      <w:numFmt w:val="bullet"/>
      <w:lvlText w:val="•"/>
      <w:lvlJc w:val="left"/>
      <w:pPr>
        <w:ind w:left="6457" w:hanging="361"/>
      </w:pPr>
      <w:rPr>
        <w:rFonts w:hint="default"/>
      </w:rPr>
    </w:lvl>
    <w:lvl w:ilvl="8" w:tplc="37CABCEC">
      <w:start w:val="1"/>
      <w:numFmt w:val="bullet"/>
      <w:lvlText w:val="•"/>
      <w:lvlJc w:val="left"/>
      <w:pPr>
        <w:ind w:left="7394" w:hanging="361"/>
      </w:pPr>
      <w:rPr>
        <w:rFonts w:hint="default"/>
      </w:rPr>
    </w:lvl>
  </w:abstractNum>
  <w:abstractNum w:abstractNumId="36" w15:restartNumberingAfterBreak="0">
    <w:nsid w:val="50AD34EC"/>
    <w:multiLevelType w:val="multilevel"/>
    <w:tmpl w:val="F3AA7296"/>
    <w:lvl w:ilvl="0">
      <w:start w:val="5"/>
      <w:numFmt w:val="decimal"/>
      <w:lvlText w:val="%1"/>
      <w:lvlJc w:val="left"/>
      <w:pPr>
        <w:ind w:left="682" w:hanging="567"/>
      </w:pPr>
      <w:rPr>
        <w:rFonts w:hint="default"/>
      </w:rPr>
    </w:lvl>
    <w:lvl w:ilvl="1">
      <w:start w:val="2"/>
      <w:numFmt w:val="decimal"/>
      <w:lvlText w:val="%1.%2"/>
      <w:lvlJc w:val="left"/>
      <w:pPr>
        <w:ind w:left="682" w:hanging="567"/>
      </w:pPr>
      <w:rPr>
        <w:rFonts w:ascii="Times New Roman" w:eastAsia="Times New Roman" w:hAnsi="Times New Roman" w:hint="default"/>
        <w:b/>
        <w:bCs/>
        <w:sz w:val="22"/>
        <w:szCs w:val="22"/>
      </w:rPr>
    </w:lvl>
    <w:lvl w:ilvl="2">
      <w:start w:val="1"/>
      <w:numFmt w:val="bullet"/>
      <w:lvlText w:val="•"/>
      <w:lvlJc w:val="left"/>
      <w:pPr>
        <w:ind w:left="2403" w:hanging="567"/>
      </w:pPr>
      <w:rPr>
        <w:rFonts w:hint="default"/>
      </w:rPr>
    </w:lvl>
    <w:lvl w:ilvl="3">
      <w:start w:val="1"/>
      <w:numFmt w:val="bullet"/>
      <w:lvlText w:val="•"/>
      <w:lvlJc w:val="left"/>
      <w:pPr>
        <w:ind w:left="3264" w:hanging="567"/>
      </w:pPr>
      <w:rPr>
        <w:rFonts w:hint="default"/>
      </w:rPr>
    </w:lvl>
    <w:lvl w:ilvl="4">
      <w:start w:val="1"/>
      <w:numFmt w:val="bullet"/>
      <w:lvlText w:val="•"/>
      <w:lvlJc w:val="left"/>
      <w:pPr>
        <w:ind w:left="4125" w:hanging="567"/>
      </w:pPr>
      <w:rPr>
        <w:rFonts w:hint="default"/>
      </w:rPr>
    </w:lvl>
    <w:lvl w:ilvl="5">
      <w:start w:val="1"/>
      <w:numFmt w:val="bullet"/>
      <w:lvlText w:val="•"/>
      <w:lvlJc w:val="left"/>
      <w:pPr>
        <w:ind w:left="4985" w:hanging="567"/>
      </w:pPr>
      <w:rPr>
        <w:rFonts w:hint="default"/>
      </w:rPr>
    </w:lvl>
    <w:lvl w:ilvl="6">
      <w:start w:val="1"/>
      <w:numFmt w:val="bullet"/>
      <w:lvlText w:val="•"/>
      <w:lvlJc w:val="left"/>
      <w:pPr>
        <w:ind w:left="5846" w:hanging="567"/>
      </w:pPr>
      <w:rPr>
        <w:rFonts w:hint="default"/>
      </w:rPr>
    </w:lvl>
    <w:lvl w:ilvl="7">
      <w:start w:val="1"/>
      <w:numFmt w:val="bullet"/>
      <w:lvlText w:val="•"/>
      <w:lvlJc w:val="left"/>
      <w:pPr>
        <w:ind w:left="6706" w:hanging="567"/>
      </w:pPr>
      <w:rPr>
        <w:rFonts w:hint="default"/>
      </w:rPr>
    </w:lvl>
    <w:lvl w:ilvl="8">
      <w:start w:val="1"/>
      <w:numFmt w:val="bullet"/>
      <w:lvlText w:val="•"/>
      <w:lvlJc w:val="left"/>
      <w:pPr>
        <w:ind w:left="7567" w:hanging="567"/>
      </w:pPr>
      <w:rPr>
        <w:rFonts w:hint="default"/>
      </w:rPr>
    </w:lvl>
  </w:abstractNum>
  <w:abstractNum w:abstractNumId="37" w15:restartNumberingAfterBreak="0">
    <w:nsid w:val="5A832244"/>
    <w:multiLevelType w:val="multilevel"/>
    <w:tmpl w:val="60B21520"/>
    <w:lvl w:ilvl="0">
      <w:start w:val="1"/>
      <w:numFmt w:val="decimal"/>
      <w:lvlText w:val="%1."/>
      <w:lvlJc w:val="left"/>
      <w:pPr>
        <w:ind w:left="682" w:hanging="567"/>
      </w:pPr>
      <w:rPr>
        <w:rFonts w:ascii="Times New Roman" w:eastAsia="Times New Roman" w:hAnsi="Times New Roman" w:hint="default"/>
        <w:b/>
        <w:bCs/>
        <w:sz w:val="22"/>
        <w:szCs w:val="22"/>
      </w:rPr>
    </w:lvl>
    <w:lvl w:ilvl="1">
      <w:start w:val="1"/>
      <w:numFmt w:val="decimal"/>
      <w:lvlText w:val="%1.%2"/>
      <w:lvlJc w:val="left"/>
      <w:pPr>
        <w:ind w:left="682" w:hanging="567"/>
      </w:pPr>
      <w:rPr>
        <w:rFonts w:ascii="Times New Roman" w:eastAsia="Times New Roman" w:hAnsi="Times New Roman" w:hint="default"/>
        <w:b/>
        <w:bCs/>
        <w:sz w:val="22"/>
        <w:szCs w:val="22"/>
      </w:rPr>
    </w:lvl>
    <w:lvl w:ilvl="2">
      <w:start w:val="1"/>
      <w:numFmt w:val="bullet"/>
      <w:lvlText w:val="•"/>
      <w:lvlJc w:val="left"/>
      <w:pPr>
        <w:ind w:left="682" w:hanging="567"/>
      </w:pPr>
      <w:rPr>
        <w:rFonts w:hint="default"/>
      </w:rPr>
    </w:lvl>
    <w:lvl w:ilvl="3">
      <w:start w:val="1"/>
      <w:numFmt w:val="bullet"/>
      <w:lvlText w:val="•"/>
      <w:lvlJc w:val="left"/>
      <w:pPr>
        <w:ind w:left="1730" w:hanging="567"/>
      </w:pPr>
      <w:rPr>
        <w:rFonts w:hint="default"/>
      </w:rPr>
    </w:lvl>
    <w:lvl w:ilvl="4">
      <w:start w:val="1"/>
      <w:numFmt w:val="bullet"/>
      <w:lvlText w:val="•"/>
      <w:lvlJc w:val="left"/>
      <w:pPr>
        <w:ind w:left="2778" w:hanging="567"/>
      </w:pPr>
      <w:rPr>
        <w:rFonts w:hint="default"/>
      </w:rPr>
    </w:lvl>
    <w:lvl w:ilvl="5">
      <w:start w:val="1"/>
      <w:numFmt w:val="bullet"/>
      <w:lvlText w:val="•"/>
      <w:lvlJc w:val="left"/>
      <w:pPr>
        <w:ind w:left="3827" w:hanging="567"/>
      </w:pPr>
      <w:rPr>
        <w:rFonts w:hint="default"/>
      </w:rPr>
    </w:lvl>
    <w:lvl w:ilvl="6">
      <w:start w:val="1"/>
      <w:numFmt w:val="bullet"/>
      <w:lvlText w:val="•"/>
      <w:lvlJc w:val="left"/>
      <w:pPr>
        <w:ind w:left="4875" w:hanging="567"/>
      </w:pPr>
      <w:rPr>
        <w:rFonts w:hint="default"/>
      </w:rPr>
    </w:lvl>
    <w:lvl w:ilvl="7">
      <w:start w:val="1"/>
      <w:numFmt w:val="bullet"/>
      <w:lvlText w:val="•"/>
      <w:lvlJc w:val="left"/>
      <w:pPr>
        <w:ind w:left="5923" w:hanging="567"/>
      </w:pPr>
      <w:rPr>
        <w:rFonts w:hint="default"/>
      </w:rPr>
    </w:lvl>
    <w:lvl w:ilvl="8">
      <w:start w:val="1"/>
      <w:numFmt w:val="bullet"/>
      <w:lvlText w:val="•"/>
      <w:lvlJc w:val="left"/>
      <w:pPr>
        <w:ind w:left="6972" w:hanging="567"/>
      </w:pPr>
      <w:rPr>
        <w:rFonts w:hint="default"/>
      </w:rPr>
    </w:lvl>
  </w:abstractNum>
  <w:abstractNum w:abstractNumId="38" w15:restartNumberingAfterBreak="0">
    <w:nsid w:val="5ECF07FA"/>
    <w:multiLevelType w:val="hybridMultilevel"/>
    <w:tmpl w:val="51A23E96"/>
    <w:lvl w:ilvl="0" w:tplc="9D60D43A">
      <w:start w:val="1"/>
      <w:numFmt w:val="bullet"/>
      <w:lvlText w:val=""/>
      <w:lvlJc w:val="left"/>
      <w:pPr>
        <w:ind w:left="800" w:hanging="400"/>
      </w:pPr>
      <w:rPr>
        <w:rFonts w:ascii="Wingdings" w:hAnsi="Wingdings" w:hint="default"/>
      </w:rPr>
    </w:lvl>
    <w:lvl w:ilvl="1" w:tplc="3BA81174" w:tentative="1">
      <w:start w:val="1"/>
      <w:numFmt w:val="bullet"/>
      <w:lvlText w:val=""/>
      <w:lvlJc w:val="left"/>
      <w:pPr>
        <w:ind w:left="1200" w:hanging="400"/>
      </w:pPr>
      <w:rPr>
        <w:rFonts w:ascii="Wingdings" w:hAnsi="Wingdings" w:hint="default"/>
      </w:rPr>
    </w:lvl>
    <w:lvl w:ilvl="2" w:tplc="FD985B8C" w:tentative="1">
      <w:start w:val="1"/>
      <w:numFmt w:val="bullet"/>
      <w:lvlText w:val=""/>
      <w:lvlJc w:val="left"/>
      <w:pPr>
        <w:ind w:left="1600" w:hanging="400"/>
      </w:pPr>
      <w:rPr>
        <w:rFonts w:ascii="Wingdings" w:hAnsi="Wingdings" w:hint="default"/>
      </w:rPr>
    </w:lvl>
    <w:lvl w:ilvl="3" w:tplc="82D21C26" w:tentative="1">
      <w:start w:val="1"/>
      <w:numFmt w:val="bullet"/>
      <w:lvlText w:val=""/>
      <w:lvlJc w:val="left"/>
      <w:pPr>
        <w:ind w:left="2000" w:hanging="400"/>
      </w:pPr>
      <w:rPr>
        <w:rFonts w:ascii="Wingdings" w:hAnsi="Wingdings" w:hint="default"/>
      </w:rPr>
    </w:lvl>
    <w:lvl w:ilvl="4" w:tplc="311A2AAE" w:tentative="1">
      <w:start w:val="1"/>
      <w:numFmt w:val="bullet"/>
      <w:lvlText w:val=""/>
      <w:lvlJc w:val="left"/>
      <w:pPr>
        <w:ind w:left="2400" w:hanging="400"/>
      </w:pPr>
      <w:rPr>
        <w:rFonts w:ascii="Wingdings" w:hAnsi="Wingdings" w:hint="default"/>
      </w:rPr>
    </w:lvl>
    <w:lvl w:ilvl="5" w:tplc="CB087508" w:tentative="1">
      <w:start w:val="1"/>
      <w:numFmt w:val="bullet"/>
      <w:lvlText w:val=""/>
      <w:lvlJc w:val="left"/>
      <w:pPr>
        <w:ind w:left="2800" w:hanging="400"/>
      </w:pPr>
      <w:rPr>
        <w:rFonts w:ascii="Wingdings" w:hAnsi="Wingdings" w:hint="default"/>
      </w:rPr>
    </w:lvl>
    <w:lvl w:ilvl="6" w:tplc="432C7CDC" w:tentative="1">
      <w:start w:val="1"/>
      <w:numFmt w:val="bullet"/>
      <w:lvlText w:val=""/>
      <w:lvlJc w:val="left"/>
      <w:pPr>
        <w:ind w:left="3200" w:hanging="400"/>
      </w:pPr>
      <w:rPr>
        <w:rFonts w:ascii="Wingdings" w:hAnsi="Wingdings" w:hint="default"/>
      </w:rPr>
    </w:lvl>
    <w:lvl w:ilvl="7" w:tplc="8EB2C772" w:tentative="1">
      <w:start w:val="1"/>
      <w:numFmt w:val="bullet"/>
      <w:lvlText w:val=""/>
      <w:lvlJc w:val="left"/>
      <w:pPr>
        <w:ind w:left="3600" w:hanging="400"/>
      </w:pPr>
      <w:rPr>
        <w:rFonts w:ascii="Wingdings" w:hAnsi="Wingdings" w:hint="default"/>
      </w:rPr>
    </w:lvl>
    <w:lvl w:ilvl="8" w:tplc="0A06C910" w:tentative="1">
      <w:start w:val="1"/>
      <w:numFmt w:val="bullet"/>
      <w:lvlText w:val=""/>
      <w:lvlJc w:val="left"/>
      <w:pPr>
        <w:ind w:left="4000" w:hanging="400"/>
      </w:pPr>
      <w:rPr>
        <w:rFonts w:ascii="Wingdings" w:hAnsi="Wingdings" w:hint="default"/>
      </w:rPr>
    </w:lvl>
  </w:abstractNum>
  <w:abstractNum w:abstractNumId="39" w15:restartNumberingAfterBreak="0">
    <w:nsid w:val="623A04F2"/>
    <w:multiLevelType w:val="hybridMultilevel"/>
    <w:tmpl w:val="CDD604D2"/>
    <w:lvl w:ilvl="0" w:tplc="9D62307C">
      <w:start w:val="1"/>
      <w:numFmt w:val="bullet"/>
      <w:lvlText w:val=""/>
      <w:lvlJc w:val="left"/>
      <w:pPr>
        <w:ind w:left="400" w:hanging="400"/>
      </w:pPr>
      <w:rPr>
        <w:rFonts w:ascii="Wingdings" w:hAnsi="Wingdings" w:hint="default"/>
      </w:rPr>
    </w:lvl>
    <w:lvl w:ilvl="1" w:tplc="8B9684C0" w:tentative="1">
      <w:start w:val="1"/>
      <w:numFmt w:val="bullet"/>
      <w:lvlText w:val=""/>
      <w:lvlJc w:val="left"/>
      <w:pPr>
        <w:ind w:left="800" w:hanging="400"/>
      </w:pPr>
      <w:rPr>
        <w:rFonts w:ascii="Wingdings" w:hAnsi="Wingdings" w:hint="default"/>
      </w:rPr>
    </w:lvl>
    <w:lvl w:ilvl="2" w:tplc="60F6177C" w:tentative="1">
      <w:start w:val="1"/>
      <w:numFmt w:val="bullet"/>
      <w:lvlText w:val=""/>
      <w:lvlJc w:val="left"/>
      <w:pPr>
        <w:ind w:left="1200" w:hanging="400"/>
      </w:pPr>
      <w:rPr>
        <w:rFonts w:ascii="Wingdings" w:hAnsi="Wingdings" w:hint="default"/>
      </w:rPr>
    </w:lvl>
    <w:lvl w:ilvl="3" w:tplc="36D4DE18" w:tentative="1">
      <w:start w:val="1"/>
      <w:numFmt w:val="bullet"/>
      <w:lvlText w:val=""/>
      <w:lvlJc w:val="left"/>
      <w:pPr>
        <w:ind w:left="1600" w:hanging="400"/>
      </w:pPr>
      <w:rPr>
        <w:rFonts w:ascii="Wingdings" w:hAnsi="Wingdings" w:hint="default"/>
      </w:rPr>
    </w:lvl>
    <w:lvl w:ilvl="4" w:tplc="CFD0E1A0" w:tentative="1">
      <w:start w:val="1"/>
      <w:numFmt w:val="bullet"/>
      <w:lvlText w:val=""/>
      <w:lvlJc w:val="left"/>
      <w:pPr>
        <w:ind w:left="2000" w:hanging="400"/>
      </w:pPr>
      <w:rPr>
        <w:rFonts w:ascii="Wingdings" w:hAnsi="Wingdings" w:hint="default"/>
      </w:rPr>
    </w:lvl>
    <w:lvl w:ilvl="5" w:tplc="40C66B2E" w:tentative="1">
      <w:start w:val="1"/>
      <w:numFmt w:val="bullet"/>
      <w:lvlText w:val=""/>
      <w:lvlJc w:val="left"/>
      <w:pPr>
        <w:ind w:left="2400" w:hanging="400"/>
      </w:pPr>
      <w:rPr>
        <w:rFonts w:ascii="Wingdings" w:hAnsi="Wingdings" w:hint="default"/>
      </w:rPr>
    </w:lvl>
    <w:lvl w:ilvl="6" w:tplc="371C75AA" w:tentative="1">
      <w:start w:val="1"/>
      <w:numFmt w:val="bullet"/>
      <w:lvlText w:val=""/>
      <w:lvlJc w:val="left"/>
      <w:pPr>
        <w:ind w:left="2800" w:hanging="400"/>
      </w:pPr>
      <w:rPr>
        <w:rFonts w:ascii="Wingdings" w:hAnsi="Wingdings" w:hint="default"/>
      </w:rPr>
    </w:lvl>
    <w:lvl w:ilvl="7" w:tplc="8A38FE64" w:tentative="1">
      <w:start w:val="1"/>
      <w:numFmt w:val="bullet"/>
      <w:lvlText w:val=""/>
      <w:lvlJc w:val="left"/>
      <w:pPr>
        <w:ind w:left="3200" w:hanging="400"/>
      </w:pPr>
      <w:rPr>
        <w:rFonts w:ascii="Wingdings" w:hAnsi="Wingdings" w:hint="default"/>
      </w:rPr>
    </w:lvl>
    <w:lvl w:ilvl="8" w:tplc="CA80446C" w:tentative="1">
      <w:start w:val="1"/>
      <w:numFmt w:val="bullet"/>
      <w:lvlText w:val=""/>
      <w:lvlJc w:val="left"/>
      <w:pPr>
        <w:ind w:left="3600" w:hanging="400"/>
      </w:pPr>
      <w:rPr>
        <w:rFonts w:ascii="Wingdings" w:hAnsi="Wingdings" w:hint="default"/>
      </w:rPr>
    </w:lvl>
  </w:abstractNum>
  <w:abstractNum w:abstractNumId="40" w15:restartNumberingAfterBreak="0">
    <w:nsid w:val="64415A66"/>
    <w:multiLevelType w:val="hybridMultilevel"/>
    <w:tmpl w:val="64C44A26"/>
    <w:lvl w:ilvl="0" w:tplc="06F42CD8">
      <w:start w:val="1"/>
      <w:numFmt w:val="bullet"/>
      <w:lvlText w:val="-"/>
      <w:lvlJc w:val="left"/>
      <w:pPr>
        <w:ind w:left="102" w:hanging="129"/>
      </w:pPr>
      <w:rPr>
        <w:rFonts w:ascii="Times New Roman" w:eastAsia="Times New Roman" w:hAnsi="Times New Roman" w:hint="default"/>
        <w:w w:val="99"/>
        <w:sz w:val="22"/>
        <w:szCs w:val="22"/>
      </w:rPr>
    </w:lvl>
    <w:lvl w:ilvl="1" w:tplc="B3AC72E2">
      <w:start w:val="1"/>
      <w:numFmt w:val="bullet"/>
      <w:lvlText w:val="•"/>
      <w:lvlJc w:val="left"/>
      <w:pPr>
        <w:ind w:left="413" w:hanging="129"/>
      </w:pPr>
      <w:rPr>
        <w:rFonts w:hint="default"/>
      </w:rPr>
    </w:lvl>
    <w:lvl w:ilvl="2" w:tplc="BE6CD5E2">
      <w:start w:val="1"/>
      <w:numFmt w:val="bullet"/>
      <w:lvlText w:val="•"/>
      <w:lvlJc w:val="left"/>
      <w:pPr>
        <w:ind w:left="724" w:hanging="129"/>
      </w:pPr>
      <w:rPr>
        <w:rFonts w:hint="default"/>
      </w:rPr>
    </w:lvl>
    <w:lvl w:ilvl="3" w:tplc="BAF85F12">
      <w:start w:val="1"/>
      <w:numFmt w:val="bullet"/>
      <w:lvlText w:val="•"/>
      <w:lvlJc w:val="left"/>
      <w:pPr>
        <w:ind w:left="1036" w:hanging="129"/>
      </w:pPr>
      <w:rPr>
        <w:rFonts w:hint="default"/>
      </w:rPr>
    </w:lvl>
    <w:lvl w:ilvl="4" w:tplc="C3F05CF4">
      <w:start w:val="1"/>
      <w:numFmt w:val="bullet"/>
      <w:lvlText w:val="•"/>
      <w:lvlJc w:val="left"/>
      <w:pPr>
        <w:ind w:left="1347" w:hanging="129"/>
      </w:pPr>
      <w:rPr>
        <w:rFonts w:hint="default"/>
      </w:rPr>
    </w:lvl>
    <w:lvl w:ilvl="5" w:tplc="82D82DB4">
      <w:start w:val="1"/>
      <w:numFmt w:val="bullet"/>
      <w:lvlText w:val="•"/>
      <w:lvlJc w:val="left"/>
      <w:pPr>
        <w:ind w:left="1658" w:hanging="129"/>
      </w:pPr>
      <w:rPr>
        <w:rFonts w:hint="default"/>
      </w:rPr>
    </w:lvl>
    <w:lvl w:ilvl="6" w:tplc="9932AC62">
      <w:start w:val="1"/>
      <w:numFmt w:val="bullet"/>
      <w:lvlText w:val="•"/>
      <w:lvlJc w:val="left"/>
      <w:pPr>
        <w:ind w:left="1970" w:hanging="129"/>
      </w:pPr>
      <w:rPr>
        <w:rFonts w:hint="default"/>
      </w:rPr>
    </w:lvl>
    <w:lvl w:ilvl="7" w:tplc="C7BE3C78">
      <w:start w:val="1"/>
      <w:numFmt w:val="bullet"/>
      <w:lvlText w:val="•"/>
      <w:lvlJc w:val="left"/>
      <w:pPr>
        <w:ind w:left="2281" w:hanging="129"/>
      </w:pPr>
      <w:rPr>
        <w:rFonts w:hint="default"/>
      </w:rPr>
    </w:lvl>
    <w:lvl w:ilvl="8" w:tplc="38CEC3B0">
      <w:start w:val="1"/>
      <w:numFmt w:val="bullet"/>
      <w:lvlText w:val="•"/>
      <w:lvlJc w:val="left"/>
      <w:pPr>
        <w:ind w:left="2592" w:hanging="129"/>
      </w:pPr>
      <w:rPr>
        <w:rFonts w:hint="default"/>
      </w:rPr>
    </w:lvl>
  </w:abstractNum>
  <w:abstractNum w:abstractNumId="41" w15:restartNumberingAfterBreak="0">
    <w:nsid w:val="69BB06D1"/>
    <w:multiLevelType w:val="hybridMultilevel"/>
    <w:tmpl w:val="77DA589A"/>
    <w:lvl w:ilvl="0" w:tplc="243A4AFC">
      <w:start w:val="1"/>
      <w:numFmt w:val="bullet"/>
      <w:lvlText w:val="●"/>
      <w:lvlJc w:val="left"/>
      <w:pPr>
        <w:ind w:left="800" w:hanging="400"/>
      </w:pPr>
      <w:rPr>
        <w:rFonts w:ascii="Times New Roman" w:eastAsia="Times New Roman" w:hAnsi="Times New Roman" w:hint="default"/>
        <w:b/>
        <w:bCs/>
        <w:sz w:val="20"/>
        <w:szCs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A91086E"/>
    <w:multiLevelType w:val="hybridMultilevel"/>
    <w:tmpl w:val="1D628776"/>
    <w:lvl w:ilvl="0" w:tplc="F3689A64">
      <w:start w:val="1"/>
      <w:numFmt w:val="bullet"/>
      <w:lvlText w:val="-"/>
      <w:lvlJc w:val="left"/>
      <w:pPr>
        <w:ind w:left="800" w:hanging="400"/>
      </w:pPr>
      <w:rPr>
        <w:rFonts w:ascii="Times New Roman" w:eastAsia="Times New Roman" w:hAnsi="Times New Roman" w:hint="default"/>
        <w:w w:val="99"/>
        <w:sz w:val="22"/>
        <w:szCs w:val="22"/>
      </w:rPr>
    </w:lvl>
    <w:lvl w:ilvl="1" w:tplc="7DBABF2C" w:tentative="1">
      <w:start w:val="1"/>
      <w:numFmt w:val="bullet"/>
      <w:lvlText w:val=""/>
      <w:lvlJc w:val="left"/>
      <w:pPr>
        <w:ind w:left="1200" w:hanging="400"/>
      </w:pPr>
      <w:rPr>
        <w:rFonts w:ascii="Wingdings" w:hAnsi="Wingdings" w:hint="default"/>
      </w:rPr>
    </w:lvl>
    <w:lvl w:ilvl="2" w:tplc="A6DE2A40" w:tentative="1">
      <w:start w:val="1"/>
      <w:numFmt w:val="bullet"/>
      <w:lvlText w:val=""/>
      <w:lvlJc w:val="left"/>
      <w:pPr>
        <w:ind w:left="1600" w:hanging="400"/>
      </w:pPr>
      <w:rPr>
        <w:rFonts w:ascii="Wingdings" w:hAnsi="Wingdings" w:hint="default"/>
      </w:rPr>
    </w:lvl>
    <w:lvl w:ilvl="3" w:tplc="3AA0960E" w:tentative="1">
      <w:start w:val="1"/>
      <w:numFmt w:val="bullet"/>
      <w:lvlText w:val=""/>
      <w:lvlJc w:val="left"/>
      <w:pPr>
        <w:ind w:left="2000" w:hanging="400"/>
      </w:pPr>
      <w:rPr>
        <w:rFonts w:ascii="Wingdings" w:hAnsi="Wingdings" w:hint="default"/>
      </w:rPr>
    </w:lvl>
    <w:lvl w:ilvl="4" w:tplc="3B941224" w:tentative="1">
      <w:start w:val="1"/>
      <w:numFmt w:val="bullet"/>
      <w:lvlText w:val=""/>
      <w:lvlJc w:val="left"/>
      <w:pPr>
        <w:ind w:left="2400" w:hanging="400"/>
      </w:pPr>
      <w:rPr>
        <w:rFonts w:ascii="Wingdings" w:hAnsi="Wingdings" w:hint="default"/>
      </w:rPr>
    </w:lvl>
    <w:lvl w:ilvl="5" w:tplc="552C0156" w:tentative="1">
      <w:start w:val="1"/>
      <w:numFmt w:val="bullet"/>
      <w:lvlText w:val=""/>
      <w:lvlJc w:val="left"/>
      <w:pPr>
        <w:ind w:left="2800" w:hanging="400"/>
      </w:pPr>
      <w:rPr>
        <w:rFonts w:ascii="Wingdings" w:hAnsi="Wingdings" w:hint="default"/>
      </w:rPr>
    </w:lvl>
    <w:lvl w:ilvl="6" w:tplc="9AA88666" w:tentative="1">
      <w:start w:val="1"/>
      <w:numFmt w:val="bullet"/>
      <w:lvlText w:val=""/>
      <w:lvlJc w:val="left"/>
      <w:pPr>
        <w:ind w:left="3200" w:hanging="400"/>
      </w:pPr>
      <w:rPr>
        <w:rFonts w:ascii="Wingdings" w:hAnsi="Wingdings" w:hint="default"/>
      </w:rPr>
    </w:lvl>
    <w:lvl w:ilvl="7" w:tplc="930E0BA4" w:tentative="1">
      <w:start w:val="1"/>
      <w:numFmt w:val="bullet"/>
      <w:lvlText w:val=""/>
      <w:lvlJc w:val="left"/>
      <w:pPr>
        <w:ind w:left="3600" w:hanging="400"/>
      </w:pPr>
      <w:rPr>
        <w:rFonts w:ascii="Wingdings" w:hAnsi="Wingdings" w:hint="default"/>
      </w:rPr>
    </w:lvl>
    <w:lvl w:ilvl="8" w:tplc="E806AEC4" w:tentative="1">
      <w:start w:val="1"/>
      <w:numFmt w:val="bullet"/>
      <w:lvlText w:val=""/>
      <w:lvlJc w:val="left"/>
      <w:pPr>
        <w:ind w:left="4000" w:hanging="400"/>
      </w:pPr>
      <w:rPr>
        <w:rFonts w:ascii="Wingdings" w:hAnsi="Wingdings" w:hint="default"/>
      </w:rPr>
    </w:lvl>
  </w:abstractNum>
  <w:abstractNum w:abstractNumId="43" w15:restartNumberingAfterBreak="0">
    <w:nsid w:val="6DB62CB4"/>
    <w:multiLevelType w:val="hybridMultilevel"/>
    <w:tmpl w:val="7676F1E8"/>
    <w:lvl w:ilvl="0" w:tplc="96662A3E">
      <w:start w:val="1"/>
      <w:numFmt w:val="decimal"/>
      <w:lvlText w:val="%1."/>
      <w:lvlJc w:val="left"/>
      <w:pPr>
        <w:ind w:left="115" w:hanging="567"/>
      </w:pPr>
      <w:rPr>
        <w:rFonts w:ascii="Times New Roman" w:eastAsia="Times New Roman" w:hAnsi="Times New Roman" w:hint="default"/>
        <w:b/>
        <w:bCs/>
        <w:sz w:val="22"/>
        <w:szCs w:val="22"/>
      </w:rPr>
    </w:lvl>
    <w:lvl w:ilvl="1" w:tplc="12524196">
      <w:start w:val="1"/>
      <w:numFmt w:val="bullet"/>
      <w:lvlText w:val="•"/>
      <w:lvlJc w:val="left"/>
      <w:pPr>
        <w:ind w:left="1030" w:hanging="567"/>
      </w:pPr>
      <w:rPr>
        <w:rFonts w:hint="default"/>
      </w:rPr>
    </w:lvl>
    <w:lvl w:ilvl="2" w:tplc="AC1410A0">
      <w:start w:val="1"/>
      <w:numFmt w:val="bullet"/>
      <w:lvlText w:val="•"/>
      <w:lvlJc w:val="left"/>
      <w:pPr>
        <w:ind w:left="1946" w:hanging="567"/>
      </w:pPr>
      <w:rPr>
        <w:rFonts w:hint="default"/>
      </w:rPr>
    </w:lvl>
    <w:lvl w:ilvl="3" w:tplc="3C444BD6">
      <w:start w:val="1"/>
      <w:numFmt w:val="bullet"/>
      <w:lvlText w:val="•"/>
      <w:lvlJc w:val="left"/>
      <w:pPr>
        <w:ind w:left="2861" w:hanging="567"/>
      </w:pPr>
      <w:rPr>
        <w:rFonts w:hint="default"/>
      </w:rPr>
    </w:lvl>
    <w:lvl w:ilvl="4" w:tplc="D58628BE">
      <w:start w:val="1"/>
      <w:numFmt w:val="bullet"/>
      <w:lvlText w:val="•"/>
      <w:lvlJc w:val="left"/>
      <w:pPr>
        <w:ind w:left="3776" w:hanging="567"/>
      </w:pPr>
      <w:rPr>
        <w:rFonts w:hint="default"/>
      </w:rPr>
    </w:lvl>
    <w:lvl w:ilvl="5" w:tplc="4E5EC276">
      <w:start w:val="1"/>
      <w:numFmt w:val="bullet"/>
      <w:lvlText w:val="•"/>
      <w:lvlJc w:val="left"/>
      <w:pPr>
        <w:ind w:left="4692" w:hanging="567"/>
      </w:pPr>
      <w:rPr>
        <w:rFonts w:hint="default"/>
      </w:rPr>
    </w:lvl>
    <w:lvl w:ilvl="6" w:tplc="9C80763E">
      <w:start w:val="1"/>
      <w:numFmt w:val="bullet"/>
      <w:lvlText w:val="•"/>
      <w:lvlJc w:val="left"/>
      <w:pPr>
        <w:ind w:left="5607" w:hanging="567"/>
      </w:pPr>
      <w:rPr>
        <w:rFonts w:hint="default"/>
      </w:rPr>
    </w:lvl>
    <w:lvl w:ilvl="7" w:tplc="A2B0BD56">
      <w:start w:val="1"/>
      <w:numFmt w:val="bullet"/>
      <w:lvlText w:val="•"/>
      <w:lvlJc w:val="left"/>
      <w:pPr>
        <w:ind w:left="6522" w:hanging="567"/>
      </w:pPr>
      <w:rPr>
        <w:rFonts w:hint="default"/>
      </w:rPr>
    </w:lvl>
    <w:lvl w:ilvl="8" w:tplc="22740B6A">
      <w:start w:val="1"/>
      <w:numFmt w:val="bullet"/>
      <w:lvlText w:val="•"/>
      <w:lvlJc w:val="left"/>
      <w:pPr>
        <w:ind w:left="7438" w:hanging="567"/>
      </w:pPr>
      <w:rPr>
        <w:rFonts w:hint="default"/>
      </w:rPr>
    </w:lvl>
  </w:abstractNum>
  <w:abstractNum w:abstractNumId="44" w15:restartNumberingAfterBreak="0">
    <w:nsid w:val="6E5F6F7A"/>
    <w:multiLevelType w:val="hybridMultilevel"/>
    <w:tmpl w:val="E168EA76"/>
    <w:lvl w:ilvl="0" w:tplc="DF8E09B6">
      <w:start w:val="1"/>
      <w:numFmt w:val="bullet"/>
      <w:lvlText w:val=""/>
      <w:lvlJc w:val="left"/>
      <w:pPr>
        <w:ind w:left="800" w:hanging="400"/>
      </w:pPr>
      <w:rPr>
        <w:rFonts w:ascii="Wingdings" w:hAnsi="Wingdings" w:hint="default"/>
      </w:rPr>
    </w:lvl>
    <w:lvl w:ilvl="1" w:tplc="CA0495F2" w:tentative="1">
      <w:start w:val="1"/>
      <w:numFmt w:val="bullet"/>
      <w:lvlText w:val=""/>
      <w:lvlJc w:val="left"/>
      <w:pPr>
        <w:ind w:left="1200" w:hanging="400"/>
      </w:pPr>
      <w:rPr>
        <w:rFonts w:ascii="Wingdings" w:hAnsi="Wingdings" w:hint="default"/>
      </w:rPr>
    </w:lvl>
    <w:lvl w:ilvl="2" w:tplc="DECE3B48" w:tentative="1">
      <w:start w:val="1"/>
      <w:numFmt w:val="bullet"/>
      <w:lvlText w:val=""/>
      <w:lvlJc w:val="left"/>
      <w:pPr>
        <w:ind w:left="1600" w:hanging="400"/>
      </w:pPr>
      <w:rPr>
        <w:rFonts w:ascii="Wingdings" w:hAnsi="Wingdings" w:hint="default"/>
      </w:rPr>
    </w:lvl>
    <w:lvl w:ilvl="3" w:tplc="BD10BE9E" w:tentative="1">
      <w:start w:val="1"/>
      <w:numFmt w:val="bullet"/>
      <w:lvlText w:val=""/>
      <w:lvlJc w:val="left"/>
      <w:pPr>
        <w:ind w:left="2000" w:hanging="400"/>
      </w:pPr>
      <w:rPr>
        <w:rFonts w:ascii="Wingdings" w:hAnsi="Wingdings" w:hint="default"/>
      </w:rPr>
    </w:lvl>
    <w:lvl w:ilvl="4" w:tplc="449CA1B4" w:tentative="1">
      <w:start w:val="1"/>
      <w:numFmt w:val="bullet"/>
      <w:lvlText w:val=""/>
      <w:lvlJc w:val="left"/>
      <w:pPr>
        <w:ind w:left="2400" w:hanging="400"/>
      </w:pPr>
      <w:rPr>
        <w:rFonts w:ascii="Wingdings" w:hAnsi="Wingdings" w:hint="default"/>
      </w:rPr>
    </w:lvl>
    <w:lvl w:ilvl="5" w:tplc="140C93D2" w:tentative="1">
      <w:start w:val="1"/>
      <w:numFmt w:val="bullet"/>
      <w:lvlText w:val=""/>
      <w:lvlJc w:val="left"/>
      <w:pPr>
        <w:ind w:left="2800" w:hanging="400"/>
      </w:pPr>
      <w:rPr>
        <w:rFonts w:ascii="Wingdings" w:hAnsi="Wingdings" w:hint="default"/>
      </w:rPr>
    </w:lvl>
    <w:lvl w:ilvl="6" w:tplc="531E2C10" w:tentative="1">
      <w:start w:val="1"/>
      <w:numFmt w:val="bullet"/>
      <w:lvlText w:val=""/>
      <w:lvlJc w:val="left"/>
      <w:pPr>
        <w:ind w:left="3200" w:hanging="400"/>
      </w:pPr>
      <w:rPr>
        <w:rFonts w:ascii="Wingdings" w:hAnsi="Wingdings" w:hint="default"/>
      </w:rPr>
    </w:lvl>
    <w:lvl w:ilvl="7" w:tplc="BC2EC0B8" w:tentative="1">
      <w:start w:val="1"/>
      <w:numFmt w:val="bullet"/>
      <w:lvlText w:val=""/>
      <w:lvlJc w:val="left"/>
      <w:pPr>
        <w:ind w:left="3600" w:hanging="400"/>
      </w:pPr>
      <w:rPr>
        <w:rFonts w:ascii="Wingdings" w:hAnsi="Wingdings" w:hint="default"/>
      </w:rPr>
    </w:lvl>
    <w:lvl w:ilvl="8" w:tplc="D7322D20" w:tentative="1">
      <w:start w:val="1"/>
      <w:numFmt w:val="bullet"/>
      <w:lvlText w:val=""/>
      <w:lvlJc w:val="left"/>
      <w:pPr>
        <w:ind w:left="4000" w:hanging="400"/>
      </w:pPr>
      <w:rPr>
        <w:rFonts w:ascii="Wingdings" w:hAnsi="Wingdings" w:hint="default"/>
      </w:rPr>
    </w:lvl>
  </w:abstractNum>
  <w:abstractNum w:abstractNumId="45"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6" w15:restartNumberingAfterBreak="0">
    <w:nsid w:val="754D6210"/>
    <w:multiLevelType w:val="hybridMultilevel"/>
    <w:tmpl w:val="48520224"/>
    <w:lvl w:ilvl="0" w:tplc="8B5A9526">
      <w:start w:val="1"/>
      <w:numFmt w:val="bullet"/>
      <w:lvlText w:val="-"/>
      <w:lvlJc w:val="left"/>
      <w:pPr>
        <w:ind w:left="516" w:hanging="400"/>
      </w:pPr>
      <w:rPr>
        <w:rFonts w:ascii="Times New Roman" w:eastAsia="Times New Roman" w:hAnsi="Times New Roman" w:hint="default"/>
        <w:w w:val="99"/>
        <w:sz w:val="22"/>
        <w:szCs w:val="22"/>
      </w:rPr>
    </w:lvl>
    <w:lvl w:ilvl="1" w:tplc="5B5893D2">
      <w:start w:val="1"/>
      <w:numFmt w:val="bullet"/>
      <w:lvlText w:val=""/>
      <w:lvlJc w:val="left"/>
      <w:pPr>
        <w:ind w:left="916" w:hanging="400"/>
      </w:pPr>
      <w:rPr>
        <w:rFonts w:ascii="Wingdings" w:hAnsi="Wingdings" w:hint="default"/>
      </w:rPr>
    </w:lvl>
    <w:lvl w:ilvl="2" w:tplc="860AD1E8">
      <w:start w:val="1"/>
      <w:numFmt w:val="bullet"/>
      <w:lvlText w:val=""/>
      <w:lvlJc w:val="left"/>
      <w:pPr>
        <w:ind w:left="1316" w:hanging="400"/>
      </w:pPr>
      <w:rPr>
        <w:rFonts w:ascii="Wingdings" w:hAnsi="Wingdings" w:hint="default"/>
      </w:rPr>
    </w:lvl>
    <w:lvl w:ilvl="3" w:tplc="34B68786" w:tentative="1">
      <w:start w:val="1"/>
      <w:numFmt w:val="bullet"/>
      <w:lvlText w:val=""/>
      <w:lvlJc w:val="left"/>
      <w:pPr>
        <w:ind w:left="1716" w:hanging="400"/>
      </w:pPr>
      <w:rPr>
        <w:rFonts w:ascii="Wingdings" w:hAnsi="Wingdings" w:hint="default"/>
      </w:rPr>
    </w:lvl>
    <w:lvl w:ilvl="4" w:tplc="820C638E" w:tentative="1">
      <w:start w:val="1"/>
      <w:numFmt w:val="bullet"/>
      <w:lvlText w:val=""/>
      <w:lvlJc w:val="left"/>
      <w:pPr>
        <w:ind w:left="2116" w:hanging="400"/>
      </w:pPr>
      <w:rPr>
        <w:rFonts w:ascii="Wingdings" w:hAnsi="Wingdings" w:hint="default"/>
      </w:rPr>
    </w:lvl>
    <w:lvl w:ilvl="5" w:tplc="ADC04D92" w:tentative="1">
      <w:start w:val="1"/>
      <w:numFmt w:val="bullet"/>
      <w:lvlText w:val=""/>
      <w:lvlJc w:val="left"/>
      <w:pPr>
        <w:ind w:left="2516" w:hanging="400"/>
      </w:pPr>
      <w:rPr>
        <w:rFonts w:ascii="Wingdings" w:hAnsi="Wingdings" w:hint="default"/>
      </w:rPr>
    </w:lvl>
    <w:lvl w:ilvl="6" w:tplc="34C4A620" w:tentative="1">
      <w:start w:val="1"/>
      <w:numFmt w:val="bullet"/>
      <w:lvlText w:val=""/>
      <w:lvlJc w:val="left"/>
      <w:pPr>
        <w:ind w:left="2916" w:hanging="400"/>
      </w:pPr>
      <w:rPr>
        <w:rFonts w:ascii="Wingdings" w:hAnsi="Wingdings" w:hint="default"/>
      </w:rPr>
    </w:lvl>
    <w:lvl w:ilvl="7" w:tplc="A710A5E2" w:tentative="1">
      <w:start w:val="1"/>
      <w:numFmt w:val="bullet"/>
      <w:lvlText w:val=""/>
      <w:lvlJc w:val="left"/>
      <w:pPr>
        <w:ind w:left="3316" w:hanging="400"/>
      </w:pPr>
      <w:rPr>
        <w:rFonts w:ascii="Wingdings" w:hAnsi="Wingdings" w:hint="default"/>
      </w:rPr>
    </w:lvl>
    <w:lvl w:ilvl="8" w:tplc="6AD6F062" w:tentative="1">
      <w:start w:val="1"/>
      <w:numFmt w:val="bullet"/>
      <w:lvlText w:val=""/>
      <w:lvlJc w:val="left"/>
      <w:pPr>
        <w:ind w:left="3716" w:hanging="400"/>
      </w:pPr>
      <w:rPr>
        <w:rFonts w:ascii="Wingdings" w:hAnsi="Wingdings" w:hint="default"/>
      </w:rPr>
    </w:lvl>
  </w:abstractNum>
  <w:abstractNum w:abstractNumId="47" w15:restartNumberingAfterBreak="0">
    <w:nsid w:val="760A1D3F"/>
    <w:multiLevelType w:val="hybridMultilevel"/>
    <w:tmpl w:val="57EA2620"/>
    <w:lvl w:ilvl="0" w:tplc="B650CC6C">
      <w:start w:val="1"/>
      <w:numFmt w:val="bullet"/>
      <w:lvlText w:val=""/>
      <w:lvlJc w:val="left"/>
      <w:pPr>
        <w:ind w:left="800" w:hanging="400"/>
      </w:pPr>
      <w:rPr>
        <w:rFonts w:ascii="Wingdings" w:hAnsi="Wingdings" w:hint="default"/>
      </w:rPr>
    </w:lvl>
    <w:lvl w:ilvl="1" w:tplc="F9222E12" w:tentative="1">
      <w:start w:val="1"/>
      <w:numFmt w:val="bullet"/>
      <w:lvlText w:val=""/>
      <w:lvlJc w:val="left"/>
      <w:pPr>
        <w:ind w:left="1200" w:hanging="400"/>
      </w:pPr>
      <w:rPr>
        <w:rFonts w:ascii="Wingdings" w:hAnsi="Wingdings" w:hint="default"/>
      </w:rPr>
    </w:lvl>
    <w:lvl w:ilvl="2" w:tplc="E5C4416E" w:tentative="1">
      <w:start w:val="1"/>
      <w:numFmt w:val="bullet"/>
      <w:lvlText w:val=""/>
      <w:lvlJc w:val="left"/>
      <w:pPr>
        <w:ind w:left="1600" w:hanging="400"/>
      </w:pPr>
      <w:rPr>
        <w:rFonts w:ascii="Wingdings" w:hAnsi="Wingdings" w:hint="default"/>
      </w:rPr>
    </w:lvl>
    <w:lvl w:ilvl="3" w:tplc="A5E01FF2" w:tentative="1">
      <w:start w:val="1"/>
      <w:numFmt w:val="bullet"/>
      <w:lvlText w:val=""/>
      <w:lvlJc w:val="left"/>
      <w:pPr>
        <w:ind w:left="2000" w:hanging="400"/>
      </w:pPr>
      <w:rPr>
        <w:rFonts w:ascii="Wingdings" w:hAnsi="Wingdings" w:hint="default"/>
      </w:rPr>
    </w:lvl>
    <w:lvl w:ilvl="4" w:tplc="E54E9DA6" w:tentative="1">
      <w:start w:val="1"/>
      <w:numFmt w:val="bullet"/>
      <w:lvlText w:val=""/>
      <w:lvlJc w:val="left"/>
      <w:pPr>
        <w:ind w:left="2400" w:hanging="400"/>
      </w:pPr>
      <w:rPr>
        <w:rFonts w:ascii="Wingdings" w:hAnsi="Wingdings" w:hint="default"/>
      </w:rPr>
    </w:lvl>
    <w:lvl w:ilvl="5" w:tplc="635C49CE" w:tentative="1">
      <w:start w:val="1"/>
      <w:numFmt w:val="bullet"/>
      <w:lvlText w:val=""/>
      <w:lvlJc w:val="left"/>
      <w:pPr>
        <w:ind w:left="2800" w:hanging="400"/>
      </w:pPr>
      <w:rPr>
        <w:rFonts w:ascii="Wingdings" w:hAnsi="Wingdings" w:hint="default"/>
      </w:rPr>
    </w:lvl>
    <w:lvl w:ilvl="6" w:tplc="E91C7496" w:tentative="1">
      <w:start w:val="1"/>
      <w:numFmt w:val="bullet"/>
      <w:lvlText w:val=""/>
      <w:lvlJc w:val="left"/>
      <w:pPr>
        <w:ind w:left="3200" w:hanging="400"/>
      </w:pPr>
      <w:rPr>
        <w:rFonts w:ascii="Wingdings" w:hAnsi="Wingdings" w:hint="default"/>
      </w:rPr>
    </w:lvl>
    <w:lvl w:ilvl="7" w:tplc="12222858" w:tentative="1">
      <w:start w:val="1"/>
      <w:numFmt w:val="bullet"/>
      <w:lvlText w:val=""/>
      <w:lvlJc w:val="left"/>
      <w:pPr>
        <w:ind w:left="3600" w:hanging="400"/>
      </w:pPr>
      <w:rPr>
        <w:rFonts w:ascii="Wingdings" w:hAnsi="Wingdings" w:hint="default"/>
      </w:rPr>
    </w:lvl>
    <w:lvl w:ilvl="8" w:tplc="1FFA1CF6" w:tentative="1">
      <w:start w:val="1"/>
      <w:numFmt w:val="bullet"/>
      <w:lvlText w:val=""/>
      <w:lvlJc w:val="left"/>
      <w:pPr>
        <w:ind w:left="4000" w:hanging="400"/>
      </w:pPr>
      <w:rPr>
        <w:rFonts w:ascii="Wingdings" w:hAnsi="Wingdings" w:hint="default"/>
      </w:rPr>
    </w:lvl>
  </w:abstractNum>
  <w:abstractNum w:abstractNumId="48" w15:restartNumberingAfterBreak="0">
    <w:nsid w:val="7E4E5BF0"/>
    <w:multiLevelType w:val="hybridMultilevel"/>
    <w:tmpl w:val="9F8E85A0"/>
    <w:lvl w:ilvl="0" w:tplc="C276B262">
      <w:start w:val="2"/>
      <w:numFmt w:val="upperLetter"/>
      <w:lvlText w:val="%1."/>
      <w:lvlJc w:val="left"/>
      <w:pPr>
        <w:ind w:left="682" w:hanging="567"/>
      </w:pPr>
      <w:rPr>
        <w:rFonts w:ascii="Times New Roman" w:eastAsia="Times New Roman" w:hAnsi="Times New Roman" w:hint="default"/>
        <w:b/>
        <w:bCs/>
        <w:spacing w:val="1"/>
        <w:sz w:val="22"/>
        <w:szCs w:val="22"/>
      </w:rPr>
    </w:lvl>
    <w:lvl w:ilvl="1" w:tplc="C9DA447C">
      <w:start w:val="1"/>
      <w:numFmt w:val="upperLetter"/>
      <w:lvlText w:val="%2."/>
      <w:lvlJc w:val="left"/>
      <w:pPr>
        <w:ind w:left="3753" w:hanging="274"/>
        <w:jc w:val="right"/>
      </w:pPr>
      <w:rPr>
        <w:rFonts w:ascii="Times New Roman" w:eastAsia="Times New Roman" w:hAnsi="Times New Roman" w:hint="default"/>
        <w:b/>
        <w:bCs/>
        <w:spacing w:val="-1"/>
        <w:sz w:val="22"/>
        <w:szCs w:val="22"/>
      </w:rPr>
    </w:lvl>
    <w:lvl w:ilvl="2" w:tplc="9EAA8382">
      <w:start w:val="1"/>
      <w:numFmt w:val="bullet"/>
      <w:lvlText w:val="•"/>
      <w:lvlJc w:val="left"/>
      <w:pPr>
        <w:ind w:left="4286" w:hanging="274"/>
      </w:pPr>
      <w:rPr>
        <w:rFonts w:hint="default"/>
      </w:rPr>
    </w:lvl>
    <w:lvl w:ilvl="3" w:tplc="806ADC42">
      <w:start w:val="1"/>
      <w:numFmt w:val="bullet"/>
      <w:lvlText w:val="•"/>
      <w:lvlJc w:val="left"/>
      <w:pPr>
        <w:ind w:left="4819" w:hanging="274"/>
      </w:pPr>
      <w:rPr>
        <w:rFonts w:hint="default"/>
      </w:rPr>
    </w:lvl>
    <w:lvl w:ilvl="4" w:tplc="5FE2D66C">
      <w:start w:val="1"/>
      <w:numFmt w:val="bullet"/>
      <w:lvlText w:val="•"/>
      <w:lvlJc w:val="left"/>
      <w:pPr>
        <w:ind w:left="5352" w:hanging="274"/>
      </w:pPr>
      <w:rPr>
        <w:rFonts w:hint="default"/>
      </w:rPr>
    </w:lvl>
    <w:lvl w:ilvl="5" w:tplc="9FFAD404">
      <w:start w:val="1"/>
      <w:numFmt w:val="bullet"/>
      <w:lvlText w:val="•"/>
      <w:lvlJc w:val="left"/>
      <w:pPr>
        <w:ind w:left="5884" w:hanging="274"/>
      </w:pPr>
      <w:rPr>
        <w:rFonts w:hint="default"/>
      </w:rPr>
    </w:lvl>
    <w:lvl w:ilvl="6" w:tplc="567EB31A">
      <w:start w:val="1"/>
      <w:numFmt w:val="bullet"/>
      <w:lvlText w:val="•"/>
      <w:lvlJc w:val="left"/>
      <w:pPr>
        <w:ind w:left="6417" w:hanging="274"/>
      </w:pPr>
      <w:rPr>
        <w:rFonts w:hint="default"/>
      </w:rPr>
    </w:lvl>
    <w:lvl w:ilvl="7" w:tplc="927AFEC4">
      <w:start w:val="1"/>
      <w:numFmt w:val="bullet"/>
      <w:lvlText w:val="•"/>
      <w:lvlJc w:val="left"/>
      <w:pPr>
        <w:ind w:left="6950" w:hanging="274"/>
      </w:pPr>
      <w:rPr>
        <w:rFonts w:hint="default"/>
      </w:rPr>
    </w:lvl>
    <w:lvl w:ilvl="8" w:tplc="74045752">
      <w:start w:val="1"/>
      <w:numFmt w:val="bullet"/>
      <w:lvlText w:val="•"/>
      <w:lvlJc w:val="left"/>
      <w:pPr>
        <w:ind w:left="7483" w:hanging="274"/>
      </w:pPr>
      <w:rPr>
        <w:rFonts w:hint="default"/>
      </w:rPr>
    </w:lvl>
  </w:abstractNum>
  <w:num w:numId="1" w16cid:durableId="1784955640">
    <w:abstractNumId w:val="30"/>
  </w:num>
  <w:num w:numId="2" w16cid:durableId="1497264240">
    <w:abstractNumId w:val="43"/>
  </w:num>
  <w:num w:numId="3" w16cid:durableId="580212607">
    <w:abstractNumId w:val="20"/>
  </w:num>
  <w:num w:numId="4" w16cid:durableId="851531860">
    <w:abstractNumId w:val="48"/>
  </w:num>
  <w:num w:numId="5" w16cid:durableId="17633187">
    <w:abstractNumId w:val="11"/>
  </w:num>
  <w:num w:numId="6" w16cid:durableId="1932619162">
    <w:abstractNumId w:val="36"/>
  </w:num>
  <w:num w:numId="7" w16cid:durableId="1089348433">
    <w:abstractNumId w:val="19"/>
  </w:num>
  <w:num w:numId="8" w16cid:durableId="1677685272">
    <w:abstractNumId w:val="35"/>
  </w:num>
  <w:num w:numId="9" w16cid:durableId="610599441">
    <w:abstractNumId w:val="17"/>
  </w:num>
  <w:num w:numId="10" w16cid:durableId="43719989">
    <w:abstractNumId w:val="10"/>
  </w:num>
  <w:num w:numId="11" w16cid:durableId="1110246892">
    <w:abstractNumId w:val="18"/>
  </w:num>
  <w:num w:numId="12" w16cid:durableId="1255673004">
    <w:abstractNumId w:val="37"/>
  </w:num>
  <w:num w:numId="13" w16cid:durableId="401678058">
    <w:abstractNumId w:val="31"/>
  </w:num>
  <w:num w:numId="14" w16cid:durableId="1787505318">
    <w:abstractNumId w:val="32"/>
  </w:num>
  <w:num w:numId="15" w16cid:durableId="1627541949">
    <w:abstractNumId w:val="40"/>
  </w:num>
  <w:num w:numId="16" w16cid:durableId="298996604">
    <w:abstractNumId w:val="38"/>
  </w:num>
  <w:num w:numId="17" w16cid:durableId="1225336500">
    <w:abstractNumId w:val="13"/>
  </w:num>
  <w:num w:numId="18" w16cid:durableId="1137914275">
    <w:abstractNumId w:val="14"/>
  </w:num>
  <w:num w:numId="19" w16cid:durableId="1385762704">
    <w:abstractNumId w:val="39"/>
  </w:num>
  <w:num w:numId="20" w16cid:durableId="1448502820">
    <w:abstractNumId w:val="46"/>
  </w:num>
  <w:num w:numId="21" w16cid:durableId="1622149196">
    <w:abstractNumId w:val="42"/>
  </w:num>
  <w:num w:numId="22" w16cid:durableId="179707401">
    <w:abstractNumId w:val="12"/>
  </w:num>
  <w:num w:numId="23" w16cid:durableId="943926596">
    <w:abstractNumId w:val="33"/>
  </w:num>
  <w:num w:numId="24" w16cid:durableId="523517567">
    <w:abstractNumId w:val="25"/>
  </w:num>
  <w:num w:numId="25" w16cid:durableId="1798914811">
    <w:abstractNumId w:val="26"/>
  </w:num>
  <w:num w:numId="26" w16cid:durableId="269243894">
    <w:abstractNumId w:val="45"/>
  </w:num>
  <w:num w:numId="27" w16cid:durableId="260914420">
    <w:abstractNumId w:val="22"/>
  </w:num>
  <w:num w:numId="28" w16cid:durableId="977883261">
    <w:abstractNumId w:val="24"/>
  </w:num>
  <w:num w:numId="29" w16cid:durableId="1433862337">
    <w:abstractNumId w:val="15"/>
  </w:num>
  <w:num w:numId="30" w16cid:durableId="251352138">
    <w:abstractNumId w:val="47"/>
  </w:num>
  <w:num w:numId="31" w16cid:durableId="743377356">
    <w:abstractNumId w:val="34"/>
  </w:num>
  <w:num w:numId="32" w16cid:durableId="1134448790">
    <w:abstractNumId w:val="21"/>
  </w:num>
  <w:num w:numId="33" w16cid:durableId="2063550995">
    <w:abstractNumId w:val="44"/>
  </w:num>
  <w:num w:numId="34" w16cid:durableId="936060899">
    <w:abstractNumId w:val="16"/>
  </w:num>
  <w:num w:numId="35" w16cid:durableId="124156397">
    <w:abstractNumId w:val="27"/>
  </w:num>
  <w:num w:numId="36" w16cid:durableId="1387992778">
    <w:abstractNumId w:val="28"/>
  </w:num>
  <w:num w:numId="37" w16cid:durableId="301622778">
    <w:abstractNumId w:val="41"/>
  </w:num>
  <w:num w:numId="38" w16cid:durableId="187522081">
    <w:abstractNumId w:val="23"/>
  </w:num>
  <w:num w:numId="39" w16cid:durableId="1935935307">
    <w:abstractNumId w:val="9"/>
  </w:num>
  <w:num w:numId="40" w16cid:durableId="625938293">
    <w:abstractNumId w:val="7"/>
  </w:num>
  <w:num w:numId="41" w16cid:durableId="511994061">
    <w:abstractNumId w:val="6"/>
  </w:num>
  <w:num w:numId="42" w16cid:durableId="583222899">
    <w:abstractNumId w:val="5"/>
  </w:num>
  <w:num w:numId="43" w16cid:durableId="2120029287">
    <w:abstractNumId w:val="4"/>
  </w:num>
  <w:num w:numId="44" w16cid:durableId="1963338410">
    <w:abstractNumId w:val="8"/>
  </w:num>
  <w:num w:numId="45" w16cid:durableId="537276548">
    <w:abstractNumId w:val="3"/>
  </w:num>
  <w:num w:numId="46" w16cid:durableId="578170816">
    <w:abstractNumId w:val="2"/>
  </w:num>
  <w:num w:numId="47" w16cid:durableId="1511751398">
    <w:abstractNumId w:val="1"/>
  </w:num>
  <w:num w:numId="48" w16cid:durableId="1888224983">
    <w:abstractNumId w:val="0"/>
  </w:num>
  <w:num w:numId="49" w16cid:durableId="11428461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69"/>
    <w:rsid w:val="00002E28"/>
    <w:rsid w:val="00006F3D"/>
    <w:rsid w:val="00011ED7"/>
    <w:rsid w:val="00022192"/>
    <w:rsid w:val="0002423E"/>
    <w:rsid w:val="00030CAE"/>
    <w:rsid w:val="00033651"/>
    <w:rsid w:val="00034465"/>
    <w:rsid w:val="00036655"/>
    <w:rsid w:val="000424EE"/>
    <w:rsid w:val="00042795"/>
    <w:rsid w:val="000436EE"/>
    <w:rsid w:val="0004487F"/>
    <w:rsid w:val="00046161"/>
    <w:rsid w:val="00047D99"/>
    <w:rsid w:val="00047E69"/>
    <w:rsid w:val="00052A38"/>
    <w:rsid w:val="00053B0F"/>
    <w:rsid w:val="00056580"/>
    <w:rsid w:val="00064F7F"/>
    <w:rsid w:val="00065CB5"/>
    <w:rsid w:val="00066DC3"/>
    <w:rsid w:val="000674F2"/>
    <w:rsid w:val="00067BBB"/>
    <w:rsid w:val="00072703"/>
    <w:rsid w:val="000747D5"/>
    <w:rsid w:val="00081861"/>
    <w:rsid w:val="00082D11"/>
    <w:rsid w:val="0008373E"/>
    <w:rsid w:val="00083D76"/>
    <w:rsid w:val="000871AA"/>
    <w:rsid w:val="000A173A"/>
    <w:rsid w:val="000A36D2"/>
    <w:rsid w:val="000A66F8"/>
    <w:rsid w:val="000A6D0C"/>
    <w:rsid w:val="000B0F8D"/>
    <w:rsid w:val="000B1795"/>
    <w:rsid w:val="000B258D"/>
    <w:rsid w:val="000B25F5"/>
    <w:rsid w:val="000B2B22"/>
    <w:rsid w:val="000B3220"/>
    <w:rsid w:val="000B38ED"/>
    <w:rsid w:val="000B67A5"/>
    <w:rsid w:val="000C2AF8"/>
    <w:rsid w:val="000C2EAA"/>
    <w:rsid w:val="000C5183"/>
    <w:rsid w:val="000C723D"/>
    <w:rsid w:val="000D7B99"/>
    <w:rsid w:val="000E181C"/>
    <w:rsid w:val="000E2D45"/>
    <w:rsid w:val="000E4CD3"/>
    <w:rsid w:val="000E4CE5"/>
    <w:rsid w:val="000E5985"/>
    <w:rsid w:val="000E794B"/>
    <w:rsid w:val="000F01D6"/>
    <w:rsid w:val="000F1574"/>
    <w:rsid w:val="000F58C3"/>
    <w:rsid w:val="00101002"/>
    <w:rsid w:val="00103660"/>
    <w:rsid w:val="00113772"/>
    <w:rsid w:val="00114739"/>
    <w:rsid w:val="00115618"/>
    <w:rsid w:val="00115E71"/>
    <w:rsid w:val="00124D80"/>
    <w:rsid w:val="00124FC4"/>
    <w:rsid w:val="00127F90"/>
    <w:rsid w:val="00131FCB"/>
    <w:rsid w:val="001323E7"/>
    <w:rsid w:val="00133CA0"/>
    <w:rsid w:val="00143EF2"/>
    <w:rsid w:val="001555FC"/>
    <w:rsid w:val="00161063"/>
    <w:rsid w:val="001668C9"/>
    <w:rsid w:val="00166921"/>
    <w:rsid w:val="00174B76"/>
    <w:rsid w:val="00175624"/>
    <w:rsid w:val="001762AB"/>
    <w:rsid w:val="00176417"/>
    <w:rsid w:val="001770C3"/>
    <w:rsid w:val="001872B0"/>
    <w:rsid w:val="00190D71"/>
    <w:rsid w:val="00191BE9"/>
    <w:rsid w:val="001949F1"/>
    <w:rsid w:val="0019625E"/>
    <w:rsid w:val="001A0868"/>
    <w:rsid w:val="001A0A57"/>
    <w:rsid w:val="001A619B"/>
    <w:rsid w:val="001B0750"/>
    <w:rsid w:val="001B6246"/>
    <w:rsid w:val="001B76F6"/>
    <w:rsid w:val="001C10D0"/>
    <w:rsid w:val="001C7F49"/>
    <w:rsid w:val="001D0819"/>
    <w:rsid w:val="001D0B07"/>
    <w:rsid w:val="001D2947"/>
    <w:rsid w:val="001D2B1E"/>
    <w:rsid w:val="001D5BF7"/>
    <w:rsid w:val="001D7B2C"/>
    <w:rsid w:val="001E0593"/>
    <w:rsid w:val="001E50E6"/>
    <w:rsid w:val="001E6F77"/>
    <w:rsid w:val="001F1257"/>
    <w:rsid w:val="001F162F"/>
    <w:rsid w:val="001F1DFD"/>
    <w:rsid w:val="001F48C3"/>
    <w:rsid w:val="001F4DBC"/>
    <w:rsid w:val="001F5CA4"/>
    <w:rsid w:val="001F6D71"/>
    <w:rsid w:val="00202C2A"/>
    <w:rsid w:val="00202FF4"/>
    <w:rsid w:val="002038AD"/>
    <w:rsid w:val="00203E25"/>
    <w:rsid w:val="00205EF7"/>
    <w:rsid w:val="00206011"/>
    <w:rsid w:val="00207CA8"/>
    <w:rsid w:val="0021382E"/>
    <w:rsid w:val="00215E20"/>
    <w:rsid w:val="0022247D"/>
    <w:rsid w:val="00222697"/>
    <w:rsid w:val="00225BBA"/>
    <w:rsid w:val="00225C43"/>
    <w:rsid w:val="00226C87"/>
    <w:rsid w:val="0023290A"/>
    <w:rsid w:val="00233EDC"/>
    <w:rsid w:val="002354A2"/>
    <w:rsid w:val="00236868"/>
    <w:rsid w:val="002410B7"/>
    <w:rsid w:val="00244E95"/>
    <w:rsid w:val="00251BDF"/>
    <w:rsid w:val="00253A43"/>
    <w:rsid w:val="0025452B"/>
    <w:rsid w:val="0026109E"/>
    <w:rsid w:val="00266821"/>
    <w:rsid w:val="00267BCE"/>
    <w:rsid w:val="002700BA"/>
    <w:rsid w:val="00270893"/>
    <w:rsid w:val="00272EC8"/>
    <w:rsid w:val="00273D49"/>
    <w:rsid w:val="002816E5"/>
    <w:rsid w:val="00281B12"/>
    <w:rsid w:val="00285F7A"/>
    <w:rsid w:val="00286335"/>
    <w:rsid w:val="00286AA8"/>
    <w:rsid w:val="0029141E"/>
    <w:rsid w:val="002939AB"/>
    <w:rsid w:val="00295307"/>
    <w:rsid w:val="002A2E98"/>
    <w:rsid w:val="002A51DA"/>
    <w:rsid w:val="002A7DDE"/>
    <w:rsid w:val="002B01E7"/>
    <w:rsid w:val="002B27C4"/>
    <w:rsid w:val="002B7F2F"/>
    <w:rsid w:val="002C0642"/>
    <w:rsid w:val="002C26C2"/>
    <w:rsid w:val="002C34FA"/>
    <w:rsid w:val="002C63C7"/>
    <w:rsid w:val="002C712C"/>
    <w:rsid w:val="002D02C2"/>
    <w:rsid w:val="002D445C"/>
    <w:rsid w:val="002D6E74"/>
    <w:rsid w:val="002E055F"/>
    <w:rsid w:val="002E0902"/>
    <w:rsid w:val="002E1DD8"/>
    <w:rsid w:val="002E22DE"/>
    <w:rsid w:val="002E2331"/>
    <w:rsid w:val="002E4958"/>
    <w:rsid w:val="002F08EE"/>
    <w:rsid w:val="002F2430"/>
    <w:rsid w:val="002F3873"/>
    <w:rsid w:val="002F452E"/>
    <w:rsid w:val="0030167A"/>
    <w:rsid w:val="0030368A"/>
    <w:rsid w:val="00305E80"/>
    <w:rsid w:val="00310BF1"/>
    <w:rsid w:val="0031151E"/>
    <w:rsid w:val="0032180D"/>
    <w:rsid w:val="003219D3"/>
    <w:rsid w:val="00322A97"/>
    <w:rsid w:val="0032644E"/>
    <w:rsid w:val="00334719"/>
    <w:rsid w:val="00340514"/>
    <w:rsid w:val="0034055E"/>
    <w:rsid w:val="00340AAC"/>
    <w:rsid w:val="00343746"/>
    <w:rsid w:val="0034586E"/>
    <w:rsid w:val="003476EE"/>
    <w:rsid w:val="0035054E"/>
    <w:rsid w:val="003539DD"/>
    <w:rsid w:val="00355599"/>
    <w:rsid w:val="00355E84"/>
    <w:rsid w:val="00360096"/>
    <w:rsid w:val="0036075C"/>
    <w:rsid w:val="003667FF"/>
    <w:rsid w:val="00373D33"/>
    <w:rsid w:val="00375095"/>
    <w:rsid w:val="00382E50"/>
    <w:rsid w:val="00382FC5"/>
    <w:rsid w:val="0039013D"/>
    <w:rsid w:val="00391FC8"/>
    <w:rsid w:val="003A09E5"/>
    <w:rsid w:val="003A43E5"/>
    <w:rsid w:val="003A7B29"/>
    <w:rsid w:val="003B4193"/>
    <w:rsid w:val="003C39A1"/>
    <w:rsid w:val="003C5A84"/>
    <w:rsid w:val="003D1038"/>
    <w:rsid w:val="003D1973"/>
    <w:rsid w:val="003D2241"/>
    <w:rsid w:val="003D2B07"/>
    <w:rsid w:val="003E5580"/>
    <w:rsid w:val="003E67BA"/>
    <w:rsid w:val="003E6F39"/>
    <w:rsid w:val="003E76B6"/>
    <w:rsid w:val="003F1D71"/>
    <w:rsid w:val="003F7511"/>
    <w:rsid w:val="004010B3"/>
    <w:rsid w:val="00401403"/>
    <w:rsid w:val="00407BFD"/>
    <w:rsid w:val="00410031"/>
    <w:rsid w:val="00412008"/>
    <w:rsid w:val="0041451B"/>
    <w:rsid w:val="004228B0"/>
    <w:rsid w:val="00423250"/>
    <w:rsid w:val="00423C4C"/>
    <w:rsid w:val="0042458C"/>
    <w:rsid w:val="00427DBC"/>
    <w:rsid w:val="004303ED"/>
    <w:rsid w:val="00430B07"/>
    <w:rsid w:val="00432294"/>
    <w:rsid w:val="004325AE"/>
    <w:rsid w:val="004338BA"/>
    <w:rsid w:val="00433DD6"/>
    <w:rsid w:val="004343B4"/>
    <w:rsid w:val="004364FE"/>
    <w:rsid w:val="00442F28"/>
    <w:rsid w:val="00447A46"/>
    <w:rsid w:val="0045279F"/>
    <w:rsid w:val="0045440A"/>
    <w:rsid w:val="0046087A"/>
    <w:rsid w:val="0046508C"/>
    <w:rsid w:val="00466A19"/>
    <w:rsid w:val="0046711F"/>
    <w:rsid w:val="00470A28"/>
    <w:rsid w:val="00481633"/>
    <w:rsid w:val="004816DE"/>
    <w:rsid w:val="00482114"/>
    <w:rsid w:val="00483A65"/>
    <w:rsid w:val="00484DF7"/>
    <w:rsid w:val="00487693"/>
    <w:rsid w:val="004918AD"/>
    <w:rsid w:val="004A14D4"/>
    <w:rsid w:val="004A1586"/>
    <w:rsid w:val="004A5762"/>
    <w:rsid w:val="004A78A6"/>
    <w:rsid w:val="004A79F9"/>
    <w:rsid w:val="004B5459"/>
    <w:rsid w:val="004B5F54"/>
    <w:rsid w:val="004B77F1"/>
    <w:rsid w:val="004C1C4A"/>
    <w:rsid w:val="004C40CF"/>
    <w:rsid w:val="004C7CDB"/>
    <w:rsid w:val="004D0F60"/>
    <w:rsid w:val="004D2861"/>
    <w:rsid w:val="004D531D"/>
    <w:rsid w:val="004D6678"/>
    <w:rsid w:val="004E3759"/>
    <w:rsid w:val="004E3ED3"/>
    <w:rsid w:val="004E6F8A"/>
    <w:rsid w:val="004F0848"/>
    <w:rsid w:val="004F3E24"/>
    <w:rsid w:val="004F7E8F"/>
    <w:rsid w:val="005026D1"/>
    <w:rsid w:val="00505050"/>
    <w:rsid w:val="00506A5D"/>
    <w:rsid w:val="00507267"/>
    <w:rsid w:val="00512695"/>
    <w:rsid w:val="005137E5"/>
    <w:rsid w:val="00516A54"/>
    <w:rsid w:val="00517317"/>
    <w:rsid w:val="00521D2B"/>
    <w:rsid w:val="005277C1"/>
    <w:rsid w:val="0053285B"/>
    <w:rsid w:val="00536AFA"/>
    <w:rsid w:val="00536B4F"/>
    <w:rsid w:val="00542ECA"/>
    <w:rsid w:val="00550959"/>
    <w:rsid w:val="00550C07"/>
    <w:rsid w:val="0055176E"/>
    <w:rsid w:val="00552B55"/>
    <w:rsid w:val="00554385"/>
    <w:rsid w:val="005553F8"/>
    <w:rsid w:val="005561BA"/>
    <w:rsid w:val="005603A9"/>
    <w:rsid w:val="00562F92"/>
    <w:rsid w:val="00566266"/>
    <w:rsid w:val="00572488"/>
    <w:rsid w:val="00572DA6"/>
    <w:rsid w:val="00576C4F"/>
    <w:rsid w:val="00580A8E"/>
    <w:rsid w:val="00585B9E"/>
    <w:rsid w:val="005910DE"/>
    <w:rsid w:val="00591693"/>
    <w:rsid w:val="005A495F"/>
    <w:rsid w:val="005A52E0"/>
    <w:rsid w:val="005A5348"/>
    <w:rsid w:val="005A5691"/>
    <w:rsid w:val="005B3AAD"/>
    <w:rsid w:val="005B47EB"/>
    <w:rsid w:val="005C287F"/>
    <w:rsid w:val="005C3F12"/>
    <w:rsid w:val="005C43CA"/>
    <w:rsid w:val="005C6434"/>
    <w:rsid w:val="005C66C4"/>
    <w:rsid w:val="005C6FD3"/>
    <w:rsid w:val="005C792A"/>
    <w:rsid w:val="005D0763"/>
    <w:rsid w:val="005D3BC0"/>
    <w:rsid w:val="005D67A9"/>
    <w:rsid w:val="005D722B"/>
    <w:rsid w:val="005E1E6B"/>
    <w:rsid w:val="005E4476"/>
    <w:rsid w:val="005F3594"/>
    <w:rsid w:val="0060101B"/>
    <w:rsid w:val="0060266A"/>
    <w:rsid w:val="00603D88"/>
    <w:rsid w:val="00606B89"/>
    <w:rsid w:val="00607FAB"/>
    <w:rsid w:val="006120FC"/>
    <w:rsid w:val="00615B8F"/>
    <w:rsid w:val="00616E32"/>
    <w:rsid w:val="00621C10"/>
    <w:rsid w:val="00623A29"/>
    <w:rsid w:val="00625140"/>
    <w:rsid w:val="00636F4D"/>
    <w:rsid w:val="0064064E"/>
    <w:rsid w:val="00642E23"/>
    <w:rsid w:val="0065075F"/>
    <w:rsid w:val="006532D6"/>
    <w:rsid w:val="00653324"/>
    <w:rsid w:val="00654E0D"/>
    <w:rsid w:val="00661ACF"/>
    <w:rsid w:val="00663434"/>
    <w:rsid w:val="00666EF8"/>
    <w:rsid w:val="00670036"/>
    <w:rsid w:val="00671809"/>
    <w:rsid w:val="00671EC6"/>
    <w:rsid w:val="0067699B"/>
    <w:rsid w:val="006818ED"/>
    <w:rsid w:val="00683467"/>
    <w:rsid w:val="0068451A"/>
    <w:rsid w:val="0068583F"/>
    <w:rsid w:val="006932E2"/>
    <w:rsid w:val="00693D2E"/>
    <w:rsid w:val="00697EA0"/>
    <w:rsid w:val="006A12B5"/>
    <w:rsid w:val="006A1EA8"/>
    <w:rsid w:val="006A4BA1"/>
    <w:rsid w:val="006A5ECA"/>
    <w:rsid w:val="006B0E83"/>
    <w:rsid w:val="006B45B7"/>
    <w:rsid w:val="006B5412"/>
    <w:rsid w:val="006B6DBF"/>
    <w:rsid w:val="006B7C34"/>
    <w:rsid w:val="006D0E59"/>
    <w:rsid w:val="006D21DA"/>
    <w:rsid w:val="006D2ACA"/>
    <w:rsid w:val="006D2C5E"/>
    <w:rsid w:val="006D4433"/>
    <w:rsid w:val="006D707D"/>
    <w:rsid w:val="006E4357"/>
    <w:rsid w:val="006E5599"/>
    <w:rsid w:val="006E5793"/>
    <w:rsid w:val="006E6A51"/>
    <w:rsid w:val="006F1A29"/>
    <w:rsid w:val="006F57DB"/>
    <w:rsid w:val="006F5F85"/>
    <w:rsid w:val="006F7BE9"/>
    <w:rsid w:val="007017EC"/>
    <w:rsid w:val="00701D53"/>
    <w:rsid w:val="007025BC"/>
    <w:rsid w:val="00705418"/>
    <w:rsid w:val="00705D67"/>
    <w:rsid w:val="00717116"/>
    <w:rsid w:val="00717EEA"/>
    <w:rsid w:val="007233DA"/>
    <w:rsid w:val="00732E2D"/>
    <w:rsid w:val="00733101"/>
    <w:rsid w:val="00733CFE"/>
    <w:rsid w:val="0073521A"/>
    <w:rsid w:val="00745CE0"/>
    <w:rsid w:val="0075010F"/>
    <w:rsid w:val="007541F4"/>
    <w:rsid w:val="0075459C"/>
    <w:rsid w:val="00761709"/>
    <w:rsid w:val="00762FF2"/>
    <w:rsid w:val="007672E4"/>
    <w:rsid w:val="007725FD"/>
    <w:rsid w:val="0077368B"/>
    <w:rsid w:val="007739FA"/>
    <w:rsid w:val="00775BCF"/>
    <w:rsid w:val="00776168"/>
    <w:rsid w:val="007771DC"/>
    <w:rsid w:val="007813C5"/>
    <w:rsid w:val="007821F8"/>
    <w:rsid w:val="00782767"/>
    <w:rsid w:val="0078321B"/>
    <w:rsid w:val="0078714E"/>
    <w:rsid w:val="0079237A"/>
    <w:rsid w:val="0079332C"/>
    <w:rsid w:val="00797B25"/>
    <w:rsid w:val="007A22A2"/>
    <w:rsid w:val="007A335C"/>
    <w:rsid w:val="007A6730"/>
    <w:rsid w:val="007B2005"/>
    <w:rsid w:val="007B495D"/>
    <w:rsid w:val="007B5A5A"/>
    <w:rsid w:val="007B797A"/>
    <w:rsid w:val="007C27F6"/>
    <w:rsid w:val="007C3F57"/>
    <w:rsid w:val="007C40B3"/>
    <w:rsid w:val="007D3C89"/>
    <w:rsid w:val="007D7155"/>
    <w:rsid w:val="007E01E8"/>
    <w:rsid w:val="007E32A7"/>
    <w:rsid w:val="007E67A5"/>
    <w:rsid w:val="007F6201"/>
    <w:rsid w:val="00800056"/>
    <w:rsid w:val="00801944"/>
    <w:rsid w:val="008019C6"/>
    <w:rsid w:val="00806ABE"/>
    <w:rsid w:val="00811842"/>
    <w:rsid w:val="00813DD5"/>
    <w:rsid w:val="00814894"/>
    <w:rsid w:val="00815BFF"/>
    <w:rsid w:val="00816656"/>
    <w:rsid w:val="00820781"/>
    <w:rsid w:val="00822333"/>
    <w:rsid w:val="00822A1B"/>
    <w:rsid w:val="00822EE9"/>
    <w:rsid w:val="00823FB2"/>
    <w:rsid w:val="00825F29"/>
    <w:rsid w:val="00826591"/>
    <w:rsid w:val="0083787B"/>
    <w:rsid w:val="008402F6"/>
    <w:rsid w:val="008437AD"/>
    <w:rsid w:val="0084740F"/>
    <w:rsid w:val="008513AB"/>
    <w:rsid w:val="00851555"/>
    <w:rsid w:val="008537DB"/>
    <w:rsid w:val="0085552D"/>
    <w:rsid w:val="008568D6"/>
    <w:rsid w:val="008577F2"/>
    <w:rsid w:val="0086056C"/>
    <w:rsid w:val="00865E0E"/>
    <w:rsid w:val="00871554"/>
    <w:rsid w:val="00871F41"/>
    <w:rsid w:val="008728B7"/>
    <w:rsid w:val="00881AF2"/>
    <w:rsid w:val="00881EB8"/>
    <w:rsid w:val="00884725"/>
    <w:rsid w:val="00885751"/>
    <w:rsid w:val="00886E59"/>
    <w:rsid w:val="00890BF2"/>
    <w:rsid w:val="00895318"/>
    <w:rsid w:val="00896545"/>
    <w:rsid w:val="00897126"/>
    <w:rsid w:val="008A5230"/>
    <w:rsid w:val="008A6248"/>
    <w:rsid w:val="008B325E"/>
    <w:rsid w:val="008B3D06"/>
    <w:rsid w:val="008B538A"/>
    <w:rsid w:val="008C44B8"/>
    <w:rsid w:val="008C4697"/>
    <w:rsid w:val="008C55AE"/>
    <w:rsid w:val="008C5B9D"/>
    <w:rsid w:val="008D131B"/>
    <w:rsid w:val="008D2FE2"/>
    <w:rsid w:val="008D5309"/>
    <w:rsid w:val="008E3A3C"/>
    <w:rsid w:val="008E3B16"/>
    <w:rsid w:val="008E4829"/>
    <w:rsid w:val="008E6147"/>
    <w:rsid w:val="008F254E"/>
    <w:rsid w:val="008F2C81"/>
    <w:rsid w:val="00905E19"/>
    <w:rsid w:val="00905FE4"/>
    <w:rsid w:val="009109C5"/>
    <w:rsid w:val="00915D91"/>
    <w:rsid w:val="009226DC"/>
    <w:rsid w:val="00923665"/>
    <w:rsid w:val="009253B2"/>
    <w:rsid w:val="009273A2"/>
    <w:rsid w:val="0092774C"/>
    <w:rsid w:val="0093187A"/>
    <w:rsid w:val="009322F3"/>
    <w:rsid w:val="00934B99"/>
    <w:rsid w:val="00935244"/>
    <w:rsid w:val="0093529D"/>
    <w:rsid w:val="009364CC"/>
    <w:rsid w:val="00936F80"/>
    <w:rsid w:val="00944A76"/>
    <w:rsid w:val="0094563C"/>
    <w:rsid w:val="00945CC4"/>
    <w:rsid w:val="009523AA"/>
    <w:rsid w:val="0095448B"/>
    <w:rsid w:val="00954C1D"/>
    <w:rsid w:val="00960EC8"/>
    <w:rsid w:val="009626C3"/>
    <w:rsid w:val="00962A57"/>
    <w:rsid w:val="00963777"/>
    <w:rsid w:val="00963A35"/>
    <w:rsid w:val="00971E0B"/>
    <w:rsid w:val="00975A2F"/>
    <w:rsid w:val="00977ECC"/>
    <w:rsid w:val="009839E0"/>
    <w:rsid w:val="0098666A"/>
    <w:rsid w:val="009901F3"/>
    <w:rsid w:val="00990B68"/>
    <w:rsid w:val="00993223"/>
    <w:rsid w:val="009A06B0"/>
    <w:rsid w:val="009A0C01"/>
    <w:rsid w:val="009A13FB"/>
    <w:rsid w:val="009A2D9E"/>
    <w:rsid w:val="009A337E"/>
    <w:rsid w:val="009A45F6"/>
    <w:rsid w:val="009A5898"/>
    <w:rsid w:val="009B047B"/>
    <w:rsid w:val="009B270A"/>
    <w:rsid w:val="009B2856"/>
    <w:rsid w:val="009C4017"/>
    <w:rsid w:val="009C4F93"/>
    <w:rsid w:val="009C6389"/>
    <w:rsid w:val="009C79D9"/>
    <w:rsid w:val="009C7E07"/>
    <w:rsid w:val="009D2843"/>
    <w:rsid w:val="009E2204"/>
    <w:rsid w:val="009E2844"/>
    <w:rsid w:val="009E2922"/>
    <w:rsid w:val="009E3C3C"/>
    <w:rsid w:val="009E4213"/>
    <w:rsid w:val="009E5DE7"/>
    <w:rsid w:val="009F1BE6"/>
    <w:rsid w:val="009F3953"/>
    <w:rsid w:val="009F76C9"/>
    <w:rsid w:val="00A00E12"/>
    <w:rsid w:val="00A01A22"/>
    <w:rsid w:val="00A051EC"/>
    <w:rsid w:val="00A06B37"/>
    <w:rsid w:val="00A10F12"/>
    <w:rsid w:val="00A118D4"/>
    <w:rsid w:val="00A135EE"/>
    <w:rsid w:val="00A1365B"/>
    <w:rsid w:val="00A154CB"/>
    <w:rsid w:val="00A20988"/>
    <w:rsid w:val="00A26780"/>
    <w:rsid w:val="00A27683"/>
    <w:rsid w:val="00A3097A"/>
    <w:rsid w:val="00A316CE"/>
    <w:rsid w:val="00A32819"/>
    <w:rsid w:val="00A37F13"/>
    <w:rsid w:val="00A421DA"/>
    <w:rsid w:val="00A42FC8"/>
    <w:rsid w:val="00A46B65"/>
    <w:rsid w:val="00A47344"/>
    <w:rsid w:val="00A47B87"/>
    <w:rsid w:val="00A5296E"/>
    <w:rsid w:val="00A53D7A"/>
    <w:rsid w:val="00A60095"/>
    <w:rsid w:val="00A62E81"/>
    <w:rsid w:val="00A63613"/>
    <w:rsid w:val="00A65414"/>
    <w:rsid w:val="00A6721C"/>
    <w:rsid w:val="00A67742"/>
    <w:rsid w:val="00A71065"/>
    <w:rsid w:val="00A7496B"/>
    <w:rsid w:val="00A76516"/>
    <w:rsid w:val="00A768A9"/>
    <w:rsid w:val="00A769D5"/>
    <w:rsid w:val="00A77A31"/>
    <w:rsid w:val="00A82711"/>
    <w:rsid w:val="00A86E7C"/>
    <w:rsid w:val="00A8704B"/>
    <w:rsid w:val="00A87658"/>
    <w:rsid w:val="00A903B5"/>
    <w:rsid w:val="00A90CC3"/>
    <w:rsid w:val="00A92060"/>
    <w:rsid w:val="00A92A60"/>
    <w:rsid w:val="00AA0BEB"/>
    <w:rsid w:val="00AA2359"/>
    <w:rsid w:val="00AA2A0F"/>
    <w:rsid w:val="00AA37B2"/>
    <w:rsid w:val="00AB0B17"/>
    <w:rsid w:val="00AB7EA3"/>
    <w:rsid w:val="00AC1289"/>
    <w:rsid w:val="00AC1B71"/>
    <w:rsid w:val="00AC3D30"/>
    <w:rsid w:val="00AC6958"/>
    <w:rsid w:val="00AC752D"/>
    <w:rsid w:val="00AC7F66"/>
    <w:rsid w:val="00AD0069"/>
    <w:rsid w:val="00AD03D3"/>
    <w:rsid w:val="00AD0893"/>
    <w:rsid w:val="00AD4C42"/>
    <w:rsid w:val="00AD6725"/>
    <w:rsid w:val="00AD6B3A"/>
    <w:rsid w:val="00AD6D8E"/>
    <w:rsid w:val="00AE0B87"/>
    <w:rsid w:val="00AE4A66"/>
    <w:rsid w:val="00AE5A70"/>
    <w:rsid w:val="00AE67D6"/>
    <w:rsid w:val="00AE7793"/>
    <w:rsid w:val="00AF3BCC"/>
    <w:rsid w:val="00AF607F"/>
    <w:rsid w:val="00B003D7"/>
    <w:rsid w:val="00B00D6C"/>
    <w:rsid w:val="00B0107B"/>
    <w:rsid w:val="00B05220"/>
    <w:rsid w:val="00B0734F"/>
    <w:rsid w:val="00B10158"/>
    <w:rsid w:val="00B132D0"/>
    <w:rsid w:val="00B170FA"/>
    <w:rsid w:val="00B17C3C"/>
    <w:rsid w:val="00B210B0"/>
    <w:rsid w:val="00B21899"/>
    <w:rsid w:val="00B25133"/>
    <w:rsid w:val="00B26AF1"/>
    <w:rsid w:val="00B32006"/>
    <w:rsid w:val="00B33ACF"/>
    <w:rsid w:val="00B414DB"/>
    <w:rsid w:val="00B442A6"/>
    <w:rsid w:val="00B50D08"/>
    <w:rsid w:val="00B51CBF"/>
    <w:rsid w:val="00B5683C"/>
    <w:rsid w:val="00B57E8E"/>
    <w:rsid w:val="00B60875"/>
    <w:rsid w:val="00B61005"/>
    <w:rsid w:val="00B61EB7"/>
    <w:rsid w:val="00B63BFE"/>
    <w:rsid w:val="00B66F46"/>
    <w:rsid w:val="00B678F0"/>
    <w:rsid w:val="00B708D7"/>
    <w:rsid w:val="00B70FAF"/>
    <w:rsid w:val="00B71C5C"/>
    <w:rsid w:val="00B76FAB"/>
    <w:rsid w:val="00B775A0"/>
    <w:rsid w:val="00B8028C"/>
    <w:rsid w:val="00B84530"/>
    <w:rsid w:val="00B85680"/>
    <w:rsid w:val="00B879CD"/>
    <w:rsid w:val="00B90105"/>
    <w:rsid w:val="00B92317"/>
    <w:rsid w:val="00B95D3F"/>
    <w:rsid w:val="00B961A2"/>
    <w:rsid w:val="00BA1E0E"/>
    <w:rsid w:val="00BA2598"/>
    <w:rsid w:val="00BA25AD"/>
    <w:rsid w:val="00BA3060"/>
    <w:rsid w:val="00BA75C4"/>
    <w:rsid w:val="00BB23C3"/>
    <w:rsid w:val="00BB3028"/>
    <w:rsid w:val="00BB4096"/>
    <w:rsid w:val="00BB4C4D"/>
    <w:rsid w:val="00BC3733"/>
    <w:rsid w:val="00BC6FE7"/>
    <w:rsid w:val="00BD1CDB"/>
    <w:rsid w:val="00BD484D"/>
    <w:rsid w:val="00BD6550"/>
    <w:rsid w:val="00BE0072"/>
    <w:rsid w:val="00BE5D07"/>
    <w:rsid w:val="00BE6DC0"/>
    <w:rsid w:val="00BF1AAF"/>
    <w:rsid w:val="00BF394B"/>
    <w:rsid w:val="00BF55F2"/>
    <w:rsid w:val="00BF70B2"/>
    <w:rsid w:val="00C01B64"/>
    <w:rsid w:val="00C023FD"/>
    <w:rsid w:val="00C06DE8"/>
    <w:rsid w:val="00C108E8"/>
    <w:rsid w:val="00C11376"/>
    <w:rsid w:val="00C11E43"/>
    <w:rsid w:val="00C12DCA"/>
    <w:rsid w:val="00C13DD5"/>
    <w:rsid w:val="00C14ABC"/>
    <w:rsid w:val="00C153FB"/>
    <w:rsid w:val="00C20817"/>
    <w:rsid w:val="00C210A5"/>
    <w:rsid w:val="00C2278F"/>
    <w:rsid w:val="00C24D93"/>
    <w:rsid w:val="00C26876"/>
    <w:rsid w:val="00C27485"/>
    <w:rsid w:val="00C301DD"/>
    <w:rsid w:val="00C32D39"/>
    <w:rsid w:val="00C37CFE"/>
    <w:rsid w:val="00C4182E"/>
    <w:rsid w:val="00C479B5"/>
    <w:rsid w:val="00C47C79"/>
    <w:rsid w:val="00C504C5"/>
    <w:rsid w:val="00C51D11"/>
    <w:rsid w:val="00C539F5"/>
    <w:rsid w:val="00C53DA3"/>
    <w:rsid w:val="00C65A9E"/>
    <w:rsid w:val="00C65E48"/>
    <w:rsid w:val="00C70E96"/>
    <w:rsid w:val="00C746F7"/>
    <w:rsid w:val="00C82368"/>
    <w:rsid w:val="00C86F18"/>
    <w:rsid w:val="00C92658"/>
    <w:rsid w:val="00C92B8D"/>
    <w:rsid w:val="00C931C2"/>
    <w:rsid w:val="00C931D4"/>
    <w:rsid w:val="00C95639"/>
    <w:rsid w:val="00C970C8"/>
    <w:rsid w:val="00C97B9E"/>
    <w:rsid w:val="00CA1253"/>
    <w:rsid w:val="00CA47BB"/>
    <w:rsid w:val="00CA5543"/>
    <w:rsid w:val="00CB45DD"/>
    <w:rsid w:val="00CB6AA9"/>
    <w:rsid w:val="00CC27BC"/>
    <w:rsid w:val="00CC3360"/>
    <w:rsid w:val="00CC5F76"/>
    <w:rsid w:val="00CC72B5"/>
    <w:rsid w:val="00CD0FAE"/>
    <w:rsid w:val="00CD1D39"/>
    <w:rsid w:val="00CD5532"/>
    <w:rsid w:val="00CD6FBC"/>
    <w:rsid w:val="00CE4ED1"/>
    <w:rsid w:val="00CE577D"/>
    <w:rsid w:val="00CE5AF8"/>
    <w:rsid w:val="00CF0A5E"/>
    <w:rsid w:val="00CF6257"/>
    <w:rsid w:val="00D02E7A"/>
    <w:rsid w:val="00D03013"/>
    <w:rsid w:val="00D038E7"/>
    <w:rsid w:val="00D03988"/>
    <w:rsid w:val="00D05A06"/>
    <w:rsid w:val="00D06B0B"/>
    <w:rsid w:val="00D127AE"/>
    <w:rsid w:val="00D157A4"/>
    <w:rsid w:val="00D15E0D"/>
    <w:rsid w:val="00D1624E"/>
    <w:rsid w:val="00D162B7"/>
    <w:rsid w:val="00D310EE"/>
    <w:rsid w:val="00D3370F"/>
    <w:rsid w:val="00D356F0"/>
    <w:rsid w:val="00D361BF"/>
    <w:rsid w:val="00D370BC"/>
    <w:rsid w:val="00D42581"/>
    <w:rsid w:val="00D45D19"/>
    <w:rsid w:val="00D46C5C"/>
    <w:rsid w:val="00D50773"/>
    <w:rsid w:val="00D51785"/>
    <w:rsid w:val="00D57DA5"/>
    <w:rsid w:val="00D649D9"/>
    <w:rsid w:val="00D65229"/>
    <w:rsid w:val="00D7629B"/>
    <w:rsid w:val="00D764CA"/>
    <w:rsid w:val="00D7714F"/>
    <w:rsid w:val="00D81E13"/>
    <w:rsid w:val="00D935D3"/>
    <w:rsid w:val="00D93D2E"/>
    <w:rsid w:val="00DA1278"/>
    <w:rsid w:val="00DA64B1"/>
    <w:rsid w:val="00DB28ED"/>
    <w:rsid w:val="00DB36B1"/>
    <w:rsid w:val="00DB446A"/>
    <w:rsid w:val="00DB7BA6"/>
    <w:rsid w:val="00DC1C1A"/>
    <w:rsid w:val="00DC3F61"/>
    <w:rsid w:val="00DC6CE7"/>
    <w:rsid w:val="00DC720D"/>
    <w:rsid w:val="00DC7914"/>
    <w:rsid w:val="00DD6446"/>
    <w:rsid w:val="00DD6486"/>
    <w:rsid w:val="00DE2924"/>
    <w:rsid w:val="00DE2A77"/>
    <w:rsid w:val="00DE62AC"/>
    <w:rsid w:val="00DF2721"/>
    <w:rsid w:val="00DF569D"/>
    <w:rsid w:val="00E03E17"/>
    <w:rsid w:val="00E043E0"/>
    <w:rsid w:val="00E04EA0"/>
    <w:rsid w:val="00E06829"/>
    <w:rsid w:val="00E10BE0"/>
    <w:rsid w:val="00E110AA"/>
    <w:rsid w:val="00E11C0F"/>
    <w:rsid w:val="00E12F0C"/>
    <w:rsid w:val="00E13532"/>
    <w:rsid w:val="00E1390C"/>
    <w:rsid w:val="00E13FE8"/>
    <w:rsid w:val="00E1561F"/>
    <w:rsid w:val="00E1593F"/>
    <w:rsid w:val="00E15AA7"/>
    <w:rsid w:val="00E20ABC"/>
    <w:rsid w:val="00E26694"/>
    <w:rsid w:val="00E346DE"/>
    <w:rsid w:val="00E369F7"/>
    <w:rsid w:val="00E411D4"/>
    <w:rsid w:val="00E42D73"/>
    <w:rsid w:val="00E4342F"/>
    <w:rsid w:val="00E477A6"/>
    <w:rsid w:val="00E508B4"/>
    <w:rsid w:val="00E512E9"/>
    <w:rsid w:val="00E62D9A"/>
    <w:rsid w:val="00E65B8C"/>
    <w:rsid w:val="00E67ADA"/>
    <w:rsid w:val="00E77A35"/>
    <w:rsid w:val="00E86675"/>
    <w:rsid w:val="00E87E59"/>
    <w:rsid w:val="00E916D2"/>
    <w:rsid w:val="00E91F39"/>
    <w:rsid w:val="00E9753E"/>
    <w:rsid w:val="00E97810"/>
    <w:rsid w:val="00EA20A9"/>
    <w:rsid w:val="00EA7DB9"/>
    <w:rsid w:val="00EB26C1"/>
    <w:rsid w:val="00EB63B3"/>
    <w:rsid w:val="00EC076D"/>
    <w:rsid w:val="00EC2F90"/>
    <w:rsid w:val="00EC39F4"/>
    <w:rsid w:val="00EC5253"/>
    <w:rsid w:val="00ED04FC"/>
    <w:rsid w:val="00EE23A6"/>
    <w:rsid w:val="00EF068E"/>
    <w:rsid w:val="00EF4D87"/>
    <w:rsid w:val="00EF59CF"/>
    <w:rsid w:val="00EF6713"/>
    <w:rsid w:val="00EF69AA"/>
    <w:rsid w:val="00F01565"/>
    <w:rsid w:val="00F01B2E"/>
    <w:rsid w:val="00F02DCF"/>
    <w:rsid w:val="00F04DE5"/>
    <w:rsid w:val="00F06EF1"/>
    <w:rsid w:val="00F10842"/>
    <w:rsid w:val="00F109C6"/>
    <w:rsid w:val="00F10E37"/>
    <w:rsid w:val="00F1460D"/>
    <w:rsid w:val="00F227C1"/>
    <w:rsid w:val="00F23552"/>
    <w:rsid w:val="00F25B67"/>
    <w:rsid w:val="00F27253"/>
    <w:rsid w:val="00F279E7"/>
    <w:rsid w:val="00F32217"/>
    <w:rsid w:val="00F33F28"/>
    <w:rsid w:val="00F34602"/>
    <w:rsid w:val="00F35975"/>
    <w:rsid w:val="00F35B48"/>
    <w:rsid w:val="00F369EC"/>
    <w:rsid w:val="00F41193"/>
    <w:rsid w:val="00F4365D"/>
    <w:rsid w:val="00F503E2"/>
    <w:rsid w:val="00F51A8D"/>
    <w:rsid w:val="00F52D08"/>
    <w:rsid w:val="00F53099"/>
    <w:rsid w:val="00F53C1E"/>
    <w:rsid w:val="00F56A13"/>
    <w:rsid w:val="00F60191"/>
    <w:rsid w:val="00F60EFA"/>
    <w:rsid w:val="00F6105E"/>
    <w:rsid w:val="00F721FB"/>
    <w:rsid w:val="00F76145"/>
    <w:rsid w:val="00F765D2"/>
    <w:rsid w:val="00F830C2"/>
    <w:rsid w:val="00F83369"/>
    <w:rsid w:val="00F84DCB"/>
    <w:rsid w:val="00F85972"/>
    <w:rsid w:val="00F85B2B"/>
    <w:rsid w:val="00F86E83"/>
    <w:rsid w:val="00F90061"/>
    <w:rsid w:val="00F90C50"/>
    <w:rsid w:val="00F91E4A"/>
    <w:rsid w:val="00F93A2F"/>
    <w:rsid w:val="00F9580D"/>
    <w:rsid w:val="00F95C9D"/>
    <w:rsid w:val="00F96054"/>
    <w:rsid w:val="00FB0422"/>
    <w:rsid w:val="00FC0839"/>
    <w:rsid w:val="00FC2EF4"/>
    <w:rsid w:val="00FC3BFB"/>
    <w:rsid w:val="00FC471F"/>
    <w:rsid w:val="00FC500F"/>
    <w:rsid w:val="00FC5803"/>
    <w:rsid w:val="00FC744A"/>
    <w:rsid w:val="00FC74F5"/>
    <w:rsid w:val="00FC79E2"/>
    <w:rsid w:val="00FC7D14"/>
    <w:rsid w:val="00FD0731"/>
    <w:rsid w:val="00FD15FF"/>
    <w:rsid w:val="00FD2D8D"/>
    <w:rsid w:val="00FD4E0F"/>
    <w:rsid w:val="00FD7D97"/>
    <w:rsid w:val="00FE0D44"/>
    <w:rsid w:val="00FE1D69"/>
    <w:rsid w:val="00FE2213"/>
    <w:rsid w:val="00FE4840"/>
    <w:rsid w:val="00FF0E52"/>
    <w:rsid w:val="00FF19F0"/>
    <w:rsid w:val="00FF33FF"/>
    <w:rsid w:val="00FF3FEE"/>
    <w:rsid w:val="00FF44BD"/>
    <w:rsid w:val="00FF4FF4"/>
    <w:rsid w:val="00FF5B56"/>
    <w:rsid w:val="00FF6E98"/>
    <w:rsid w:val="00FF7852"/>
    <w:rsid w:val="00FF79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link w:val="1Char"/>
    <w:uiPriority w:val="1"/>
    <w:qFormat/>
    <w:rsid w:val="006F57DB"/>
    <w:pPr>
      <w:adjustRightInd w:val="0"/>
      <w:snapToGrid w:val="0"/>
      <w:outlineLvl w:val="0"/>
    </w:pPr>
    <w:rPr>
      <w:rFonts w:ascii="Times New Roman" w:eastAsia="Times New Roman" w:hAnsi="Times New Roman"/>
      <w:b/>
      <w:bCs/>
    </w:rPr>
  </w:style>
  <w:style w:type="paragraph" w:styleId="21">
    <w:name w:val="heading 2"/>
    <w:basedOn w:val="a1"/>
    <w:link w:val="2Char"/>
    <w:uiPriority w:val="1"/>
    <w:qFormat/>
    <w:pPr>
      <w:ind w:left="104"/>
      <w:outlineLvl w:val="1"/>
    </w:pPr>
    <w:rPr>
      <w:rFonts w:ascii="Times New Roman" w:eastAsia="Times New Roman" w:hAnsi="Times New Roman" w:cs="Times New Roman"/>
      <w:b/>
      <w:bCs/>
    </w:rPr>
  </w:style>
  <w:style w:type="paragraph" w:styleId="31">
    <w:name w:val="heading 3"/>
    <w:basedOn w:val="a1"/>
    <w:next w:val="a1"/>
    <w:link w:val="3Char"/>
    <w:uiPriority w:val="9"/>
    <w:semiHidden/>
    <w:unhideWhenUsed/>
    <w:qFormat/>
    <w:rsid w:val="00576C4F"/>
    <w:pPr>
      <w:keepNext/>
      <w:ind w:leftChars="300" w:left="300" w:hangingChars="200" w:hanging="2000"/>
      <w:outlineLvl w:val="2"/>
    </w:pPr>
    <w:rPr>
      <w:rFonts w:asciiTheme="majorHAnsi" w:eastAsiaTheme="majorEastAsia" w:hAnsiTheme="majorHAnsi" w:cstheme="majorBidi"/>
    </w:rPr>
  </w:style>
  <w:style w:type="paragraph" w:styleId="41">
    <w:name w:val="heading 4"/>
    <w:basedOn w:val="a1"/>
    <w:next w:val="a1"/>
    <w:link w:val="4Char"/>
    <w:uiPriority w:val="9"/>
    <w:semiHidden/>
    <w:unhideWhenUsed/>
    <w:qFormat/>
    <w:rsid w:val="00576C4F"/>
    <w:pPr>
      <w:keepNext/>
      <w:ind w:leftChars="400" w:left="400" w:hangingChars="200" w:hanging="2000"/>
      <w:outlineLvl w:val="3"/>
    </w:pPr>
    <w:rPr>
      <w:b/>
      <w:bCs/>
    </w:rPr>
  </w:style>
  <w:style w:type="paragraph" w:styleId="51">
    <w:name w:val="heading 5"/>
    <w:basedOn w:val="a1"/>
    <w:next w:val="a1"/>
    <w:link w:val="5Char"/>
    <w:uiPriority w:val="9"/>
    <w:semiHidden/>
    <w:unhideWhenUsed/>
    <w:qFormat/>
    <w:rsid w:val="00576C4F"/>
    <w:pPr>
      <w:keepNext/>
      <w:ind w:leftChars="500" w:left="500" w:hangingChars="200" w:hanging="2000"/>
      <w:outlineLvl w:val="4"/>
    </w:pPr>
    <w:rPr>
      <w:rFonts w:asciiTheme="majorHAnsi" w:eastAsiaTheme="majorEastAsia" w:hAnsiTheme="majorHAnsi" w:cstheme="majorBidi"/>
    </w:rPr>
  </w:style>
  <w:style w:type="paragraph" w:styleId="6">
    <w:name w:val="heading 6"/>
    <w:basedOn w:val="a1"/>
    <w:next w:val="a1"/>
    <w:link w:val="6Char"/>
    <w:uiPriority w:val="9"/>
    <w:semiHidden/>
    <w:unhideWhenUsed/>
    <w:qFormat/>
    <w:rsid w:val="00576C4F"/>
    <w:pPr>
      <w:keepNext/>
      <w:ind w:leftChars="600" w:left="600" w:hangingChars="200" w:hanging="2000"/>
      <w:outlineLvl w:val="5"/>
    </w:pPr>
    <w:rPr>
      <w:b/>
      <w:bCs/>
    </w:rPr>
  </w:style>
  <w:style w:type="paragraph" w:styleId="7">
    <w:name w:val="heading 7"/>
    <w:basedOn w:val="a1"/>
    <w:next w:val="a1"/>
    <w:link w:val="7Char"/>
    <w:uiPriority w:val="9"/>
    <w:semiHidden/>
    <w:unhideWhenUsed/>
    <w:qFormat/>
    <w:rsid w:val="00576C4F"/>
    <w:pPr>
      <w:keepNext/>
      <w:ind w:leftChars="700" w:left="700" w:hangingChars="200" w:hanging="2000"/>
      <w:outlineLvl w:val="6"/>
    </w:pPr>
  </w:style>
  <w:style w:type="paragraph" w:styleId="8">
    <w:name w:val="heading 8"/>
    <w:basedOn w:val="a1"/>
    <w:next w:val="a1"/>
    <w:link w:val="8Char"/>
    <w:uiPriority w:val="9"/>
    <w:semiHidden/>
    <w:unhideWhenUsed/>
    <w:qFormat/>
    <w:rsid w:val="00576C4F"/>
    <w:pPr>
      <w:keepNext/>
      <w:ind w:leftChars="800" w:left="800" w:hangingChars="200" w:hanging="2000"/>
      <w:outlineLvl w:val="7"/>
    </w:pPr>
  </w:style>
  <w:style w:type="paragraph" w:styleId="9">
    <w:name w:val="heading 9"/>
    <w:basedOn w:val="a1"/>
    <w:next w:val="a1"/>
    <w:link w:val="9Char"/>
    <w:uiPriority w:val="9"/>
    <w:semiHidden/>
    <w:unhideWhenUsed/>
    <w:qFormat/>
    <w:rsid w:val="00576C4F"/>
    <w:pPr>
      <w:keepNext/>
      <w:ind w:leftChars="900" w:left="900" w:hangingChars="200" w:hanging="20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5">
    <w:name w:val="Body Text"/>
    <w:basedOn w:val="a1"/>
    <w:link w:val="Char"/>
    <w:uiPriority w:val="1"/>
    <w:qFormat/>
    <w:rsid w:val="003476EE"/>
    <w:rPr>
      <w:rFonts w:ascii="Times New Roman" w:eastAsia="Times New Roman" w:hAnsi="Times New Roman" w:cs="Arial"/>
    </w:rPr>
  </w:style>
  <w:style w:type="paragraph" w:styleId="a6">
    <w:name w:val="List Paragraph"/>
    <w:basedOn w:val="a1"/>
    <w:uiPriority w:val="34"/>
    <w:qFormat/>
  </w:style>
  <w:style w:type="paragraph" w:customStyle="1" w:styleId="TableParagraph">
    <w:name w:val="Table Paragraph"/>
    <w:basedOn w:val="a1"/>
    <w:uiPriority w:val="1"/>
    <w:qFormat/>
  </w:style>
  <w:style w:type="paragraph" w:styleId="a7">
    <w:name w:val="header"/>
    <w:basedOn w:val="a1"/>
    <w:link w:val="Char0"/>
    <w:uiPriority w:val="99"/>
    <w:unhideWhenUsed/>
    <w:pPr>
      <w:tabs>
        <w:tab w:val="center" w:pos="4513"/>
        <w:tab w:val="right" w:pos="9026"/>
      </w:tabs>
      <w:snapToGrid w:val="0"/>
    </w:pPr>
  </w:style>
  <w:style w:type="character" w:customStyle="1" w:styleId="Char0">
    <w:name w:val="머리글 Char"/>
    <w:basedOn w:val="a2"/>
    <w:link w:val="a7"/>
    <w:uiPriority w:val="99"/>
  </w:style>
  <w:style w:type="paragraph" w:styleId="a8">
    <w:name w:val="footer"/>
    <w:basedOn w:val="a1"/>
    <w:link w:val="Char1"/>
    <w:uiPriority w:val="99"/>
    <w:unhideWhenUsed/>
    <w:pPr>
      <w:tabs>
        <w:tab w:val="center" w:pos="4513"/>
        <w:tab w:val="right" w:pos="9026"/>
      </w:tabs>
      <w:snapToGrid w:val="0"/>
    </w:pPr>
  </w:style>
  <w:style w:type="character" w:customStyle="1" w:styleId="Char1">
    <w:name w:val="바닥글 Char"/>
    <w:basedOn w:val="a2"/>
    <w:link w:val="a8"/>
    <w:uiPriority w:val="99"/>
  </w:style>
  <w:style w:type="character" w:styleId="a9">
    <w:name w:val="Hyperlink"/>
    <w:basedOn w:val="a2"/>
    <w:uiPriority w:val="99"/>
    <w:unhideWhenUsed/>
    <w:rPr>
      <w:rFonts w:ascii="Times New Roman" w:hAnsi="Times New Roman" w:cs="Times New Roman" w:hint="default"/>
      <w:color w:val="0000FF" w:themeColor="hyperlink"/>
      <w:u w:val="single"/>
    </w:rPr>
  </w:style>
  <w:style w:type="paragraph" w:styleId="aa">
    <w:name w:val="annotation text"/>
    <w:aliases w:val=" Char1,Char1,Char2"/>
    <w:basedOn w:val="a1"/>
    <w:link w:val="Char2"/>
    <w:unhideWhenUsed/>
    <w:pPr>
      <w:autoSpaceDE w:val="0"/>
      <w:autoSpaceDN w:val="0"/>
      <w:adjustRightInd w:val="0"/>
    </w:pPr>
    <w:rPr>
      <w:rFonts w:ascii="Times New Roman" w:hAnsi="Times New Roman" w:cs="Times New Roman"/>
      <w:sz w:val="24"/>
      <w:szCs w:val="24"/>
      <w:lang w:eastAsia="ko-KR"/>
    </w:rPr>
  </w:style>
  <w:style w:type="character" w:customStyle="1" w:styleId="Char2">
    <w:name w:val="메모 텍스트 Char"/>
    <w:aliases w:val=" Char1 Char,Char1 Char,Char2 Char"/>
    <w:basedOn w:val="a2"/>
    <w:link w:val="aa"/>
    <w:rPr>
      <w:rFonts w:ascii="Times New Roman" w:hAnsi="Times New Roman" w:cs="Times New Roman"/>
      <w:sz w:val="24"/>
      <w:szCs w:val="24"/>
      <w:lang w:eastAsia="ko-KR"/>
    </w:rPr>
  </w:style>
  <w:style w:type="character" w:styleId="ab">
    <w:name w:val="annotation reference"/>
    <w:basedOn w:val="a2"/>
    <w:uiPriority w:val="99"/>
    <w:unhideWhenUsed/>
    <w:rPr>
      <w:rFonts w:ascii="Times New Roman" w:hAnsi="Times New Roman" w:cs="Times New Roman" w:hint="default"/>
      <w:sz w:val="18"/>
      <w:szCs w:val="18"/>
    </w:rPr>
  </w:style>
  <w:style w:type="character" w:styleId="ac">
    <w:name w:val="FollowedHyperlink"/>
    <w:basedOn w:val="a2"/>
    <w:unhideWhenUsed/>
    <w:rPr>
      <w:color w:val="800080" w:themeColor="followedHyperlink"/>
      <w:u w:val="single"/>
    </w:rPr>
  </w:style>
  <w:style w:type="table" w:styleId="ad">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link w:val="a5"/>
    <w:uiPriority w:val="1"/>
    <w:rsid w:val="003476EE"/>
    <w:rPr>
      <w:rFonts w:ascii="Times New Roman" w:eastAsia="Times New Roman" w:hAnsi="Times New Roman" w:cs="Arial"/>
    </w:rPr>
  </w:style>
  <w:style w:type="paragraph" w:styleId="ae">
    <w:name w:val="annotation subject"/>
    <w:basedOn w:val="aa"/>
    <w:next w:val="aa"/>
    <w:link w:val="Char3"/>
    <w:uiPriority w:val="99"/>
    <w:unhideWhenUsed/>
    <w:pPr>
      <w:autoSpaceDE/>
      <w:autoSpaceDN/>
      <w:adjustRightInd/>
    </w:pPr>
    <w:rPr>
      <w:rFonts w:asciiTheme="minorHAnsi" w:hAnsiTheme="minorHAnsi" w:cstheme="minorBidi"/>
      <w:b/>
      <w:bCs/>
      <w:sz w:val="22"/>
      <w:szCs w:val="22"/>
      <w:lang w:eastAsia="en-US"/>
    </w:rPr>
  </w:style>
  <w:style w:type="character" w:customStyle="1" w:styleId="Char3">
    <w:name w:val="메모 주제 Char"/>
    <w:basedOn w:val="Char2"/>
    <w:link w:val="ae"/>
    <w:uiPriority w:val="99"/>
    <w:rPr>
      <w:rFonts w:ascii="Times New Roman" w:hAnsi="Times New Roman" w:cs="Times New Roman"/>
      <w:b/>
      <w:bCs/>
      <w:sz w:val="24"/>
      <w:szCs w:val="24"/>
      <w:lang w:eastAsia="ko-KR"/>
    </w:rPr>
  </w:style>
  <w:style w:type="paragraph" w:styleId="af">
    <w:name w:val="Balloon Text"/>
    <w:basedOn w:val="a1"/>
    <w:link w:val="Char4"/>
    <w:uiPriority w:val="99"/>
    <w:semiHidden/>
    <w:unhideWhenUsed/>
    <w:rPr>
      <w:rFonts w:asciiTheme="majorHAnsi" w:eastAsiaTheme="majorEastAsia" w:hAnsiTheme="majorHAnsi" w:cstheme="majorBidi"/>
      <w:sz w:val="18"/>
      <w:szCs w:val="18"/>
    </w:rPr>
  </w:style>
  <w:style w:type="character" w:customStyle="1" w:styleId="Char4">
    <w:name w:val="풍선 도움말 텍스트 Char"/>
    <w:basedOn w:val="a2"/>
    <w:link w:val="af"/>
    <w:uiPriority w:val="99"/>
    <w:semiHidden/>
    <w:rPr>
      <w:rFonts w:asciiTheme="majorHAnsi" w:eastAsiaTheme="majorEastAsia" w:hAnsiTheme="majorHAnsi" w:cstheme="majorBidi"/>
      <w:sz w:val="18"/>
      <w:szCs w:val="18"/>
    </w:rPr>
  </w:style>
  <w:style w:type="character" w:customStyle="1" w:styleId="2Char">
    <w:name w:val="제목 2 Char"/>
    <w:basedOn w:val="a2"/>
    <w:link w:val="21"/>
    <w:uiPriority w:val="1"/>
    <w:rPr>
      <w:rFonts w:ascii="Times New Roman" w:eastAsia="Times New Roman" w:hAnsi="Times New Roman" w:cs="Times New Roman"/>
      <w:b/>
      <w:bCs/>
    </w:rPr>
  </w:style>
  <w:style w:type="character" w:customStyle="1" w:styleId="1Char">
    <w:name w:val="제목 1 Char"/>
    <w:basedOn w:val="a2"/>
    <w:link w:val="1"/>
    <w:uiPriority w:val="1"/>
    <w:rsid w:val="006F57DB"/>
    <w:rPr>
      <w:rFonts w:ascii="Times New Roman" w:eastAsia="Times New Roman" w:hAnsi="Times New Roman"/>
      <w:b/>
      <w:bCs/>
    </w:rPr>
  </w:style>
  <w:style w:type="paragraph" w:customStyle="1" w:styleId="MemoHeaderStyle">
    <w:name w:val="MemoHeaderStyle"/>
    <w:basedOn w:val="a1"/>
    <w:next w:val="a1"/>
    <w:pPr>
      <w:widowControl/>
      <w:tabs>
        <w:tab w:val="left" w:pos="567"/>
      </w:tabs>
      <w:spacing w:line="120" w:lineRule="atLeast"/>
      <w:ind w:left="1418"/>
      <w:jc w:val="both"/>
    </w:pPr>
    <w:rPr>
      <w:rFonts w:ascii="Arial" w:eastAsia="Times New Roman" w:hAnsi="Arial" w:cs="Times New Roman"/>
      <w:b/>
      <w:smallCaps/>
      <w:szCs w:val="20"/>
      <w:lang w:val="en-GB"/>
    </w:rPr>
  </w:style>
  <w:style w:type="character" w:styleId="af0">
    <w:name w:val="page number"/>
    <w:basedOn w:val="a2"/>
  </w:style>
  <w:style w:type="paragraph" w:customStyle="1" w:styleId="EMEAEnBodyText">
    <w:name w:val="EMEA En Body Text"/>
    <w:basedOn w:val="a1"/>
    <w:pPr>
      <w:widowControl/>
      <w:spacing w:before="120" w:after="120"/>
      <w:jc w:val="both"/>
    </w:pPr>
    <w:rPr>
      <w:rFonts w:ascii="Times New Roman" w:eastAsia="Times New Roman" w:hAnsi="Times New Roman" w:cs="Times New Roman"/>
      <w:szCs w:val="20"/>
    </w:rPr>
  </w:style>
  <w:style w:type="paragraph" w:customStyle="1" w:styleId="BodytextAgency">
    <w:name w:val="Body text (Agency)"/>
    <w:basedOn w:val="a1"/>
    <w:link w:val="BodytextAgencyChar"/>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DraftingNotesAgency">
    <w:name w:val="Drafting Notes (Agency)"/>
    <w:basedOn w:val="a1"/>
    <w:next w:val="BodytextAgency"/>
    <w:link w:val="DraftingNotesAgencyChar"/>
    <w:pPr>
      <w:widowControl/>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widowControl/>
    </w:pPr>
    <w:rPr>
      <w:rFonts w:ascii="Verdana" w:eastAsia="Verdana" w:hAnsi="Verdana" w:cs="Verdana"/>
      <w:sz w:val="18"/>
      <w:szCs w:val="18"/>
      <w:lang w:val="en-GB" w:eastAsia="en-GB"/>
    </w:rPr>
  </w:style>
  <w:style w:type="table" w:customStyle="1" w:styleId="TablegridAgencyblack">
    <w:name w:val="Table grid (Agency) black"/>
    <w:basedOn w:val="a3"/>
    <w:semiHidden/>
    <w:pPr>
      <w:widowControl/>
    </w:pPr>
    <w:rPr>
      <w:rFonts w:ascii="Verdana" w:eastAsia="SimSun" w:hAnsi="Verdana" w:cs="Times New Roman"/>
      <w:sz w:val="18"/>
      <w:szCs w:val="20"/>
      <w:lang w:eastAsia="ko-KR"/>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a1"/>
    <w:pPr>
      <w:widowControl/>
      <w:spacing w:line="280" w:lineRule="exact"/>
    </w:pPr>
    <w:rPr>
      <w:rFonts w:ascii="Verdana" w:eastAsia="Times New Roman"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paragraph" w:styleId="af1">
    <w:name w:val="Revision"/>
    <w:hidden/>
    <w:uiPriority w:val="99"/>
    <w:semiHidden/>
    <w:pPr>
      <w:widowControl/>
    </w:pPr>
    <w:rPr>
      <w:rFonts w:ascii="Times New Roman" w:eastAsia="Times New Roman" w:hAnsi="Times New Roman" w:cs="Times New Roman"/>
      <w:szCs w:val="20"/>
      <w:lang w:val="en-GB"/>
    </w:rPr>
  </w:style>
  <w:style w:type="paragraph" w:customStyle="1" w:styleId="Default">
    <w:name w:val="Default"/>
    <w:pPr>
      <w:widowControl/>
      <w:autoSpaceDE w:val="0"/>
      <w:autoSpaceDN w:val="0"/>
      <w:adjustRightInd w:val="0"/>
    </w:pPr>
    <w:rPr>
      <w:rFonts w:ascii="Times New Roman" w:eastAsia="SimSun" w:hAnsi="Times New Roman" w:cs="Times New Roman"/>
      <w:color w:val="000000"/>
      <w:sz w:val="24"/>
      <w:szCs w:val="24"/>
      <w:lang w:eastAsia="zh-CN"/>
    </w:rPr>
  </w:style>
  <w:style w:type="table" w:customStyle="1" w:styleId="TableNormal1">
    <w:name w:val="Table Normal1"/>
    <w:uiPriority w:val="2"/>
    <w:semiHidden/>
    <w:unhideWhenUsed/>
    <w:qFormat/>
    <w:rPr>
      <w:rFonts w:ascii="맑은 고딕" w:eastAsia="맑은 고딕" w:hAnsi="맑은 고딕" w:cs="Times New Roman"/>
    </w:rPr>
    <w:tblPr>
      <w:tblInd w:w="0" w:type="dxa"/>
      <w:tblCellMar>
        <w:top w:w="0" w:type="dxa"/>
        <w:left w:w="0" w:type="dxa"/>
        <w:bottom w:w="0" w:type="dxa"/>
        <w:right w:w="0" w:type="dxa"/>
      </w:tblCellMar>
    </w:tblPr>
  </w:style>
  <w:style w:type="numbering" w:customStyle="1" w:styleId="10">
    <w:name w:val="목록 없음1"/>
    <w:next w:val="a4"/>
    <w:uiPriority w:val="99"/>
    <w:semiHidden/>
    <w:unhideWhenUsed/>
  </w:style>
  <w:style w:type="table" w:customStyle="1" w:styleId="TableNormal2">
    <w:name w:val="Table Normal2"/>
    <w:uiPriority w:val="2"/>
    <w:semiHidden/>
    <w:unhideWhenUsed/>
    <w:qFormat/>
    <w:rPr>
      <w:rFonts w:ascii="맑은 고딕" w:eastAsia="맑은 고딕" w:hAnsi="맑은 고딕" w:cs="Times New Roman"/>
    </w:rPr>
    <w:tblPr>
      <w:tblInd w:w="0" w:type="dxa"/>
      <w:tblCellMar>
        <w:top w:w="0" w:type="dxa"/>
        <w:left w:w="0" w:type="dxa"/>
        <w:bottom w:w="0" w:type="dxa"/>
        <w:right w:w="0" w:type="dxa"/>
      </w:tblCellMar>
    </w:tblPr>
  </w:style>
  <w:style w:type="paragraph" w:customStyle="1" w:styleId="TableText10">
    <w:name w:val="TableText:10"/>
    <w:basedOn w:val="a1"/>
    <w:link w:val="TableText10Char"/>
    <w:pPr>
      <w:widowControl/>
    </w:pPr>
    <w:rPr>
      <w:rFonts w:ascii="Times New Roman" w:eastAsia="맑은 고딕" w:hAnsi="Times New Roman" w:cs="Times New Roman"/>
      <w:sz w:val="20"/>
      <w:szCs w:val="20"/>
      <w:lang w:eastAsia="ja-JP"/>
    </w:rPr>
  </w:style>
  <w:style w:type="character" w:customStyle="1" w:styleId="TableText10Char">
    <w:name w:val="TableText:10 Char"/>
    <w:link w:val="TableText10"/>
    <w:locked/>
    <w:rPr>
      <w:rFonts w:ascii="Times New Roman" w:eastAsia="맑은 고딕" w:hAnsi="Times New Roman" w:cs="Times New Roman"/>
      <w:sz w:val="20"/>
      <w:szCs w:val="20"/>
      <w:lang w:eastAsia="ja-JP"/>
    </w:rPr>
  </w:style>
  <w:style w:type="paragraph" w:customStyle="1" w:styleId="Annex">
    <w:name w:val="Annex"/>
    <w:basedOn w:val="a1"/>
    <w:next w:val="a1"/>
    <w:pPr>
      <w:widowControl/>
      <w:jc w:val="center"/>
    </w:pPr>
    <w:rPr>
      <w:rFonts w:ascii="Times New Roman" w:eastAsia="맑은 고딕" w:hAnsi="Times New Roman" w:cs="Times New Roman"/>
      <w:b/>
      <w:szCs w:val="20"/>
      <w:lang w:eastAsia="ja-JP"/>
    </w:rPr>
  </w:style>
  <w:style w:type="paragraph" w:customStyle="1" w:styleId="TableCellText10pt">
    <w:name w:val="Table Cell Text 10pt"/>
    <w:basedOn w:val="a1"/>
    <w:rsid w:val="00C01B64"/>
    <w:pPr>
      <w:keepNext/>
      <w:widowControl/>
      <w:spacing w:before="40" w:after="40" w:line="276" w:lineRule="auto"/>
      <w:jc w:val="center"/>
    </w:pPr>
    <w:rPr>
      <w:rFonts w:ascii="Times New Roman" w:eastAsia="Times New Roman" w:hAnsi="Times New Roman" w:cs="Times New Roman"/>
      <w:kern w:val="24"/>
      <w:sz w:val="20"/>
      <w:szCs w:val="24"/>
    </w:rPr>
  </w:style>
  <w:style w:type="character" w:customStyle="1" w:styleId="11">
    <w:name w:val="확인되지 않은 멘션1"/>
    <w:basedOn w:val="a2"/>
    <w:uiPriority w:val="99"/>
    <w:semiHidden/>
    <w:unhideWhenUsed/>
    <w:rsid w:val="00161063"/>
    <w:rPr>
      <w:color w:val="605E5C"/>
      <w:shd w:val="clear" w:color="auto" w:fill="E1DFDD"/>
    </w:rPr>
  </w:style>
  <w:style w:type="paragraph" w:customStyle="1" w:styleId="TitleA">
    <w:name w:val="Title A"/>
    <w:basedOn w:val="1"/>
    <w:qFormat/>
    <w:rsid w:val="00A77A31"/>
    <w:pPr>
      <w:jc w:val="center"/>
    </w:pPr>
    <w:rPr>
      <w:rFonts w:cs="Arial"/>
      <w:color w:val="000000"/>
      <w:lang w:val="en-GB"/>
    </w:rPr>
  </w:style>
  <w:style w:type="character" w:styleId="af2">
    <w:name w:val="Unresolved Mention"/>
    <w:basedOn w:val="a2"/>
    <w:uiPriority w:val="99"/>
    <w:rsid w:val="00E916D2"/>
    <w:rPr>
      <w:color w:val="605E5C"/>
      <w:shd w:val="clear" w:color="auto" w:fill="E1DFDD"/>
    </w:rPr>
  </w:style>
  <w:style w:type="paragraph" w:customStyle="1" w:styleId="paragraph">
    <w:name w:val="paragraph"/>
    <w:basedOn w:val="a1"/>
    <w:rsid w:val="00F51A8D"/>
    <w:pPr>
      <w:widowControl/>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2"/>
    <w:rsid w:val="00F51A8D"/>
  </w:style>
  <w:style w:type="character" w:customStyle="1" w:styleId="eop">
    <w:name w:val="eop"/>
    <w:basedOn w:val="a2"/>
    <w:rsid w:val="00F51A8D"/>
  </w:style>
  <w:style w:type="paragraph" w:styleId="HTML">
    <w:name w:val="HTML Address"/>
    <w:basedOn w:val="a1"/>
    <w:link w:val="HTMLChar"/>
    <w:uiPriority w:val="99"/>
    <w:semiHidden/>
    <w:unhideWhenUsed/>
    <w:rsid w:val="00576C4F"/>
    <w:rPr>
      <w:i/>
      <w:iCs/>
    </w:rPr>
  </w:style>
  <w:style w:type="character" w:customStyle="1" w:styleId="HTMLChar">
    <w:name w:val="HTML 주소 Char"/>
    <w:basedOn w:val="a2"/>
    <w:link w:val="HTML"/>
    <w:uiPriority w:val="99"/>
    <w:semiHidden/>
    <w:rsid w:val="00576C4F"/>
    <w:rPr>
      <w:i/>
      <w:iCs/>
    </w:rPr>
  </w:style>
  <w:style w:type="paragraph" w:styleId="TOC">
    <w:name w:val="TOC Heading"/>
    <w:basedOn w:val="1"/>
    <w:next w:val="a1"/>
    <w:uiPriority w:val="39"/>
    <w:semiHidden/>
    <w:unhideWhenUsed/>
    <w:qFormat/>
    <w:rsid w:val="00576C4F"/>
    <w:pPr>
      <w:keepNext/>
      <w:adjustRightInd/>
      <w:snapToGrid/>
      <w:outlineLvl w:val="9"/>
    </w:pPr>
    <w:rPr>
      <w:rFonts w:asciiTheme="majorHAnsi" w:eastAsiaTheme="majorEastAsia" w:hAnsiTheme="majorHAnsi" w:cstheme="majorBidi"/>
      <w:b w:val="0"/>
      <w:bCs w:val="0"/>
      <w:sz w:val="28"/>
      <w:szCs w:val="28"/>
    </w:rPr>
  </w:style>
  <w:style w:type="paragraph" w:styleId="af3">
    <w:name w:val="footnote text"/>
    <w:basedOn w:val="a1"/>
    <w:link w:val="Char5"/>
    <w:uiPriority w:val="99"/>
    <w:semiHidden/>
    <w:unhideWhenUsed/>
    <w:rsid w:val="00576C4F"/>
    <w:pPr>
      <w:snapToGrid w:val="0"/>
    </w:pPr>
  </w:style>
  <w:style w:type="character" w:customStyle="1" w:styleId="Char5">
    <w:name w:val="각주 텍스트 Char"/>
    <w:basedOn w:val="a2"/>
    <w:link w:val="af3"/>
    <w:uiPriority w:val="99"/>
    <w:semiHidden/>
    <w:rsid w:val="00576C4F"/>
  </w:style>
  <w:style w:type="paragraph" w:styleId="af4">
    <w:name w:val="Note Heading"/>
    <w:basedOn w:val="a1"/>
    <w:next w:val="a1"/>
    <w:link w:val="Char6"/>
    <w:uiPriority w:val="99"/>
    <w:semiHidden/>
    <w:unhideWhenUsed/>
    <w:rsid w:val="00576C4F"/>
    <w:pPr>
      <w:jc w:val="center"/>
    </w:pPr>
  </w:style>
  <w:style w:type="character" w:customStyle="1" w:styleId="Char6">
    <w:name w:val="각주/미주 머리글 Char"/>
    <w:basedOn w:val="a2"/>
    <w:link w:val="af4"/>
    <w:uiPriority w:val="99"/>
    <w:semiHidden/>
    <w:rsid w:val="00576C4F"/>
  </w:style>
  <w:style w:type="paragraph" w:styleId="af5">
    <w:name w:val="No Spacing"/>
    <w:uiPriority w:val="1"/>
    <w:qFormat/>
    <w:rsid w:val="00576C4F"/>
  </w:style>
  <w:style w:type="paragraph" w:styleId="af6">
    <w:name w:val="Intense Quote"/>
    <w:basedOn w:val="a1"/>
    <w:next w:val="a1"/>
    <w:link w:val="Char7"/>
    <w:uiPriority w:val="30"/>
    <w:qFormat/>
    <w:rsid w:val="00576C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강한 인용 Char"/>
    <w:basedOn w:val="a2"/>
    <w:link w:val="af6"/>
    <w:uiPriority w:val="30"/>
    <w:rsid w:val="00576C4F"/>
    <w:rPr>
      <w:i/>
      <w:iCs/>
      <w:color w:val="4F81BD" w:themeColor="accent1"/>
    </w:rPr>
  </w:style>
  <w:style w:type="paragraph" w:styleId="af7">
    <w:name w:val="table of authorities"/>
    <w:basedOn w:val="a1"/>
    <w:next w:val="a1"/>
    <w:uiPriority w:val="99"/>
    <w:semiHidden/>
    <w:unhideWhenUsed/>
    <w:rsid w:val="00576C4F"/>
    <w:pPr>
      <w:ind w:left="425" w:hangingChars="200" w:hanging="425"/>
    </w:pPr>
  </w:style>
  <w:style w:type="paragraph" w:styleId="af8">
    <w:name w:val="toa heading"/>
    <w:basedOn w:val="a1"/>
    <w:next w:val="a1"/>
    <w:uiPriority w:val="99"/>
    <w:semiHidden/>
    <w:unhideWhenUsed/>
    <w:rsid w:val="00576C4F"/>
    <w:pPr>
      <w:spacing w:before="120"/>
    </w:pPr>
    <w:rPr>
      <w:rFonts w:asciiTheme="majorHAnsi" w:eastAsiaTheme="majorEastAsia" w:hAnsiTheme="majorHAnsi" w:cstheme="majorBidi"/>
      <w:sz w:val="24"/>
      <w:szCs w:val="24"/>
    </w:rPr>
  </w:style>
  <w:style w:type="paragraph" w:styleId="af9">
    <w:name w:val="table of figures"/>
    <w:basedOn w:val="a1"/>
    <w:next w:val="a1"/>
    <w:uiPriority w:val="99"/>
    <w:semiHidden/>
    <w:unhideWhenUsed/>
    <w:rsid w:val="00576C4F"/>
    <w:pPr>
      <w:ind w:leftChars="400" w:left="400" w:hangingChars="200" w:hanging="200"/>
    </w:pPr>
  </w:style>
  <w:style w:type="paragraph" w:styleId="a0">
    <w:name w:val="List Bullet"/>
    <w:basedOn w:val="a1"/>
    <w:uiPriority w:val="99"/>
    <w:semiHidden/>
    <w:unhideWhenUsed/>
    <w:rsid w:val="00576C4F"/>
    <w:pPr>
      <w:numPr>
        <w:numId w:val="39"/>
      </w:numPr>
      <w:contextualSpacing/>
    </w:pPr>
  </w:style>
  <w:style w:type="paragraph" w:styleId="20">
    <w:name w:val="List Bullet 2"/>
    <w:basedOn w:val="a1"/>
    <w:uiPriority w:val="99"/>
    <w:semiHidden/>
    <w:unhideWhenUsed/>
    <w:rsid w:val="00576C4F"/>
    <w:pPr>
      <w:numPr>
        <w:numId w:val="40"/>
      </w:numPr>
      <w:contextualSpacing/>
    </w:pPr>
  </w:style>
  <w:style w:type="paragraph" w:styleId="30">
    <w:name w:val="List Bullet 3"/>
    <w:basedOn w:val="a1"/>
    <w:uiPriority w:val="99"/>
    <w:semiHidden/>
    <w:unhideWhenUsed/>
    <w:rsid w:val="00576C4F"/>
    <w:pPr>
      <w:numPr>
        <w:numId w:val="41"/>
      </w:numPr>
      <w:contextualSpacing/>
    </w:pPr>
  </w:style>
  <w:style w:type="paragraph" w:styleId="40">
    <w:name w:val="List Bullet 4"/>
    <w:basedOn w:val="a1"/>
    <w:uiPriority w:val="99"/>
    <w:semiHidden/>
    <w:unhideWhenUsed/>
    <w:rsid w:val="00576C4F"/>
    <w:pPr>
      <w:numPr>
        <w:numId w:val="42"/>
      </w:numPr>
      <w:contextualSpacing/>
    </w:pPr>
  </w:style>
  <w:style w:type="paragraph" w:styleId="50">
    <w:name w:val="List Bullet 5"/>
    <w:basedOn w:val="a1"/>
    <w:uiPriority w:val="99"/>
    <w:semiHidden/>
    <w:unhideWhenUsed/>
    <w:rsid w:val="00576C4F"/>
    <w:pPr>
      <w:numPr>
        <w:numId w:val="43"/>
      </w:numPr>
      <w:contextualSpacing/>
    </w:pPr>
  </w:style>
  <w:style w:type="paragraph" w:styleId="afa">
    <w:name w:val="Plain Text"/>
    <w:basedOn w:val="a1"/>
    <w:link w:val="Char8"/>
    <w:uiPriority w:val="99"/>
    <w:semiHidden/>
    <w:unhideWhenUsed/>
    <w:rsid w:val="00576C4F"/>
    <w:rPr>
      <w:rFonts w:asciiTheme="minorEastAsia" w:hAnsi="Courier New" w:cs="Courier New"/>
    </w:rPr>
  </w:style>
  <w:style w:type="character" w:customStyle="1" w:styleId="Char8">
    <w:name w:val="글자만 Char"/>
    <w:basedOn w:val="a2"/>
    <w:link w:val="afa"/>
    <w:uiPriority w:val="99"/>
    <w:semiHidden/>
    <w:rsid w:val="00576C4F"/>
    <w:rPr>
      <w:rFonts w:asciiTheme="minorEastAsia" w:hAnsi="Courier New" w:cs="Courier New"/>
    </w:rPr>
  </w:style>
  <w:style w:type="paragraph" w:styleId="afb">
    <w:name w:val="Date"/>
    <w:basedOn w:val="a1"/>
    <w:next w:val="a1"/>
    <w:link w:val="Char9"/>
    <w:uiPriority w:val="99"/>
    <w:semiHidden/>
    <w:unhideWhenUsed/>
    <w:rsid w:val="00576C4F"/>
  </w:style>
  <w:style w:type="character" w:customStyle="1" w:styleId="Char9">
    <w:name w:val="날짜 Char"/>
    <w:basedOn w:val="a2"/>
    <w:link w:val="afb"/>
    <w:uiPriority w:val="99"/>
    <w:semiHidden/>
    <w:rsid w:val="00576C4F"/>
  </w:style>
  <w:style w:type="paragraph" w:styleId="afc">
    <w:name w:val="macro"/>
    <w:link w:val="Chara"/>
    <w:uiPriority w:val="99"/>
    <w:semiHidden/>
    <w:unhideWhenUsed/>
    <w:rsid w:val="00576C4F"/>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바탕" w:hAnsi="Courier New" w:cs="Courier New"/>
      <w:sz w:val="24"/>
      <w:szCs w:val="24"/>
    </w:rPr>
  </w:style>
  <w:style w:type="character" w:customStyle="1" w:styleId="Chara">
    <w:name w:val="매크로 텍스트 Char"/>
    <w:basedOn w:val="a2"/>
    <w:link w:val="afc"/>
    <w:uiPriority w:val="99"/>
    <w:semiHidden/>
    <w:rsid w:val="00576C4F"/>
    <w:rPr>
      <w:rFonts w:ascii="Courier New" w:eastAsia="바탕" w:hAnsi="Courier New" w:cs="Courier New"/>
      <w:sz w:val="24"/>
      <w:szCs w:val="24"/>
    </w:rPr>
  </w:style>
  <w:style w:type="paragraph" w:styleId="afd">
    <w:name w:val="Closing"/>
    <w:basedOn w:val="a1"/>
    <w:link w:val="Charb"/>
    <w:uiPriority w:val="99"/>
    <w:semiHidden/>
    <w:unhideWhenUsed/>
    <w:rsid w:val="00576C4F"/>
    <w:pPr>
      <w:ind w:leftChars="2100" w:left="100"/>
    </w:pPr>
  </w:style>
  <w:style w:type="character" w:customStyle="1" w:styleId="Charb">
    <w:name w:val="맺음말 Char"/>
    <w:basedOn w:val="a2"/>
    <w:link w:val="afd"/>
    <w:uiPriority w:val="99"/>
    <w:semiHidden/>
    <w:rsid w:val="00576C4F"/>
  </w:style>
  <w:style w:type="paragraph" w:styleId="afe">
    <w:name w:val="Message Header"/>
    <w:basedOn w:val="a1"/>
    <w:link w:val="Charc"/>
    <w:uiPriority w:val="99"/>
    <w:semiHidden/>
    <w:unhideWhenUsed/>
    <w:rsid w:val="00576C4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Charc">
    <w:name w:val="메시지 머리글 Char"/>
    <w:basedOn w:val="a2"/>
    <w:link w:val="afe"/>
    <w:uiPriority w:val="99"/>
    <w:semiHidden/>
    <w:rsid w:val="00576C4F"/>
    <w:rPr>
      <w:rFonts w:asciiTheme="majorHAnsi" w:eastAsiaTheme="majorEastAsia" w:hAnsiTheme="majorHAnsi" w:cstheme="majorBidi"/>
      <w:sz w:val="24"/>
      <w:szCs w:val="24"/>
      <w:shd w:val="pct20" w:color="auto" w:fill="auto"/>
    </w:rPr>
  </w:style>
  <w:style w:type="paragraph" w:styleId="aff">
    <w:name w:val="List"/>
    <w:basedOn w:val="a1"/>
    <w:uiPriority w:val="99"/>
    <w:semiHidden/>
    <w:unhideWhenUsed/>
    <w:rsid w:val="00576C4F"/>
    <w:pPr>
      <w:ind w:leftChars="200" w:left="100" w:hangingChars="200" w:hanging="200"/>
      <w:contextualSpacing/>
    </w:pPr>
  </w:style>
  <w:style w:type="paragraph" w:styleId="22">
    <w:name w:val="List 2"/>
    <w:basedOn w:val="a1"/>
    <w:uiPriority w:val="99"/>
    <w:semiHidden/>
    <w:unhideWhenUsed/>
    <w:rsid w:val="00576C4F"/>
    <w:pPr>
      <w:ind w:leftChars="400" w:left="100" w:hangingChars="200" w:hanging="200"/>
      <w:contextualSpacing/>
    </w:pPr>
  </w:style>
  <w:style w:type="paragraph" w:styleId="32">
    <w:name w:val="List 3"/>
    <w:basedOn w:val="a1"/>
    <w:uiPriority w:val="99"/>
    <w:semiHidden/>
    <w:unhideWhenUsed/>
    <w:rsid w:val="00576C4F"/>
    <w:pPr>
      <w:ind w:leftChars="600" w:left="100" w:hangingChars="200" w:hanging="200"/>
      <w:contextualSpacing/>
    </w:pPr>
  </w:style>
  <w:style w:type="paragraph" w:styleId="42">
    <w:name w:val="List 4"/>
    <w:basedOn w:val="a1"/>
    <w:uiPriority w:val="99"/>
    <w:semiHidden/>
    <w:unhideWhenUsed/>
    <w:rsid w:val="00576C4F"/>
    <w:pPr>
      <w:ind w:leftChars="800" w:left="100" w:hangingChars="200" w:hanging="200"/>
      <w:contextualSpacing/>
    </w:pPr>
  </w:style>
  <w:style w:type="paragraph" w:styleId="52">
    <w:name w:val="List 5"/>
    <w:basedOn w:val="a1"/>
    <w:uiPriority w:val="99"/>
    <w:semiHidden/>
    <w:unhideWhenUsed/>
    <w:rsid w:val="00576C4F"/>
    <w:pPr>
      <w:ind w:leftChars="1000" w:left="100" w:hangingChars="200" w:hanging="200"/>
      <w:contextualSpacing/>
    </w:pPr>
  </w:style>
  <w:style w:type="paragraph" w:styleId="aff0">
    <w:name w:val="List Continue"/>
    <w:basedOn w:val="a1"/>
    <w:uiPriority w:val="99"/>
    <w:semiHidden/>
    <w:unhideWhenUsed/>
    <w:rsid w:val="00576C4F"/>
    <w:pPr>
      <w:spacing w:after="180"/>
      <w:ind w:leftChars="200" w:left="425"/>
      <w:contextualSpacing/>
    </w:pPr>
  </w:style>
  <w:style w:type="paragraph" w:styleId="23">
    <w:name w:val="List Continue 2"/>
    <w:basedOn w:val="a1"/>
    <w:uiPriority w:val="99"/>
    <w:semiHidden/>
    <w:unhideWhenUsed/>
    <w:rsid w:val="00576C4F"/>
    <w:pPr>
      <w:spacing w:after="180"/>
      <w:ind w:leftChars="400" w:left="850"/>
      <w:contextualSpacing/>
    </w:pPr>
  </w:style>
  <w:style w:type="paragraph" w:styleId="33">
    <w:name w:val="List Continue 3"/>
    <w:basedOn w:val="a1"/>
    <w:uiPriority w:val="99"/>
    <w:semiHidden/>
    <w:unhideWhenUsed/>
    <w:rsid w:val="00576C4F"/>
    <w:pPr>
      <w:spacing w:after="180"/>
      <w:ind w:leftChars="600" w:left="1275"/>
      <w:contextualSpacing/>
    </w:pPr>
  </w:style>
  <w:style w:type="paragraph" w:styleId="43">
    <w:name w:val="List Continue 4"/>
    <w:basedOn w:val="a1"/>
    <w:uiPriority w:val="99"/>
    <w:semiHidden/>
    <w:unhideWhenUsed/>
    <w:rsid w:val="00576C4F"/>
    <w:pPr>
      <w:spacing w:after="180"/>
      <w:ind w:leftChars="800" w:left="1700"/>
      <w:contextualSpacing/>
    </w:pPr>
  </w:style>
  <w:style w:type="paragraph" w:styleId="53">
    <w:name w:val="List Continue 5"/>
    <w:basedOn w:val="a1"/>
    <w:uiPriority w:val="99"/>
    <w:semiHidden/>
    <w:unhideWhenUsed/>
    <w:rsid w:val="00576C4F"/>
    <w:pPr>
      <w:spacing w:after="180"/>
      <w:ind w:leftChars="1000" w:left="2125"/>
      <w:contextualSpacing/>
    </w:pPr>
  </w:style>
  <w:style w:type="paragraph" w:styleId="12">
    <w:name w:val="toc 1"/>
    <w:basedOn w:val="a1"/>
    <w:next w:val="a1"/>
    <w:autoRedefine/>
    <w:uiPriority w:val="39"/>
    <w:semiHidden/>
    <w:unhideWhenUsed/>
    <w:rsid w:val="00576C4F"/>
  </w:style>
  <w:style w:type="paragraph" w:styleId="24">
    <w:name w:val="toc 2"/>
    <w:basedOn w:val="a1"/>
    <w:next w:val="a1"/>
    <w:autoRedefine/>
    <w:uiPriority w:val="39"/>
    <w:semiHidden/>
    <w:unhideWhenUsed/>
    <w:rsid w:val="00576C4F"/>
    <w:pPr>
      <w:ind w:leftChars="200" w:left="425"/>
    </w:pPr>
  </w:style>
  <w:style w:type="paragraph" w:styleId="34">
    <w:name w:val="toc 3"/>
    <w:basedOn w:val="a1"/>
    <w:next w:val="a1"/>
    <w:autoRedefine/>
    <w:uiPriority w:val="39"/>
    <w:semiHidden/>
    <w:unhideWhenUsed/>
    <w:rsid w:val="00576C4F"/>
    <w:pPr>
      <w:ind w:leftChars="400" w:left="850"/>
    </w:pPr>
  </w:style>
  <w:style w:type="paragraph" w:styleId="44">
    <w:name w:val="toc 4"/>
    <w:basedOn w:val="a1"/>
    <w:next w:val="a1"/>
    <w:autoRedefine/>
    <w:uiPriority w:val="39"/>
    <w:semiHidden/>
    <w:unhideWhenUsed/>
    <w:rsid w:val="00576C4F"/>
    <w:pPr>
      <w:ind w:leftChars="600" w:left="1275"/>
    </w:pPr>
  </w:style>
  <w:style w:type="paragraph" w:styleId="54">
    <w:name w:val="toc 5"/>
    <w:basedOn w:val="a1"/>
    <w:next w:val="a1"/>
    <w:autoRedefine/>
    <w:uiPriority w:val="39"/>
    <w:semiHidden/>
    <w:unhideWhenUsed/>
    <w:rsid w:val="00576C4F"/>
    <w:pPr>
      <w:ind w:leftChars="800" w:left="1700"/>
    </w:pPr>
  </w:style>
  <w:style w:type="paragraph" w:styleId="60">
    <w:name w:val="toc 6"/>
    <w:basedOn w:val="a1"/>
    <w:next w:val="a1"/>
    <w:autoRedefine/>
    <w:uiPriority w:val="39"/>
    <w:semiHidden/>
    <w:unhideWhenUsed/>
    <w:rsid w:val="00576C4F"/>
    <w:pPr>
      <w:ind w:leftChars="1000" w:left="2125"/>
    </w:pPr>
  </w:style>
  <w:style w:type="paragraph" w:styleId="70">
    <w:name w:val="toc 7"/>
    <w:basedOn w:val="a1"/>
    <w:next w:val="a1"/>
    <w:autoRedefine/>
    <w:uiPriority w:val="39"/>
    <w:semiHidden/>
    <w:unhideWhenUsed/>
    <w:rsid w:val="00576C4F"/>
    <w:pPr>
      <w:ind w:leftChars="1200" w:left="2550"/>
    </w:pPr>
  </w:style>
  <w:style w:type="paragraph" w:styleId="80">
    <w:name w:val="toc 8"/>
    <w:basedOn w:val="a1"/>
    <w:next w:val="a1"/>
    <w:autoRedefine/>
    <w:uiPriority w:val="39"/>
    <w:semiHidden/>
    <w:unhideWhenUsed/>
    <w:rsid w:val="00576C4F"/>
    <w:pPr>
      <w:ind w:leftChars="1400" w:left="2975"/>
    </w:pPr>
  </w:style>
  <w:style w:type="paragraph" w:styleId="90">
    <w:name w:val="toc 9"/>
    <w:basedOn w:val="a1"/>
    <w:next w:val="a1"/>
    <w:autoRedefine/>
    <w:uiPriority w:val="39"/>
    <w:semiHidden/>
    <w:unhideWhenUsed/>
    <w:rsid w:val="00576C4F"/>
    <w:pPr>
      <w:ind w:leftChars="1600" w:left="3400"/>
    </w:pPr>
  </w:style>
  <w:style w:type="paragraph" w:styleId="aff1">
    <w:name w:val="Document Map"/>
    <w:basedOn w:val="a1"/>
    <w:link w:val="Chard"/>
    <w:uiPriority w:val="99"/>
    <w:semiHidden/>
    <w:unhideWhenUsed/>
    <w:rsid w:val="00576C4F"/>
    <w:rPr>
      <w:rFonts w:ascii="맑은 고딕" w:eastAsia="맑은 고딕"/>
      <w:sz w:val="18"/>
      <w:szCs w:val="18"/>
    </w:rPr>
  </w:style>
  <w:style w:type="character" w:customStyle="1" w:styleId="Chard">
    <w:name w:val="문서 구조 Char"/>
    <w:basedOn w:val="a2"/>
    <w:link w:val="aff1"/>
    <w:uiPriority w:val="99"/>
    <w:semiHidden/>
    <w:rsid w:val="00576C4F"/>
    <w:rPr>
      <w:rFonts w:ascii="맑은 고딕" w:eastAsia="맑은 고딕"/>
      <w:sz w:val="18"/>
      <w:szCs w:val="18"/>
    </w:rPr>
  </w:style>
  <w:style w:type="paragraph" w:styleId="HTML0">
    <w:name w:val="HTML Preformatted"/>
    <w:basedOn w:val="a1"/>
    <w:link w:val="HTMLChar0"/>
    <w:uiPriority w:val="99"/>
    <w:semiHidden/>
    <w:unhideWhenUsed/>
    <w:rsid w:val="00576C4F"/>
    <w:rPr>
      <w:rFonts w:ascii="Courier New" w:hAnsi="Courier New" w:cs="Courier New"/>
      <w:sz w:val="20"/>
      <w:szCs w:val="20"/>
    </w:rPr>
  </w:style>
  <w:style w:type="character" w:customStyle="1" w:styleId="HTMLChar0">
    <w:name w:val="미리 서식이 지정된 HTML Char"/>
    <w:basedOn w:val="a2"/>
    <w:link w:val="HTML0"/>
    <w:uiPriority w:val="99"/>
    <w:semiHidden/>
    <w:rsid w:val="00576C4F"/>
    <w:rPr>
      <w:rFonts w:ascii="Courier New" w:hAnsi="Courier New" w:cs="Courier New"/>
      <w:sz w:val="20"/>
      <w:szCs w:val="20"/>
    </w:rPr>
  </w:style>
  <w:style w:type="paragraph" w:styleId="aff2">
    <w:name w:val="endnote text"/>
    <w:basedOn w:val="a1"/>
    <w:link w:val="Chare"/>
    <w:uiPriority w:val="99"/>
    <w:semiHidden/>
    <w:unhideWhenUsed/>
    <w:rsid w:val="00576C4F"/>
    <w:pPr>
      <w:snapToGrid w:val="0"/>
    </w:pPr>
  </w:style>
  <w:style w:type="character" w:customStyle="1" w:styleId="Chare">
    <w:name w:val="미주 텍스트 Char"/>
    <w:basedOn w:val="a2"/>
    <w:link w:val="aff2"/>
    <w:uiPriority w:val="99"/>
    <w:semiHidden/>
    <w:rsid w:val="00576C4F"/>
  </w:style>
  <w:style w:type="paragraph" w:styleId="aff3">
    <w:name w:val="envelope return"/>
    <w:basedOn w:val="a1"/>
    <w:uiPriority w:val="99"/>
    <w:semiHidden/>
    <w:unhideWhenUsed/>
    <w:rsid w:val="00576C4F"/>
    <w:pPr>
      <w:snapToGrid w:val="0"/>
    </w:pPr>
    <w:rPr>
      <w:rFonts w:asciiTheme="majorHAnsi" w:eastAsiaTheme="majorEastAsia" w:hAnsiTheme="majorHAnsi" w:cstheme="majorBidi"/>
    </w:rPr>
  </w:style>
  <w:style w:type="paragraph" w:styleId="a">
    <w:name w:val="List Number"/>
    <w:basedOn w:val="a1"/>
    <w:uiPriority w:val="99"/>
    <w:semiHidden/>
    <w:unhideWhenUsed/>
    <w:rsid w:val="00576C4F"/>
    <w:pPr>
      <w:numPr>
        <w:numId w:val="44"/>
      </w:numPr>
      <w:contextualSpacing/>
    </w:pPr>
  </w:style>
  <w:style w:type="paragraph" w:styleId="2">
    <w:name w:val="List Number 2"/>
    <w:basedOn w:val="a1"/>
    <w:uiPriority w:val="99"/>
    <w:semiHidden/>
    <w:unhideWhenUsed/>
    <w:rsid w:val="00576C4F"/>
    <w:pPr>
      <w:numPr>
        <w:numId w:val="45"/>
      </w:numPr>
      <w:contextualSpacing/>
    </w:pPr>
  </w:style>
  <w:style w:type="paragraph" w:styleId="3">
    <w:name w:val="List Number 3"/>
    <w:basedOn w:val="a1"/>
    <w:uiPriority w:val="99"/>
    <w:semiHidden/>
    <w:unhideWhenUsed/>
    <w:rsid w:val="00576C4F"/>
    <w:pPr>
      <w:numPr>
        <w:numId w:val="46"/>
      </w:numPr>
      <w:contextualSpacing/>
    </w:pPr>
  </w:style>
  <w:style w:type="paragraph" w:styleId="4">
    <w:name w:val="List Number 4"/>
    <w:basedOn w:val="a1"/>
    <w:uiPriority w:val="99"/>
    <w:semiHidden/>
    <w:unhideWhenUsed/>
    <w:rsid w:val="00576C4F"/>
    <w:pPr>
      <w:numPr>
        <w:numId w:val="47"/>
      </w:numPr>
      <w:contextualSpacing/>
    </w:pPr>
  </w:style>
  <w:style w:type="paragraph" w:styleId="5">
    <w:name w:val="List Number 5"/>
    <w:basedOn w:val="a1"/>
    <w:uiPriority w:val="99"/>
    <w:semiHidden/>
    <w:unhideWhenUsed/>
    <w:rsid w:val="00576C4F"/>
    <w:pPr>
      <w:numPr>
        <w:numId w:val="48"/>
      </w:numPr>
      <w:contextualSpacing/>
    </w:pPr>
  </w:style>
  <w:style w:type="paragraph" w:styleId="25">
    <w:name w:val="Body Text 2"/>
    <w:basedOn w:val="a1"/>
    <w:link w:val="2Char0"/>
    <w:uiPriority w:val="99"/>
    <w:semiHidden/>
    <w:unhideWhenUsed/>
    <w:rsid w:val="00576C4F"/>
    <w:pPr>
      <w:spacing w:after="180" w:line="480" w:lineRule="auto"/>
    </w:pPr>
  </w:style>
  <w:style w:type="character" w:customStyle="1" w:styleId="2Char0">
    <w:name w:val="본문 2 Char"/>
    <w:basedOn w:val="a2"/>
    <w:link w:val="25"/>
    <w:uiPriority w:val="99"/>
    <w:semiHidden/>
    <w:rsid w:val="00576C4F"/>
  </w:style>
  <w:style w:type="paragraph" w:styleId="35">
    <w:name w:val="Body Text 3"/>
    <w:basedOn w:val="a1"/>
    <w:link w:val="3Char0"/>
    <w:uiPriority w:val="99"/>
    <w:semiHidden/>
    <w:unhideWhenUsed/>
    <w:rsid w:val="00576C4F"/>
    <w:pPr>
      <w:spacing w:after="180"/>
    </w:pPr>
    <w:rPr>
      <w:sz w:val="16"/>
      <w:szCs w:val="16"/>
    </w:rPr>
  </w:style>
  <w:style w:type="character" w:customStyle="1" w:styleId="3Char0">
    <w:name w:val="본문 3 Char"/>
    <w:basedOn w:val="a2"/>
    <w:link w:val="35"/>
    <w:uiPriority w:val="99"/>
    <w:semiHidden/>
    <w:rsid w:val="00576C4F"/>
    <w:rPr>
      <w:sz w:val="16"/>
      <w:szCs w:val="16"/>
    </w:rPr>
  </w:style>
  <w:style w:type="paragraph" w:styleId="aff4">
    <w:name w:val="Body Text Indent"/>
    <w:basedOn w:val="a1"/>
    <w:link w:val="Charf"/>
    <w:uiPriority w:val="99"/>
    <w:semiHidden/>
    <w:unhideWhenUsed/>
    <w:rsid w:val="00576C4F"/>
    <w:pPr>
      <w:spacing w:after="180"/>
      <w:ind w:leftChars="400" w:left="851"/>
    </w:pPr>
  </w:style>
  <w:style w:type="character" w:customStyle="1" w:styleId="Charf">
    <w:name w:val="본문 들여쓰기 Char"/>
    <w:basedOn w:val="a2"/>
    <w:link w:val="aff4"/>
    <w:uiPriority w:val="99"/>
    <w:semiHidden/>
    <w:rsid w:val="00576C4F"/>
  </w:style>
  <w:style w:type="paragraph" w:styleId="26">
    <w:name w:val="Body Text Indent 2"/>
    <w:basedOn w:val="a1"/>
    <w:link w:val="2Char1"/>
    <w:uiPriority w:val="99"/>
    <w:semiHidden/>
    <w:unhideWhenUsed/>
    <w:rsid w:val="00576C4F"/>
    <w:pPr>
      <w:spacing w:after="180" w:line="480" w:lineRule="auto"/>
      <w:ind w:leftChars="400" w:left="851"/>
    </w:pPr>
  </w:style>
  <w:style w:type="character" w:customStyle="1" w:styleId="2Char1">
    <w:name w:val="본문 들여쓰기 2 Char"/>
    <w:basedOn w:val="a2"/>
    <w:link w:val="26"/>
    <w:uiPriority w:val="99"/>
    <w:semiHidden/>
    <w:rsid w:val="00576C4F"/>
  </w:style>
  <w:style w:type="paragraph" w:styleId="36">
    <w:name w:val="Body Text Indent 3"/>
    <w:basedOn w:val="a1"/>
    <w:link w:val="3Char1"/>
    <w:uiPriority w:val="99"/>
    <w:semiHidden/>
    <w:unhideWhenUsed/>
    <w:rsid w:val="00576C4F"/>
    <w:pPr>
      <w:spacing w:after="180"/>
      <w:ind w:leftChars="400" w:left="851"/>
    </w:pPr>
    <w:rPr>
      <w:sz w:val="16"/>
      <w:szCs w:val="16"/>
    </w:rPr>
  </w:style>
  <w:style w:type="character" w:customStyle="1" w:styleId="3Char1">
    <w:name w:val="본문 들여쓰기 3 Char"/>
    <w:basedOn w:val="a2"/>
    <w:link w:val="36"/>
    <w:uiPriority w:val="99"/>
    <w:semiHidden/>
    <w:rsid w:val="00576C4F"/>
    <w:rPr>
      <w:sz w:val="16"/>
      <w:szCs w:val="16"/>
    </w:rPr>
  </w:style>
  <w:style w:type="paragraph" w:styleId="aff5">
    <w:name w:val="Body Text First Indent"/>
    <w:basedOn w:val="a5"/>
    <w:link w:val="Charf0"/>
    <w:uiPriority w:val="99"/>
    <w:semiHidden/>
    <w:unhideWhenUsed/>
    <w:rsid w:val="00576C4F"/>
    <w:pPr>
      <w:spacing w:after="180"/>
      <w:ind w:firstLineChars="100" w:firstLine="210"/>
    </w:pPr>
    <w:rPr>
      <w:rFonts w:asciiTheme="minorHAnsi" w:eastAsiaTheme="minorEastAsia" w:hAnsiTheme="minorHAnsi" w:cstheme="minorBidi"/>
    </w:rPr>
  </w:style>
  <w:style w:type="character" w:customStyle="1" w:styleId="Charf0">
    <w:name w:val="본문 첫 줄 들여쓰기 Char"/>
    <w:basedOn w:val="Char"/>
    <w:link w:val="aff5"/>
    <w:uiPriority w:val="99"/>
    <w:semiHidden/>
    <w:rsid w:val="00576C4F"/>
    <w:rPr>
      <w:rFonts w:ascii="Times New Roman" w:eastAsia="Times New Roman" w:hAnsi="Times New Roman" w:cs="Arial"/>
    </w:rPr>
  </w:style>
  <w:style w:type="paragraph" w:styleId="27">
    <w:name w:val="Body Text First Indent 2"/>
    <w:basedOn w:val="aff4"/>
    <w:link w:val="2Char2"/>
    <w:uiPriority w:val="99"/>
    <w:semiHidden/>
    <w:unhideWhenUsed/>
    <w:rsid w:val="00576C4F"/>
    <w:pPr>
      <w:ind w:firstLineChars="100" w:firstLine="210"/>
    </w:pPr>
  </w:style>
  <w:style w:type="character" w:customStyle="1" w:styleId="2Char2">
    <w:name w:val="본문 첫 줄 들여쓰기 2 Char"/>
    <w:basedOn w:val="Charf"/>
    <w:link w:val="27"/>
    <w:uiPriority w:val="99"/>
    <w:semiHidden/>
    <w:rsid w:val="00576C4F"/>
  </w:style>
  <w:style w:type="paragraph" w:styleId="aff6">
    <w:name w:val="Subtitle"/>
    <w:basedOn w:val="a1"/>
    <w:next w:val="a1"/>
    <w:link w:val="Charf1"/>
    <w:uiPriority w:val="11"/>
    <w:qFormat/>
    <w:rsid w:val="00576C4F"/>
    <w:pPr>
      <w:spacing w:after="60"/>
      <w:jc w:val="center"/>
      <w:outlineLvl w:val="1"/>
    </w:pPr>
    <w:rPr>
      <w:sz w:val="24"/>
      <w:szCs w:val="24"/>
    </w:rPr>
  </w:style>
  <w:style w:type="character" w:customStyle="1" w:styleId="Charf1">
    <w:name w:val="부제 Char"/>
    <w:basedOn w:val="a2"/>
    <w:link w:val="aff6"/>
    <w:uiPriority w:val="11"/>
    <w:rsid w:val="00576C4F"/>
    <w:rPr>
      <w:sz w:val="24"/>
      <w:szCs w:val="24"/>
    </w:rPr>
  </w:style>
  <w:style w:type="paragraph" w:styleId="aff7">
    <w:name w:val="Block Text"/>
    <w:basedOn w:val="a1"/>
    <w:uiPriority w:val="99"/>
    <w:semiHidden/>
    <w:unhideWhenUsed/>
    <w:rsid w:val="00576C4F"/>
    <w:pPr>
      <w:spacing w:after="180"/>
      <w:ind w:leftChars="700" w:left="1440" w:rightChars="700" w:right="1440"/>
    </w:pPr>
  </w:style>
  <w:style w:type="paragraph" w:styleId="13">
    <w:name w:val="index 1"/>
    <w:basedOn w:val="a1"/>
    <w:next w:val="a1"/>
    <w:autoRedefine/>
    <w:uiPriority w:val="99"/>
    <w:semiHidden/>
    <w:unhideWhenUsed/>
    <w:rsid w:val="00576C4F"/>
    <w:pPr>
      <w:ind w:leftChars="200" w:left="200" w:hangingChars="200" w:hanging="2000"/>
    </w:pPr>
  </w:style>
  <w:style w:type="paragraph" w:styleId="28">
    <w:name w:val="index 2"/>
    <w:basedOn w:val="a1"/>
    <w:next w:val="a1"/>
    <w:autoRedefine/>
    <w:uiPriority w:val="99"/>
    <w:semiHidden/>
    <w:unhideWhenUsed/>
    <w:rsid w:val="00576C4F"/>
    <w:pPr>
      <w:ind w:leftChars="400" w:left="400" w:hangingChars="200" w:hanging="2000"/>
    </w:pPr>
  </w:style>
  <w:style w:type="paragraph" w:styleId="37">
    <w:name w:val="index 3"/>
    <w:basedOn w:val="a1"/>
    <w:next w:val="a1"/>
    <w:autoRedefine/>
    <w:uiPriority w:val="99"/>
    <w:semiHidden/>
    <w:unhideWhenUsed/>
    <w:rsid w:val="00576C4F"/>
    <w:pPr>
      <w:ind w:leftChars="600" w:left="600" w:hangingChars="200" w:hanging="2000"/>
    </w:pPr>
  </w:style>
  <w:style w:type="paragraph" w:styleId="45">
    <w:name w:val="index 4"/>
    <w:basedOn w:val="a1"/>
    <w:next w:val="a1"/>
    <w:autoRedefine/>
    <w:uiPriority w:val="99"/>
    <w:semiHidden/>
    <w:unhideWhenUsed/>
    <w:rsid w:val="00576C4F"/>
    <w:pPr>
      <w:ind w:leftChars="800" w:left="800" w:hangingChars="200" w:hanging="2000"/>
    </w:pPr>
  </w:style>
  <w:style w:type="paragraph" w:styleId="55">
    <w:name w:val="index 5"/>
    <w:basedOn w:val="a1"/>
    <w:next w:val="a1"/>
    <w:autoRedefine/>
    <w:uiPriority w:val="99"/>
    <w:semiHidden/>
    <w:unhideWhenUsed/>
    <w:rsid w:val="00576C4F"/>
    <w:pPr>
      <w:ind w:leftChars="1000" w:left="1000" w:hangingChars="200" w:hanging="2000"/>
    </w:pPr>
  </w:style>
  <w:style w:type="paragraph" w:styleId="61">
    <w:name w:val="index 6"/>
    <w:basedOn w:val="a1"/>
    <w:next w:val="a1"/>
    <w:autoRedefine/>
    <w:uiPriority w:val="99"/>
    <w:semiHidden/>
    <w:unhideWhenUsed/>
    <w:rsid w:val="00576C4F"/>
    <w:pPr>
      <w:ind w:leftChars="1200" w:left="1200" w:hangingChars="200" w:hanging="2000"/>
    </w:pPr>
  </w:style>
  <w:style w:type="paragraph" w:styleId="71">
    <w:name w:val="index 7"/>
    <w:basedOn w:val="a1"/>
    <w:next w:val="a1"/>
    <w:autoRedefine/>
    <w:uiPriority w:val="99"/>
    <w:semiHidden/>
    <w:unhideWhenUsed/>
    <w:rsid w:val="00576C4F"/>
    <w:pPr>
      <w:ind w:leftChars="1400" w:left="1400" w:hangingChars="200" w:hanging="2000"/>
    </w:pPr>
  </w:style>
  <w:style w:type="paragraph" w:styleId="81">
    <w:name w:val="index 8"/>
    <w:basedOn w:val="a1"/>
    <w:next w:val="a1"/>
    <w:autoRedefine/>
    <w:uiPriority w:val="99"/>
    <w:semiHidden/>
    <w:unhideWhenUsed/>
    <w:rsid w:val="00576C4F"/>
    <w:pPr>
      <w:ind w:leftChars="1600" w:left="1600" w:hangingChars="200" w:hanging="2000"/>
    </w:pPr>
  </w:style>
  <w:style w:type="paragraph" w:styleId="91">
    <w:name w:val="index 9"/>
    <w:basedOn w:val="a1"/>
    <w:next w:val="a1"/>
    <w:autoRedefine/>
    <w:uiPriority w:val="99"/>
    <w:semiHidden/>
    <w:unhideWhenUsed/>
    <w:rsid w:val="00576C4F"/>
    <w:pPr>
      <w:ind w:leftChars="1800" w:left="1800" w:hangingChars="200" w:hanging="2000"/>
    </w:pPr>
  </w:style>
  <w:style w:type="paragraph" w:styleId="aff8">
    <w:name w:val="index heading"/>
    <w:basedOn w:val="a1"/>
    <w:next w:val="13"/>
    <w:uiPriority w:val="99"/>
    <w:semiHidden/>
    <w:unhideWhenUsed/>
    <w:rsid w:val="00576C4F"/>
    <w:rPr>
      <w:rFonts w:asciiTheme="majorHAnsi" w:eastAsiaTheme="majorEastAsia" w:hAnsiTheme="majorHAnsi" w:cstheme="majorBidi"/>
      <w:b/>
      <w:bCs/>
    </w:rPr>
  </w:style>
  <w:style w:type="paragraph" w:styleId="aff9">
    <w:name w:val="Signature"/>
    <w:basedOn w:val="a1"/>
    <w:link w:val="Charf2"/>
    <w:uiPriority w:val="99"/>
    <w:semiHidden/>
    <w:unhideWhenUsed/>
    <w:rsid w:val="00576C4F"/>
    <w:pPr>
      <w:ind w:leftChars="2100" w:left="100"/>
    </w:pPr>
  </w:style>
  <w:style w:type="character" w:customStyle="1" w:styleId="Charf2">
    <w:name w:val="서명 Char"/>
    <w:basedOn w:val="a2"/>
    <w:link w:val="aff9"/>
    <w:uiPriority w:val="99"/>
    <w:semiHidden/>
    <w:rsid w:val="00576C4F"/>
  </w:style>
  <w:style w:type="paragraph" w:styleId="affa">
    <w:name w:val="Salutation"/>
    <w:basedOn w:val="a1"/>
    <w:next w:val="a1"/>
    <w:link w:val="Charf3"/>
    <w:uiPriority w:val="99"/>
    <w:semiHidden/>
    <w:unhideWhenUsed/>
    <w:rsid w:val="00576C4F"/>
  </w:style>
  <w:style w:type="character" w:customStyle="1" w:styleId="Charf3">
    <w:name w:val="인사말 Char"/>
    <w:basedOn w:val="a2"/>
    <w:link w:val="affa"/>
    <w:uiPriority w:val="99"/>
    <w:semiHidden/>
    <w:rsid w:val="00576C4F"/>
  </w:style>
  <w:style w:type="paragraph" w:styleId="affb">
    <w:name w:val="Quote"/>
    <w:basedOn w:val="a1"/>
    <w:next w:val="a1"/>
    <w:link w:val="Charf4"/>
    <w:uiPriority w:val="29"/>
    <w:qFormat/>
    <w:rsid w:val="00576C4F"/>
    <w:pPr>
      <w:spacing w:before="200" w:after="160"/>
      <w:ind w:left="864" w:right="864"/>
      <w:jc w:val="center"/>
    </w:pPr>
    <w:rPr>
      <w:i/>
      <w:iCs/>
      <w:color w:val="404040" w:themeColor="text1" w:themeTint="BF"/>
    </w:rPr>
  </w:style>
  <w:style w:type="character" w:customStyle="1" w:styleId="Charf4">
    <w:name w:val="인용 Char"/>
    <w:basedOn w:val="a2"/>
    <w:link w:val="affb"/>
    <w:uiPriority w:val="29"/>
    <w:rsid w:val="00576C4F"/>
    <w:rPr>
      <w:i/>
      <w:iCs/>
      <w:color w:val="404040" w:themeColor="text1" w:themeTint="BF"/>
    </w:rPr>
  </w:style>
  <w:style w:type="paragraph" w:styleId="affc">
    <w:name w:val="Normal (Web)"/>
    <w:basedOn w:val="a1"/>
    <w:uiPriority w:val="99"/>
    <w:semiHidden/>
    <w:unhideWhenUsed/>
    <w:rsid w:val="00576C4F"/>
    <w:rPr>
      <w:rFonts w:ascii="Times New Roman" w:hAnsi="Times New Roman" w:cs="Times New Roman"/>
      <w:sz w:val="24"/>
      <w:szCs w:val="24"/>
    </w:rPr>
  </w:style>
  <w:style w:type="paragraph" w:styleId="affd">
    <w:name w:val="E-mail Signature"/>
    <w:basedOn w:val="a1"/>
    <w:link w:val="Charf5"/>
    <w:uiPriority w:val="99"/>
    <w:semiHidden/>
    <w:unhideWhenUsed/>
    <w:rsid w:val="00576C4F"/>
  </w:style>
  <w:style w:type="character" w:customStyle="1" w:styleId="Charf5">
    <w:name w:val="전자 메일 서명 Char"/>
    <w:basedOn w:val="a2"/>
    <w:link w:val="affd"/>
    <w:uiPriority w:val="99"/>
    <w:semiHidden/>
    <w:rsid w:val="00576C4F"/>
  </w:style>
  <w:style w:type="paragraph" w:styleId="affe">
    <w:name w:val="Title"/>
    <w:basedOn w:val="a1"/>
    <w:next w:val="a1"/>
    <w:link w:val="Charf6"/>
    <w:uiPriority w:val="10"/>
    <w:qFormat/>
    <w:rsid w:val="00576C4F"/>
    <w:pPr>
      <w:spacing w:before="240" w:after="120"/>
      <w:jc w:val="center"/>
      <w:outlineLvl w:val="0"/>
    </w:pPr>
    <w:rPr>
      <w:rFonts w:asciiTheme="majorHAnsi" w:eastAsiaTheme="majorEastAsia" w:hAnsiTheme="majorHAnsi" w:cstheme="majorBidi"/>
      <w:b/>
      <w:bCs/>
      <w:sz w:val="32"/>
      <w:szCs w:val="32"/>
    </w:rPr>
  </w:style>
  <w:style w:type="character" w:customStyle="1" w:styleId="Charf6">
    <w:name w:val="제목 Char"/>
    <w:basedOn w:val="a2"/>
    <w:link w:val="affe"/>
    <w:uiPriority w:val="10"/>
    <w:rsid w:val="00576C4F"/>
    <w:rPr>
      <w:rFonts w:asciiTheme="majorHAnsi" w:eastAsiaTheme="majorEastAsia" w:hAnsiTheme="majorHAnsi" w:cstheme="majorBidi"/>
      <w:b/>
      <w:bCs/>
      <w:sz w:val="32"/>
      <w:szCs w:val="32"/>
    </w:rPr>
  </w:style>
  <w:style w:type="character" w:customStyle="1" w:styleId="3Char">
    <w:name w:val="제목 3 Char"/>
    <w:basedOn w:val="a2"/>
    <w:link w:val="31"/>
    <w:uiPriority w:val="9"/>
    <w:semiHidden/>
    <w:rsid w:val="00576C4F"/>
    <w:rPr>
      <w:rFonts w:asciiTheme="majorHAnsi" w:eastAsiaTheme="majorEastAsia" w:hAnsiTheme="majorHAnsi" w:cstheme="majorBidi"/>
    </w:rPr>
  </w:style>
  <w:style w:type="character" w:customStyle="1" w:styleId="4Char">
    <w:name w:val="제목 4 Char"/>
    <w:basedOn w:val="a2"/>
    <w:link w:val="41"/>
    <w:uiPriority w:val="9"/>
    <w:semiHidden/>
    <w:rsid w:val="00576C4F"/>
    <w:rPr>
      <w:b/>
      <w:bCs/>
    </w:rPr>
  </w:style>
  <w:style w:type="character" w:customStyle="1" w:styleId="5Char">
    <w:name w:val="제목 5 Char"/>
    <w:basedOn w:val="a2"/>
    <w:link w:val="51"/>
    <w:uiPriority w:val="9"/>
    <w:semiHidden/>
    <w:rsid w:val="00576C4F"/>
    <w:rPr>
      <w:rFonts w:asciiTheme="majorHAnsi" w:eastAsiaTheme="majorEastAsia" w:hAnsiTheme="majorHAnsi" w:cstheme="majorBidi"/>
    </w:rPr>
  </w:style>
  <w:style w:type="character" w:customStyle="1" w:styleId="6Char">
    <w:name w:val="제목 6 Char"/>
    <w:basedOn w:val="a2"/>
    <w:link w:val="6"/>
    <w:uiPriority w:val="9"/>
    <w:semiHidden/>
    <w:rsid w:val="00576C4F"/>
    <w:rPr>
      <w:b/>
      <w:bCs/>
    </w:rPr>
  </w:style>
  <w:style w:type="character" w:customStyle="1" w:styleId="7Char">
    <w:name w:val="제목 7 Char"/>
    <w:basedOn w:val="a2"/>
    <w:link w:val="7"/>
    <w:uiPriority w:val="9"/>
    <w:semiHidden/>
    <w:rsid w:val="00576C4F"/>
  </w:style>
  <w:style w:type="character" w:customStyle="1" w:styleId="8Char">
    <w:name w:val="제목 8 Char"/>
    <w:basedOn w:val="a2"/>
    <w:link w:val="8"/>
    <w:uiPriority w:val="9"/>
    <w:semiHidden/>
    <w:rsid w:val="00576C4F"/>
  </w:style>
  <w:style w:type="character" w:customStyle="1" w:styleId="9Char">
    <w:name w:val="제목 9 Char"/>
    <w:basedOn w:val="a2"/>
    <w:link w:val="9"/>
    <w:uiPriority w:val="9"/>
    <w:semiHidden/>
    <w:rsid w:val="00576C4F"/>
  </w:style>
  <w:style w:type="paragraph" w:styleId="afff">
    <w:name w:val="envelope address"/>
    <w:basedOn w:val="a1"/>
    <w:uiPriority w:val="99"/>
    <w:semiHidden/>
    <w:unhideWhenUsed/>
    <w:rsid w:val="00576C4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Bibliography"/>
    <w:basedOn w:val="a1"/>
    <w:next w:val="a1"/>
    <w:uiPriority w:val="37"/>
    <w:semiHidden/>
    <w:unhideWhenUsed/>
    <w:rsid w:val="00576C4F"/>
  </w:style>
  <w:style w:type="paragraph" w:styleId="afff1">
    <w:name w:val="caption"/>
    <w:basedOn w:val="a1"/>
    <w:next w:val="a1"/>
    <w:uiPriority w:val="35"/>
    <w:semiHidden/>
    <w:unhideWhenUsed/>
    <w:qFormat/>
    <w:rsid w:val="00576C4F"/>
    <w:rPr>
      <w:b/>
      <w:bCs/>
      <w:sz w:val="20"/>
      <w:szCs w:val="20"/>
    </w:rPr>
  </w:style>
  <w:style w:type="paragraph" w:styleId="afff2">
    <w:name w:val="Normal Indent"/>
    <w:basedOn w:val="a1"/>
    <w:uiPriority w:val="99"/>
    <w:semiHidden/>
    <w:unhideWhenUsed/>
    <w:rsid w:val="00576C4F"/>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1306">
      <w:bodyDiv w:val="1"/>
      <w:marLeft w:val="0"/>
      <w:marRight w:val="0"/>
      <w:marTop w:val="0"/>
      <w:marBottom w:val="0"/>
      <w:divBdr>
        <w:top w:val="none" w:sz="0" w:space="0" w:color="auto"/>
        <w:left w:val="none" w:sz="0" w:space="0" w:color="auto"/>
        <w:bottom w:val="none" w:sz="0" w:space="0" w:color="auto"/>
        <w:right w:val="none" w:sz="0" w:space="0" w:color="auto"/>
      </w:divBdr>
    </w:div>
    <w:div w:id="249848501">
      <w:bodyDiv w:val="1"/>
      <w:marLeft w:val="0"/>
      <w:marRight w:val="0"/>
      <w:marTop w:val="0"/>
      <w:marBottom w:val="0"/>
      <w:divBdr>
        <w:top w:val="none" w:sz="0" w:space="0" w:color="auto"/>
        <w:left w:val="none" w:sz="0" w:space="0" w:color="auto"/>
        <w:bottom w:val="none" w:sz="0" w:space="0" w:color="auto"/>
        <w:right w:val="none" w:sz="0" w:space="0" w:color="auto"/>
      </w:divBdr>
    </w:div>
    <w:div w:id="643974619">
      <w:bodyDiv w:val="1"/>
      <w:marLeft w:val="0"/>
      <w:marRight w:val="0"/>
      <w:marTop w:val="0"/>
      <w:marBottom w:val="0"/>
      <w:divBdr>
        <w:top w:val="none" w:sz="0" w:space="0" w:color="auto"/>
        <w:left w:val="none" w:sz="0" w:space="0" w:color="auto"/>
        <w:bottom w:val="none" w:sz="0" w:space="0" w:color="auto"/>
        <w:right w:val="none" w:sz="0" w:space="0" w:color="auto"/>
      </w:divBdr>
      <w:divsChild>
        <w:div w:id="1540776547">
          <w:marLeft w:val="0"/>
          <w:marRight w:val="0"/>
          <w:marTop w:val="0"/>
          <w:marBottom w:val="0"/>
          <w:divBdr>
            <w:top w:val="none" w:sz="0" w:space="0" w:color="auto"/>
            <w:left w:val="none" w:sz="0" w:space="0" w:color="auto"/>
            <w:bottom w:val="none" w:sz="0" w:space="0" w:color="auto"/>
            <w:right w:val="none" w:sz="0" w:space="0" w:color="auto"/>
          </w:divBdr>
        </w:div>
        <w:div w:id="162625571">
          <w:marLeft w:val="0"/>
          <w:marRight w:val="0"/>
          <w:marTop w:val="0"/>
          <w:marBottom w:val="0"/>
          <w:divBdr>
            <w:top w:val="none" w:sz="0" w:space="0" w:color="auto"/>
            <w:left w:val="none" w:sz="0" w:space="0" w:color="auto"/>
            <w:bottom w:val="none" w:sz="0" w:space="0" w:color="auto"/>
            <w:right w:val="none" w:sz="0" w:space="0" w:color="auto"/>
          </w:divBdr>
        </w:div>
        <w:div w:id="195656573">
          <w:marLeft w:val="0"/>
          <w:marRight w:val="0"/>
          <w:marTop w:val="0"/>
          <w:marBottom w:val="0"/>
          <w:divBdr>
            <w:top w:val="none" w:sz="0" w:space="0" w:color="auto"/>
            <w:left w:val="none" w:sz="0" w:space="0" w:color="auto"/>
            <w:bottom w:val="none" w:sz="0" w:space="0" w:color="auto"/>
            <w:right w:val="none" w:sz="0" w:space="0" w:color="auto"/>
          </w:divBdr>
        </w:div>
      </w:divsChild>
    </w:div>
    <w:div w:id="705325604">
      <w:bodyDiv w:val="1"/>
      <w:marLeft w:val="0"/>
      <w:marRight w:val="0"/>
      <w:marTop w:val="0"/>
      <w:marBottom w:val="0"/>
      <w:divBdr>
        <w:top w:val="none" w:sz="0" w:space="0" w:color="auto"/>
        <w:left w:val="none" w:sz="0" w:space="0" w:color="auto"/>
        <w:bottom w:val="none" w:sz="0" w:space="0" w:color="auto"/>
        <w:right w:val="none" w:sz="0" w:space="0" w:color="auto"/>
      </w:divBdr>
    </w:div>
    <w:div w:id="785387656">
      <w:bodyDiv w:val="1"/>
      <w:marLeft w:val="0"/>
      <w:marRight w:val="0"/>
      <w:marTop w:val="0"/>
      <w:marBottom w:val="0"/>
      <w:divBdr>
        <w:top w:val="none" w:sz="0" w:space="0" w:color="auto"/>
        <w:left w:val="none" w:sz="0" w:space="0" w:color="auto"/>
        <w:bottom w:val="none" w:sz="0" w:space="0" w:color="auto"/>
        <w:right w:val="none" w:sz="0" w:space="0" w:color="auto"/>
      </w:divBdr>
    </w:div>
    <w:div w:id="853299590">
      <w:bodyDiv w:val="1"/>
      <w:marLeft w:val="0"/>
      <w:marRight w:val="0"/>
      <w:marTop w:val="0"/>
      <w:marBottom w:val="0"/>
      <w:divBdr>
        <w:top w:val="none" w:sz="0" w:space="0" w:color="auto"/>
        <w:left w:val="none" w:sz="0" w:space="0" w:color="auto"/>
        <w:bottom w:val="none" w:sz="0" w:space="0" w:color="auto"/>
        <w:right w:val="none" w:sz="0" w:space="0" w:color="auto"/>
      </w:divBdr>
      <w:divsChild>
        <w:div w:id="567148989">
          <w:marLeft w:val="0"/>
          <w:marRight w:val="0"/>
          <w:marTop w:val="0"/>
          <w:marBottom w:val="0"/>
          <w:divBdr>
            <w:top w:val="none" w:sz="0" w:space="0" w:color="auto"/>
            <w:left w:val="none" w:sz="0" w:space="0" w:color="auto"/>
            <w:bottom w:val="none" w:sz="0" w:space="0" w:color="auto"/>
            <w:right w:val="none" w:sz="0" w:space="0" w:color="auto"/>
          </w:divBdr>
        </w:div>
        <w:div w:id="834225313">
          <w:marLeft w:val="0"/>
          <w:marRight w:val="0"/>
          <w:marTop w:val="0"/>
          <w:marBottom w:val="0"/>
          <w:divBdr>
            <w:top w:val="none" w:sz="0" w:space="0" w:color="auto"/>
            <w:left w:val="none" w:sz="0" w:space="0" w:color="auto"/>
            <w:bottom w:val="none" w:sz="0" w:space="0" w:color="auto"/>
            <w:right w:val="none" w:sz="0" w:space="0" w:color="auto"/>
          </w:divBdr>
        </w:div>
        <w:div w:id="1767379044">
          <w:marLeft w:val="0"/>
          <w:marRight w:val="0"/>
          <w:marTop w:val="0"/>
          <w:marBottom w:val="0"/>
          <w:divBdr>
            <w:top w:val="none" w:sz="0" w:space="0" w:color="auto"/>
            <w:left w:val="none" w:sz="0" w:space="0" w:color="auto"/>
            <w:bottom w:val="none" w:sz="0" w:space="0" w:color="auto"/>
            <w:right w:val="none" w:sz="0" w:space="0" w:color="auto"/>
          </w:divBdr>
        </w:div>
        <w:div w:id="1467317533">
          <w:marLeft w:val="0"/>
          <w:marRight w:val="0"/>
          <w:marTop w:val="0"/>
          <w:marBottom w:val="0"/>
          <w:divBdr>
            <w:top w:val="none" w:sz="0" w:space="0" w:color="auto"/>
            <w:left w:val="none" w:sz="0" w:space="0" w:color="auto"/>
            <w:bottom w:val="none" w:sz="0" w:space="0" w:color="auto"/>
            <w:right w:val="none" w:sz="0" w:space="0" w:color="auto"/>
          </w:divBdr>
        </w:div>
        <w:div w:id="2007122323">
          <w:marLeft w:val="0"/>
          <w:marRight w:val="0"/>
          <w:marTop w:val="0"/>
          <w:marBottom w:val="0"/>
          <w:divBdr>
            <w:top w:val="none" w:sz="0" w:space="0" w:color="auto"/>
            <w:left w:val="none" w:sz="0" w:space="0" w:color="auto"/>
            <w:bottom w:val="none" w:sz="0" w:space="0" w:color="auto"/>
            <w:right w:val="none" w:sz="0" w:space="0" w:color="auto"/>
          </w:divBdr>
        </w:div>
      </w:divsChild>
    </w:div>
    <w:div w:id="1164855130">
      <w:bodyDiv w:val="1"/>
      <w:marLeft w:val="0"/>
      <w:marRight w:val="0"/>
      <w:marTop w:val="0"/>
      <w:marBottom w:val="0"/>
      <w:divBdr>
        <w:top w:val="none" w:sz="0" w:space="0" w:color="auto"/>
        <w:left w:val="none" w:sz="0" w:space="0" w:color="auto"/>
        <w:bottom w:val="none" w:sz="0" w:space="0" w:color="auto"/>
        <w:right w:val="none" w:sz="0" w:space="0" w:color="auto"/>
      </w:divBdr>
    </w:div>
    <w:div w:id="1266114673">
      <w:bodyDiv w:val="1"/>
      <w:marLeft w:val="0"/>
      <w:marRight w:val="0"/>
      <w:marTop w:val="0"/>
      <w:marBottom w:val="0"/>
      <w:divBdr>
        <w:top w:val="none" w:sz="0" w:space="0" w:color="auto"/>
        <w:left w:val="none" w:sz="0" w:space="0" w:color="auto"/>
        <w:bottom w:val="none" w:sz="0" w:space="0" w:color="auto"/>
        <w:right w:val="none" w:sz="0" w:space="0" w:color="auto"/>
      </w:divBdr>
    </w:div>
    <w:div w:id="1354764076">
      <w:bodyDiv w:val="1"/>
      <w:marLeft w:val="0"/>
      <w:marRight w:val="0"/>
      <w:marTop w:val="0"/>
      <w:marBottom w:val="0"/>
      <w:divBdr>
        <w:top w:val="none" w:sz="0" w:space="0" w:color="auto"/>
        <w:left w:val="none" w:sz="0" w:space="0" w:color="auto"/>
        <w:bottom w:val="none" w:sz="0" w:space="0" w:color="auto"/>
        <w:right w:val="none" w:sz="0" w:space="0" w:color="auto"/>
      </w:divBdr>
      <w:divsChild>
        <w:div w:id="1353804238">
          <w:marLeft w:val="0"/>
          <w:marRight w:val="0"/>
          <w:marTop w:val="0"/>
          <w:marBottom w:val="0"/>
          <w:divBdr>
            <w:top w:val="none" w:sz="0" w:space="0" w:color="auto"/>
            <w:left w:val="none" w:sz="0" w:space="0" w:color="auto"/>
            <w:bottom w:val="none" w:sz="0" w:space="0" w:color="auto"/>
            <w:right w:val="none" w:sz="0" w:space="0" w:color="auto"/>
          </w:divBdr>
        </w:div>
        <w:div w:id="816998091">
          <w:marLeft w:val="0"/>
          <w:marRight w:val="0"/>
          <w:marTop w:val="0"/>
          <w:marBottom w:val="0"/>
          <w:divBdr>
            <w:top w:val="none" w:sz="0" w:space="0" w:color="auto"/>
            <w:left w:val="none" w:sz="0" w:space="0" w:color="auto"/>
            <w:bottom w:val="none" w:sz="0" w:space="0" w:color="auto"/>
            <w:right w:val="none" w:sz="0" w:space="0" w:color="auto"/>
          </w:divBdr>
        </w:div>
        <w:div w:id="224800843">
          <w:marLeft w:val="0"/>
          <w:marRight w:val="0"/>
          <w:marTop w:val="0"/>
          <w:marBottom w:val="0"/>
          <w:divBdr>
            <w:top w:val="none" w:sz="0" w:space="0" w:color="auto"/>
            <w:left w:val="none" w:sz="0" w:space="0" w:color="auto"/>
            <w:bottom w:val="none" w:sz="0" w:space="0" w:color="auto"/>
            <w:right w:val="none" w:sz="0" w:space="0" w:color="auto"/>
          </w:divBdr>
        </w:div>
        <w:div w:id="993951538">
          <w:marLeft w:val="0"/>
          <w:marRight w:val="0"/>
          <w:marTop w:val="0"/>
          <w:marBottom w:val="0"/>
          <w:divBdr>
            <w:top w:val="none" w:sz="0" w:space="0" w:color="auto"/>
            <w:left w:val="none" w:sz="0" w:space="0" w:color="auto"/>
            <w:bottom w:val="none" w:sz="0" w:space="0" w:color="auto"/>
            <w:right w:val="none" w:sz="0" w:space="0" w:color="auto"/>
          </w:divBdr>
        </w:div>
        <w:div w:id="1394157423">
          <w:marLeft w:val="0"/>
          <w:marRight w:val="0"/>
          <w:marTop w:val="0"/>
          <w:marBottom w:val="0"/>
          <w:divBdr>
            <w:top w:val="none" w:sz="0" w:space="0" w:color="auto"/>
            <w:left w:val="none" w:sz="0" w:space="0" w:color="auto"/>
            <w:bottom w:val="none" w:sz="0" w:space="0" w:color="auto"/>
            <w:right w:val="none" w:sz="0" w:space="0" w:color="auto"/>
          </w:divBdr>
        </w:div>
      </w:divsChild>
    </w:div>
    <w:div w:id="1380275714">
      <w:bodyDiv w:val="1"/>
      <w:marLeft w:val="0"/>
      <w:marRight w:val="0"/>
      <w:marTop w:val="0"/>
      <w:marBottom w:val="0"/>
      <w:divBdr>
        <w:top w:val="none" w:sz="0" w:space="0" w:color="auto"/>
        <w:left w:val="none" w:sz="0" w:space="0" w:color="auto"/>
        <w:bottom w:val="none" w:sz="0" w:space="0" w:color="auto"/>
        <w:right w:val="none" w:sz="0" w:space="0" w:color="auto"/>
      </w:divBdr>
    </w:div>
    <w:div w:id="1513491855">
      <w:bodyDiv w:val="1"/>
      <w:marLeft w:val="0"/>
      <w:marRight w:val="0"/>
      <w:marTop w:val="0"/>
      <w:marBottom w:val="0"/>
      <w:divBdr>
        <w:top w:val="none" w:sz="0" w:space="0" w:color="auto"/>
        <w:left w:val="none" w:sz="0" w:space="0" w:color="auto"/>
        <w:bottom w:val="none" w:sz="0" w:space="0" w:color="auto"/>
        <w:right w:val="none" w:sz="0" w:space="0" w:color="auto"/>
      </w:divBdr>
    </w:div>
    <w:div w:id="1570463327">
      <w:bodyDiv w:val="1"/>
      <w:marLeft w:val="0"/>
      <w:marRight w:val="0"/>
      <w:marTop w:val="0"/>
      <w:marBottom w:val="0"/>
      <w:divBdr>
        <w:top w:val="none" w:sz="0" w:space="0" w:color="auto"/>
        <w:left w:val="none" w:sz="0" w:space="0" w:color="auto"/>
        <w:bottom w:val="none" w:sz="0" w:space="0" w:color="auto"/>
        <w:right w:val="none" w:sz="0" w:space="0" w:color="auto"/>
      </w:divBdr>
    </w:div>
    <w:div w:id="1870952552">
      <w:bodyDiv w:val="1"/>
      <w:marLeft w:val="0"/>
      <w:marRight w:val="0"/>
      <w:marTop w:val="0"/>
      <w:marBottom w:val="0"/>
      <w:divBdr>
        <w:top w:val="none" w:sz="0" w:space="0" w:color="auto"/>
        <w:left w:val="none" w:sz="0" w:space="0" w:color="auto"/>
        <w:bottom w:val="none" w:sz="0" w:space="0" w:color="auto"/>
        <w:right w:val="none" w:sz="0" w:space="0" w:color="auto"/>
      </w:divBdr>
    </w:div>
    <w:div w:id="1949696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ma.europa.eu/en/documents/template-form/qrd-appendix-v-adverse-drug-reaction-reporting-details_e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EMADOC-1700519818-2424303</_dlc_DocId>
    <_dlc_DocIdUrl xmlns="a034c160-bfb7-45f5-8632-2eb7e0508071">
      <Url>https://euema.sharepoint.com/sites/CRM/_layouts/15/DocIdRedir.aspx?ID=EMADOC-1700519818-2424303</Url>
      <Description>EMADOC-1700519818-2424303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C30BC-A7E1-4B79-88B4-D6E9AE9BEC3D}"/>
</file>

<file path=customXml/itemProps2.xml><?xml version="1.0" encoding="utf-8"?>
<ds:datastoreItem xmlns:ds="http://schemas.openxmlformats.org/officeDocument/2006/customXml" ds:itemID="{C072FDEA-5948-4B60-B504-ECE2718B2DA7}"/>
</file>

<file path=customXml/itemProps3.xml><?xml version="1.0" encoding="utf-8"?>
<ds:datastoreItem xmlns:ds="http://schemas.openxmlformats.org/officeDocument/2006/customXml" ds:itemID="{E05B9075-C1FF-4591-B49A-FE50F4A0A6F0}">
  <ds:schemaRefs>
    <ds:schemaRef ds:uri="http://schemas.microsoft.com/office/2006/metadata/properties"/>
    <ds:schemaRef ds:uri="http://schemas.microsoft.com/office/infopath/2007/PartnerControls"/>
    <ds:schemaRef ds:uri="e1eef876-2644-4dc2-b8ea-c736ac46ca54"/>
    <ds:schemaRef ds:uri="a4d64e8f-e33f-435d-981f-c49545ae15b0"/>
  </ds:schemaRefs>
</ds:datastoreItem>
</file>

<file path=customXml/itemProps4.xml><?xml version="1.0" encoding="utf-8"?>
<ds:datastoreItem xmlns:ds="http://schemas.openxmlformats.org/officeDocument/2006/customXml" ds:itemID="{0B1ECF89-2AA0-4F63-8549-A5F10022460C}">
  <ds:schemaRefs>
    <ds:schemaRef ds:uri="http://schemas.openxmlformats.org/officeDocument/2006/bibliography"/>
  </ds:schemaRefs>
</ds:datastoreItem>
</file>

<file path=customXml/itemProps5.xml><?xml version="1.0" encoding="utf-8"?>
<ds:datastoreItem xmlns:ds="http://schemas.openxmlformats.org/officeDocument/2006/customXml" ds:itemID="{8AF3E8AD-4ACC-4BEC-8C83-54431C206344}">
  <ds:schemaRefs>
    <ds:schemaRef ds:uri="http://schemas.microsoft.com/sharepoint/v3/contenttype/forms"/>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72</Pages>
  <Words>26412</Words>
  <Characters>150551</Characters>
  <Application>Microsoft Office Word</Application>
  <DocSecurity>0</DocSecurity>
  <Lines>1254</Lines>
  <Paragraphs>353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2025-02-10T23:47:00Z</dcterms:created>
  <dcterms:modified xsi:type="dcterms:W3CDTF">2025-06-25T07:57:00Z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5e99fd74-2749-4a0a-95f8-afb38d1eac21</vt:lpwstr>
  </property>
</Properties>
</file>