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DEE1" w14:textId="77777777" w:rsidR="00631774" w:rsidRPr="00D813B8" w:rsidRDefault="00834239" w:rsidP="00631774">
      <w:pPr>
        <w:pStyle w:val="RefAgency"/>
        <w:tabs>
          <w:tab w:val="left" w:pos="1277"/>
        </w:tabs>
      </w:pPr>
      <w:bookmarkStart w:id="0" w:name="Date"/>
      <w:r w:rsidRPr="00D813B8">
        <w:rPr>
          <w:rStyle w:val="DraftingNotesAgencyChar"/>
        </w:rPr>
        <w:t>[insert only for CHMP/CAT adopted doc &amp; add EMA header and footer]</w:t>
      </w:r>
      <w:r w:rsidRPr="00D813B8">
        <w:t xml:space="preserve"> </w:t>
      </w:r>
    </w:p>
    <w:p w14:paraId="4E993A59" w14:textId="77777777" w:rsidR="005A4343" w:rsidRPr="00D813B8" w:rsidRDefault="00834239" w:rsidP="00631774">
      <w:pPr>
        <w:pStyle w:val="RefAgency"/>
        <w:tabs>
          <w:tab w:val="left" w:pos="1384"/>
        </w:tabs>
      </w:pPr>
      <w:r w:rsidRPr="00D813B8">
        <w:t>Amsterdam, &lt;insert full date&gt;</w:t>
      </w:r>
    </w:p>
    <w:p w14:paraId="676055A6" w14:textId="77777777" w:rsidR="005A4343" w:rsidRPr="00D813B8" w:rsidRDefault="00834239" w:rsidP="005A4343">
      <w:pPr>
        <w:pStyle w:val="RefAgency"/>
        <w:tabs>
          <w:tab w:val="left" w:pos="1384"/>
        </w:tabs>
        <w:rPr>
          <w:rFonts w:ascii="Courier New" w:hAnsi="Courier New" w:cs="Courier New"/>
          <w:i/>
          <w:color w:val="00B050"/>
          <w:sz w:val="22"/>
          <w:szCs w:val="22"/>
        </w:rPr>
      </w:pPr>
      <w:r w:rsidRPr="00DE4423">
        <w:t>&lt;insert Doc.Ref.&gt;</w:t>
      </w:r>
      <w:r w:rsidRPr="00D813B8">
        <w:t xml:space="preserve"> </w:t>
      </w:r>
    </w:p>
    <w:p w14:paraId="75C2C207" w14:textId="77777777" w:rsidR="00100AC0" w:rsidRPr="00D813B8" w:rsidRDefault="00834239" w:rsidP="00100AC0">
      <w:pPr>
        <w:pStyle w:val="RefAgency"/>
        <w:tabs>
          <w:tab w:val="left" w:pos="1384"/>
        </w:tabs>
      </w:pPr>
      <w:bookmarkStart w:id="1" w:name="Head"/>
      <w:bookmarkEnd w:id="0"/>
      <w:r w:rsidRPr="00D813B8">
        <w:t>&lt;</w:t>
      </w:r>
      <w:r w:rsidR="008B7FD3" w:rsidRPr="00D813B8">
        <w:t>Committee for Medicinal Products for Human Use (CHMP)</w:t>
      </w:r>
      <w:r w:rsidRPr="00D813B8">
        <w:t>&gt;</w:t>
      </w:r>
      <w:bookmarkEnd w:id="1"/>
      <w:r w:rsidRPr="00D813B8">
        <w:t>&lt;Committee for Advanced Therapies (CAT)&gt;</w:t>
      </w:r>
    </w:p>
    <w:p w14:paraId="4B9A88FE" w14:textId="77777777" w:rsidR="001C74D6" w:rsidRPr="00D813B8" w:rsidRDefault="001C74D6">
      <w:pPr>
        <w:pStyle w:val="RefAgency"/>
        <w:tabs>
          <w:tab w:val="left" w:pos="1384"/>
        </w:tabs>
      </w:pPr>
    </w:p>
    <w:p w14:paraId="02865B42" w14:textId="77777777" w:rsidR="00EC5EB0" w:rsidRPr="00D813B8" w:rsidRDefault="00834239" w:rsidP="00274704">
      <w:pPr>
        <w:pStyle w:val="DoctitleAgency"/>
      </w:pPr>
      <w:bookmarkStart w:id="2" w:name="DocTitle"/>
      <w:r w:rsidRPr="00D813B8">
        <w:t>&lt;Updated&gt;</w:t>
      </w:r>
      <w:r w:rsidR="00621EDB" w:rsidRPr="00D813B8">
        <w:t>&lt;</w:t>
      </w:r>
      <w:r w:rsidR="00C548F2">
        <w:t xml:space="preserve">Rapporteur </w:t>
      </w:r>
      <w:r w:rsidR="00C548F2" w:rsidRPr="00A96197">
        <w:t>&lt;</w:t>
      </w:r>
      <w:r w:rsidR="00C548F2">
        <w:t xml:space="preserve">and </w:t>
      </w:r>
      <w:r w:rsidR="00C548F2" w:rsidRPr="00A96197">
        <w:t>Co</w:t>
      </w:r>
      <w:r w:rsidR="00C548F2">
        <w:t>-</w:t>
      </w:r>
      <w:r w:rsidR="00C548F2" w:rsidRPr="00A96197">
        <w:t>Rapporteur</w:t>
      </w:r>
      <w:r w:rsidR="00C548F2">
        <w:t>&gt; &gt;&lt;</w:t>
      </w:r>
      <w:r w:rsidRPr="00D813B8">
        <w:t>&lt;CHMP&gt;&lt;CAT&gt;</w:t>
      </w:r>
      <w:r w:rsidR="00DE4423">
        <w:t xml:space="preserve"> </w:t>
      </w:r>
      <w:r w:rsidRPr="00D813B8">
        <w:t>&lt;</w:t>
      </w:r>
      <w:r w:rsidR="00621EDB" w:rsidRPr="00D813B8">
        <w:t>Assessment Report&gt;</w:t>
      </w:r>
      <w:r w:rsidRPr="00D813B8">
        <w:t>&lt;</w:t>
      </w:r>
      <w:r w:rsidR="00274704" w:rsidRPr="00D813B8">
        <w:t>List of Questions&gt;</w:t>
      </w:r>
      <w:bookmarkEnd w:id="2"/>
      <w:r w:rsidR="00274704" w:rsidRPr="00D813B8">
        <w:t xml:space="preserve"> for &lt;Product&gt;</w:t>
      </w:r>
      <w:r w:rsidR="00BB7F2A" w:rsidRPr="00D813B8">
        <w:t xml:space="preserve"> on </w:t>
      </w:r>
      <w:r w:rsidR="007503BC" w:rsidRPr="00D813B8">
        <w:t xml:space="preserve">derogations applicable to similar orphan products </w:t>
      </w:r>
    </w:p>
    <w:p w14:paraId="7767A46D" w14:textId="77777777" w:rsidR="004C78AB" w:rsidRPr="00D813B8" w:rsidRDefault="00834239" w:rsidP="004C78AB">
      <w:pPr>
        <w:pStyle w:val="DocsubtitleAgency"/>
      </w:pPr>
      <w:r w:rsidRPr="00D813B8">
        <w:t>Inte</w:t>
      </w:r>
      <w:r w:rsidR="005A4343" w:rsidRPr="00D813B8">
        <w:t>rnational Nonproprietary Name: &lt;</w:t>
      </w:r>
      <w:r w:rsidRPr="00D813B8">
        <w:t>INN</w:t>
      </w:r>
      <w:r w:rsidR="005A4343" w:rsidRPr="00D813B8">
        <w:t>&gt;</w:t>
      </w:r>
      <w:r w:rsidRPr="00D813B8">
        <w:br/>
        <w:t>Procedure No. EMEA/H/C</w:t>
      </w:r>
      <w:r w:rsidR="005A4343" w:rsidRPr="00D813B8">
        <w:t>/XXX</w:t>
      </w:r>
    </w:p>
    <w:p w14:paraId="5E1BE54E" w14:textId="77777777" w:rsidR="00E60F63" w:rsidRPr="006F271B" w:rsidRDefault="00E60F63" w:rsidP="00E60F63">
      <w:pPr>
        <w:pStyle w:val="BodytextAgency"/>
      </w:pPr>
      <w:bookmarkStart w:id="3" w:name="BodyBlank"/>
      <w:bookmarkEnd w:id="3"/>
    </w:p>
    <w:p w14:paraId="6F38CDE8" w14:textId="77777777" w:rsidR="00A51632" w:rsidRPr="006F271B" w:rsidRDefault="00A51632" w:rsidP="00E60F63">
      <w:pPr>
        <w:pStyle w:val="BodytextAgency"/>
      </w:pPr>
    </w:p>
    <w:p w14:paraId="71401EAF" w14:textId="77777777" w:rsidR="00A51632" w:rsidRPr="006F271B" w:rsidRDefault="00A51632" w:rsidP="00E60F63">
      <w:pPr>
        <w:pStyle w:val="BodytextAgency"/>
      </w:pPr>
    </w:p>
    <w:p w14:paraId="43E624DF" w14:textId="77777777" w:rsidR="00A51632" w:rsidRPr="006F271B" w:rsidRDefault="00A51632" w:rsidP="00E60F63">
      <w:pPr>
        <w:pStyle w:val="BodytextAgency"/>
      </w:pPr>
    </w:p>
    <w:p w14:paraId="6F215E3E" w14:textId="77777777" w:rsidR="00A51632" w:rsidRPr="006F271B" w:rsidRDefault="00A51632" w:rsidP="00E60F63">
      <w:pPr>
        <w:pStyle w:val="BodytextAgency"/>
      </w:pPr>
    </w:p>
    <w:p w14:paraId="6E296B8E" w14:textId="77777777" w:rsidR="00A51632" w:rsidRPr="006F271B" w:rsidRDefault="00A51632" w:rsidP="00E60F63">
      <w:pPr>
        <w:pStyle w:val="BodytextAgency"/>
      </w:pPr>
    </w:p>
    <w:p w14:paraId="46100A51" w14:textId="77777777" w:rsidR="00A51632" w:rsidRPr="006F271B" w:rsidRDefault="00A51632" w:rsidP="00E60F63">
      <w:pPr>
        <w:pStyle w:val="BodytextAgency"/>
      </w:pPr>
    </w:p>
    <w:p w14:paraId="70689645" w14:textId="77777777" w:rsidR="00A51632" w:rsidRPr="006F271B" w:rsidRDefault="00A51632" w:rsidP="00E60F63">
      <w:pPr>
        <w:pStyle w:val="BodytextAgency"/>
      </w:pPr>
    </w:p>
    <w:p w14:paraId="7759D4E4" w14:textId="77777777" w:rsidR="00A51632" w:rsidRPr="006F271B" w:rsidRDefault="00A51632" w:rsidP="00E60F63">
      <w:pPr>
        <w:pStyle w:val="BodytextAgency"/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568"/>
      </w:tblGrid>
      <w:tr w:rsidR="00CA2C59" w14:paraId="4C55047B" w14:textId="77777777" w:rsidTr="007B6BA6">
        <w:tc>
          <w:tcPr>
            <w:tcW w:w="2039" w:type="pct"/>
            <w:shd w:val="clear" w:color="auto" w:fill="auto"/>
          </w:tcPr>
          <w:p w14:paraId="4C492A89" w14:textId="77777777" w:rsidR="007B6BA6" w:rsidRPr="00D813B8" w:rsidRDefault="00834239" w:rsidP="007B6BA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 xml:space="preserve">Rapporteur: </w:t>
            </w:r>
          </w:p>
          <w:p w14:paraId="2DF19F6A" w14:textId="77777777" w:rsidR="007B6BA6" w:rsidRPr="00D813B8" w:rsidRDefault="007B6BA6" w:rsidP="007B6BA6">
            <w:pPr>
              <w:pStyle w:val="TabletextrowsAgency"/>
              <w:rPr>
                <w:b/>
              </w:rPr>
            </w:pPr>
          </w:p>
        </w:tc>
        <w:tc>
          <w:tcPr>
            <w:tcW w:w="2961" w:type="pct"/>
            <w:shd w:val="clear" w:color="auto" w:fill="auto"/>
          </w:tcPr>
          <w:p w14:paraId="297D7096" w14:textId="77777777" w:rsidR="007B6BA6" w:rsidRPr="006F271B" w:rsidRDefault="007B6BA6" w:rsidP="007B6BA6">
            <w:pPr>
              <w:pStyle w:val="TabletextrowsAgency"/>
            </w:pPr>
          </w:p>
        </w:tc>
      </w:tr>
      <w:tr w:rsidR="00CA2C59" w14:paraId="60DF99B3" w14:textId="77777777" w:rsidTr="007B6BA6">
        <w:tc>
          <w:tcPr>
            <w:tcW w:w="2039" w:type="pct"/>
            <w:shd w:val="clear" w:color="auto" w:fill="auto"/>
          </w:tcPr>
          <w:p w14:paraId="7499C24A" w14:textId="77777777" w:rsidR="007B6BA6" w:rsidRPr="00D813B8" w:rsidRDefault="00834239" w:rsidP="007B6BA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Co-Rapporteur:</w:t>
            </w:r>
          </w:p>
          <w:p w14:paraId="49BF8865" w14:textId="77777777" w:rsidR="007B6BA6" w:rsidRPr="00D813B8" w:rsidRDefault="007B6BA6" w:rsidP="007B6BA6">
            <w:pPr>
              <w:pStyle w:val="TabletextrowsAgency"/>
              <w:rPr>
                <w:b/>
              </w:rPr>
            </w:pPr>
          </w:p>
        </w:tc>
        <w:tc>
          <w:tcPr>
            <w:tcW w:w="2961" w:type="pct"/>
            <w:shd w:val="clear" w:color="auto" w:fill="auto"/>
          </w:tcPr>
          <w:p w14:paraId="53E059BD" w14:textId="77777777" w:rsidR="007B6BA6" w:rsidRPr="006F271B" w:rsidRDefault="007B6BA6" w:rsidP="007B6BA6">
            <w:pPr>
              <w:pStyle w:val="TabletextrowsAgency"/>
            </w:pPr>
          </w:p>
        </w:tc>
      </w:tr>
      <w:tr w:rsidR="00CA2C59" w14:paraId="3D7FF498" w14:textId="77777777" w:rsidTr="007B6BA6">
        <w:tc>
          <w:tcPr>
            <w:tcW w:w="2039" w:type="pct"/>
            <w:shd w:val="clear" w:color="auto" w:fill="auto"/>
          </w:tcPr>
          <w:p w14:paraId="7D185365" w14:textId="77777777" w:rsidR="00094D24" w:rsidRPr="00D813B8" w:rsidRDefault="00834239" w:rsidP="007B6BA6">
            <w:pPr>
              <w:pStyle w:val="TabletextrowsAgency"/>
              <w:rPr>
                <w:b/>
              </w:rPr>
            </w:pPr>
            <w:r w:rsidRPr="00D813B8">
              <w:rPr>
                <w:bCs/>
              </w:rPr>
              <w:t>&lt;</w:t>
            </w:r>
            <w:r w:rsidRPr="00D813B8">
              <w:rPr>
                <w:b/>
                <w:bCs/>
              </w:rPr>
              <w:t xml:space="preserve">CHMP </w:t>
            </w:r>
            <w:r w:rsidRPr="00D813B8">
              <w:rPr>
                <w:b/>
                <w:bCs/>
              </w:rPr>
              <w:t>coordinator</w:t>
            </w:r>
            <w:r w:rsidRPr="00D813B8">
              <w:rPr>
                <w:bCs/>
              </w:rPr>
              <w:t>(s)&gt;</w:t>
            </w:r>
            <w:r w:rsidRPr="00D813B8">
              <w:rPr>
                <w:b/>
                <w:bCs/>
              </w:rPr>
              <w:t xml:space="preserve"> </w:t>
            </w:r>
            <w:r w:rsidRPr="00D813B8">
              <w:rPr>
                <w:rFonts w:ascii="Courier New" w:hAnsi="Courier New" w:cs="Times New Roman"/>
                <w:b/>
                <w:i/>
                <w:color w:val="339966"/>
                <w:sz w:val="22"/>
              </w:rPr>
              <w:t>to be included only for CAT pro</w:t>
            </w:r>
            <w:r w:rsidRPr="00D813B8">
              <w:rPr>
                <w:rFonts w:ascii="Courier New" w:hAnsi="Courier New" w:cs="Times New Roman"/>
                <w:i/>
                <w:color w:val="339966"/>
                <w:sz w:val="22"/>
              </w:rPr>
              <w:t>cedure</w:t>
            </w:r>
            <w:r w:rsidRPr="00D813B8">
              <w:rPr>
                <w:rFonts w:ascii="Courier New" w:hAnsi="Courier New" w:cs="Times New Roman"/>
                <w:b/>
                <w:i/>
                <w:color w:val="339966"/>
                <w:sz w:val="22"/>
              </w:rPr>
              <w:t>s</w:t>
            </w:r>
          </w:p>
        </w:tc>
        <w:tc>
          <w:tcPr>
            <w:tcW w:w="2961" w:type="pct"/>
            <w:shd w:val="clear" w:color="auto" w:fill="auto"/>
          </w:tcPr>
          <w:p w14:paraId="2944550F" w14:textId="77777777" w:rsidR="00094D24" w:rsidRPr="006F271B" w:rsidRDefault="00094D24" w:rsidP="007B6BA6">
            <w:pPr>
              <w:pStyle w:val="TabletextrowsAgency"/>
            </w:pPr>
          </w:p>
        </w:tc>
      </w:tr>
    </w:tbl>
    <w:p w14:paraId="70D74461" w14:textId="77777777" w:rsidR="00A51632" w:rsidRDefault="00834239" w:rsidP="00E60F63">
      <w:pPr>
        <w:pStyle w:val="BodytextAgency"/>
        <w:rPr>
          <w:rFonts w:ascii="Courier New" w:hAnsi="Courier New" w:cs="Times New Roman"/>
          <w:bCs/>
          <w:i/>
          <w:color w:val="339966"/>
          <w:sz w:val="22"/>
        </w:rPr>
      </w:pPr>
      <w:r w:rsidRPr="006F271B">
        <w:rPr>
          <w:rFonts w:ascii="Courier New" w:hAnsi="Courier New" w:cs="Times New Roman"/>
          <w:i/>
          <w:color w:val="339966"/>
          <w:sz w:val="22"/>
        </w:rPr>
        <w:t>Note to the (Co)</w:t>
      </w:r>
      <w:hyperlink r:id="rId8" w:tgtFrame="_blank" w:tooltip="One of the two members of a committee or working party who leads the evaluation of an application." w:history="1">
        <w:r w:rsidRPr="006F271B">
          <w:rPr>
            <w:rStyle w:val="Hyperlink"/>
            <w:rFonts w:ascii="Courier New" w:hAnsi="Courier New" w:cs="Times New Roman"/>
            <w:i/>
            <w:color w:val="339966"/>
            <w:sz w:val="22"/>
            <w:u w:val="none"/>
          </w:rPr>
          <w:t>Ra</w:t>
        </w:r>
        <w:r w:rsidRPr="006F271B">
          <w:rPr>
            <w:rStyle w:val="Hyperlink"/>
            <w:rFonts w:ascii="Courier New" w:hAnsi="Courier New" w:cs="Times New Roman"/>
            <w:i/>
            <w:color w:val="339966"/>
            <w:sz w:val="22"/>
            <w:u w:val="none"/>
          </w:rPr>
          <w:t>pporteurs</w:t>
        </w:r>
      </w:hyperlink>
      <w:r w:rsidRPr="006F271B">
        <w:rPr>
          <w:rFonts w:ascii="Courier New" w:hAnsi="Courier New" w:cs="Times New Roman"/>
          <w:i/>
          <w:color w:val="339966"/>
          <w:sz w:val="22"/>
        </w:rPr>
        <w:t xml:space="preserve">: Assessment reports and comments should be circulated </w:t>
      </w:r>
      <w:r w:rsidRPr="006F271B">
        <w:rPr>
          <w:rStyle w:val="Strong"/>
          <w:rFonts w:ascii="Courier New" w:hAnsi="Courier New" w:cs="Times New Roman"/>
          <w:b w:val="0"/>
          <w:i/>
          <w:color w:val="339966"/>
          <w:sz w:val="22"/>
        </w:rPr>
        <w:t>VIA EUDRALINK</w:t>
      </w:r>
      <w:r w:rsidRPr="006F271B">
        <w:rPr>
          <w:rFonts w:ascii="Courier New" w:hAnsi="Courier New" w:cs="Times New Roman"/>
          <w:i/>
          <w:color w:val="339966"/>
          <w:sz w:val="22"/>
        </w:rPr>
        <w:t>.</w:t>
      </w:r>
      <w:r w:rsidR="00110A8D">
        <w:rPr>
          <w:rFonts w:ascii="Courier New" w:hAnsi="Courier New" w:cs="Times New Roman"/>
          <w:i/>
          <w:color w:val="339966"/>
          <w:sz w:val="22"/>
        </w:rPr>
        <w:t xml:space="preserve"> </w:t>
      </w:r>
      <w:bookmarkStart w:id="4" w:name="_Hlk57661671"/>
      <w:r w:rsidR="00110A8D" w:rsidRPr="006F271B">
        <w:rPr>
          <w:rFonts w:ascii="Courier New" w:hAnsi="Courier New" w:cs="Times New Roman"/>
          <w:bCs/>
          <w:i/>
          <w:color w:val="339966"/>
          <w:sz w:val="22"/>
        </w:rPr>
        <w:t>Product Shared Mailbox: product.name-xxxx@ema.europa.eu and product initial MAA dedicated mailbox: MAAxxxx@ema.europa.eu (xxxx refers to the product number EMA/H/C/xxxx) should always be copied.</w:t>
      </w:r>
      <w:bookmarkEnd w:id="4"/>
    </w:p>
    <w:p w14:paraId="0D67434A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5" w:name="_Toc120623490"/>
      <w:bookmarkStart w:id="6" w:name="_Hlk126159578"/>
      <w:r w:rsidRPr="00F229E6">
        <w:t>General guidance related to the Co-Rapporteur assessment at Day 95</w:t>
      </w:r>
      <w:bookmarkEnd w:id="5"/>
      <w:r w:rsidRPr="00F229E6">
        <w:t xml:space="preserve"> (note: this does not apply to the assessment of ATMPs and Covid-19 vaccines/therapeutics dossiers for which a full Co-Rapporteur Assessment report is </w:t>
      </w:r>
      <w:r w:rsidRPr="00F229E6">
        <w:t>expected at D80. For such products the guidance referring to the D95 Co-Rapporteur Assessment report should not be taken into consideration.)</w:t>
      </w:r>
    </w:p>
    <w:bookmarkEnd w:id="6"/>
    <w:p w14:paraId="4D8D1FB6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lastRenderedPageBreak/>
        <w:t>The Co-Rapporteur assessment is incorporated within the Rapporteur Overview assessment report, Product Information</w:t>
      </w:r>
      <w:r w:rsidRPr="00F229E6">
        <w:t xml:space="preserve"> and when applicable into the Similarity, New Active Substance Status and Data exclusivity/Marketing Protection ARs. The Co-Rapporteur may introduce their assessment into the Quality, Non-Clinical and Clinical ARs but this is optional.</w:t>
      </w:r>
    </w:p>
    <w:p w14:paraId="3A065AF1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t>For factual data pre</w:t>
      </w:r>
      <w:r w:rsidRPr="00F229E6">
        <w:t xml:space="preserve">pared by the Rapporteur in the D80 AR, the Co-Rapporteur only adds information if additional data are of relevance. In this case, the Co-Rapporteur should insert boxes for its assessment into the relevant section. </w:t>
      </w:r>
    </w:p>
    <w:p w14:paraId="20DB9084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t xml:space="preserve">The Co-Rapporteur should incorporate its </w:t>
      </w:r>
      <w:r w:rsidRPr="00F229E6">
        <w:t>evaluation into the Rapporteur assessment report. Co-Rapporteur statements such as ‘we agree’ or ‘we do not agree’ are not necessary. The Co-Rapporteur’s evaluation is not intended as a peer review of the Rapporteur’s evaluation. The Co-Rapporteur should n</w:t>
      </w:r>
      <w:r w:rsidRPr="00F229E6">
        <w:t xml:space="preserve">ot adapt its evaluation based on the Rapporteur’s evaluation. </w:t>
      </w:r>
    </w:p>
    <w:p w14:paraId="2243DDF0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t xml:space="preserve">The Co-Rapporteur’s assessment is inserted in dedicated pre-inserted boxes. Please use a blue colour to fill-in these boxes to ease reading. Tracked changes or strikethrough of </w:t>
      </w:r>
      <w:r w:rsidRPr="00F229E6">
        <w:t>Rapporteur’s evaluation must not be used.</w:t>
      </w:r>
    </w:p>
    <w:p w14:paraId="20A60CB1" w14:textId="77777777" w:rsidR="00080505" w:rsidRPr="00F229E6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t>Guidance text for Co Rapporteur is in blue italics. You may print a copy of this template with the drafting note, then delete them all in one go:</w:t>
      </w:r>
    </w:p>
    <w:p w14:paraId="1D41A73D" w14:textId="77777777" w:rsidR="00080505" w:rsidRPr="008A1FF9" w:rsidRDefault="00834239" w:rsidP="00F229E6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F229E6">
        <w:t>Click on Ctrl-Alt-Shift-S to view the “styles” window. Select “Draft</w:t>
      </w:r>
      <w:r w:rsidRPr="00F229E6">
        <w:t>ing notes (Agency) blue” and click on the icon on the right, chose “Select all XXX instances”, press the “Delete” key on the keyboard.</w:t>
      </w:r>
      <w:r w:rsidRPr="008A1FF9">
        <w:t xml:space="preserve"> </w:t>
      </w:r>
    </w:p>
    <w:p w14:paraId="7AB986D4" w14:textId="77777777" w:rsidR="00080505" w:rsidRPr="006F271B" w:rsidRDefault="00080505" w:rsidP="00E60F63">
      <w:pPr>
        <w:pStyle w:val="BodytextAgency"/>
        <w:rPr>
          <w:rFonts w:ascii="Courier New" w:hAnsi="Courier New" w:cs="Times New Roman"/>
          <w:i/>
          <w:color w:val="339966"/>
          <w:sz w:val="22"/>
        </w:rPr>
      </w:pPr>
    </w:p>
    <w:p w14:paraId="3A7671A5" w14:textId="77777777" w:rsidR="00080505" w:rsidRDefault="00080505">
      <w:pPr>
        <w:pStyle w:val="No-TOCheadingAgency"/>
      </w:pPr>
    </w:p>
    <w:p w14:paraId="6CF29FE1" w14:textId="77777777" w:rsidR="00274704" w:rsidRPr="00D813B8" w:rsidRDefault="00834239">
      <w:pPr>
        <w:pStyle w:val="No-TOCheadingAgency"/>
      </w:pPr>
      <w:r w:rsidRPr="00D813B8">
        <w:br w:type="page"/>
      </w:r>
      <w:r w:rsidR="00C51DF6" w:rsidRPr="00D813B8">
        <w:lastRenderedPageBreak/>
        <w:t>Table of contents</w:t>
      </w:r>
    </w:p>
    <w:p w14:paraId="32EC6BE2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r w:rsidRPr="00992F63">
        <w:rPr>
          <w:noProof w:val="0"/>
          <w:sz w:val="18"/>
          <w:szCs w:val="18"/>
        </w:rPr>
        <w:fldChar w:fldCharType="begin"/>
      </w:r>
      <w:r w:rsidRPr="006F271B">
        <w:rPr>
          <w:noProof w:val="0"/>
          <w:sz w:val="18"/>
          <w:szCs w:val="18"/>
        </w:rPr>
        <w:instrText xml:space="preserve"> TOC \o "1-3" \h \z </w:instrText>
      </w:r>
      <w:r w:rsidRPr="00992F63">
        <w:rPr>
          <w:b w:val="0"/>
          <w:noProof w:val="0"/>
          <w:sz w:val="18"/>
          <w:szCs w:val="18"/>
        </w:rPr>
        <w:fldChar w:fldCharType="separate"/>
      </w:r>
      <w:hyperlink w:anchor="_Toc73023982" w:history="1">
        <w:r w:rsidRPr="00BA1973">
          <w:rPr>
            <w:rStyle w:val="Hyperlink"/>
          </w:rPr>
          <w:t>Administrative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_Toc7302398</w:instrText>
        </w:r>
        <w:r>
          <w:rPr>
            <w:webHidden/>
          </w:rPr>
          <w:instrText xml:space="preserve">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F37B5E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83" w:history="1">
        <w:r w:rsidR="00A81234" w:rsidRPr="00BA1973">
          <w:rPr>
            <w:rStyle w:val="Hyperlink"/>
          </w:rPr>
          <w:t>Declarations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_Toc73023983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3</w:t>
        </w:r>
        <w:r w:rsidR="00A81234">
          <w:rPr>
            <w:webHidden/>
          </w:rPr>
          <w:fldChar w:fldCharType="end"/>
        </w:r>
      </w:hyperlink>
    </w:p>
    <w:p w14:paraId="41D09CD1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84" w:history="1">
        <w:r w:rsidR="00A81234" w:rsidRPr="00BA1973">
          <w:rPr>
            <w:rStyle w:val="Hyperlink"/>
          </w:rPr>
          <w:t>1. Introduction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_Toc73023984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4</w:t>
        </w:r>
        <w:r w:rsidR="00A81234">
          <w:rPr>
            <w:webHidden/>
          </w:rPr>
          <w:fldChar w:fldCharType="end"/>
        </w:r>
      </w:hyperlink>
    </w:p>
    <w:p w14:paraId="7B1CC554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85" w:history="1">
        <w:r w:rsidR="00A81234" w:rsidRPr="00BA1973">
          <w:rPr>
            <w:rStyle w:val="Hyperlink"/>
          </w:rPr>
          <w:t>2. &lt;Clinical superiority assessment&gt;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_Toc73023985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19CB2BB1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86" w:history="1">
        <w:r w:rsidR="00A81234" w:rsidRPr="00BA1973">
          <w:rPr>
            <w:rStyle w:val="Hyperlink"/>
          </w:rPr>
          <w:t>2.1. Efficacy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_Toc73023986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2257E8AA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87" w:history="1">
        <w:r w:rsidR="00A81234" w:rsidRPr="00BA1973">
          <w:rPr>
            <w:rStyle w:val="Hyperlink"/>
          </w:rPr>
          <w:t>2.2. Safety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_Toc73023987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2185808D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88" w:history="1">
        <w:r w:rsidR="00A81234" w:rsidRPr="00BA1973">
          <w:rPr>
            <w:rStyle w:val="Hyperlink"/>
          </w:rPr>
          <w:t>2.3. Major contribution to diagnosis or patient care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_Toc73023988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19A15CF1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89" w:history="1">
        <w:r w:rsidR="00A81234" w:rsidRPr="00BA1973">
          <w:rPr>
            <w:rStyle w:val="Hyperlink"/>
          </w:rPr>
          <w:t>3. &lt;Assessment on the inability of &lt;applicant/MAH&gt; to supply sufficient quantities of the &lt;name of the authorised orphan product&gt;&gt;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_Toc73023989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5E775A79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90" w:history="1">
        <w:r w:rsidR="00A81234" w:rsidRPr="00BA1973">
          <w:rPr>
            <w:rStyle w:val="Hyperlink"/>
          </w:rPr>
          <w:t>3.1. Outline of supply shortage of the &lt;name of the authorised orphan product&gt;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_Toc73023990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5</w:t>
        </w:r>
        <w:r w:rsidR="00A81234">
          <w:rPr>
            <w:webHidden/>
          </w:rPr>
          <w:fldChar w:fldCharType="end"/>
        </w:r>
      </w:hyperlink>
    </w:p>
    <w:p w14:paraId="23D6B464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91" w:history="1">
        <w:r w:rsidR="00A81234" w:rsidRPr="00BA1973">
          <w:rPr>
            <w:rStyle w:val="Hyperlink"/>
          </w:rPr>
          <w:t>3.2. Demand and supply of the &lt;name of the authorised orphan&gt; in the EEA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_Toc73023991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6</w:t>
        </w:r>
        <w:r w:rsidR="00A81234">
          <w:rPr>
            <w:webHidden/>
          </w:rPr>
          <w:fldChar w:fldCharType="end"/>
        </w:r>
      </w:hyperlink>
    </w:p>
    <w:p w14:paraId="7ED33166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92" w:history="1">
        <w:r w:rsidR="00A81234" w:rsidRPr="00BA1973">
          <w:rPr>
            <w:rStyle w:val="Hyperlink"/>
          </w:rPr>
          <w:t>3.3. Current treatment situation for the orphan condition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_Toc73023992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6</w:t>
        </w:r>
        <w:r w:rsidR="00A81234">
          <w:rPr>
            <w:webHidden/>
          </w:rPr>
          <w:fldChar w:fldCharType="end"/>
        </w:r>
      </w:hyperlink>
    </w:p>
    <w:p w14:paraId="071B046E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93" w:history="1">
        <w:r w:rsidR="00A81234" w:rsidRPr="00BA1973">
          <w:rPr>
            <w:rStyle w:val="Hyperlink"/>
          </w:rPr>
          <w:t>4. Conclusion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_Toc73023993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32859281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94" w:history="1">
        <w:r w:rsidR="00A81234" w:rsidRPr="00BA1973">
          <w:rPr>
            <w:rStyle w:val="Hyperlink"/>
          </w:rPr>
          <w:t>4.1. &lt;Conclusion on clinical superiority&gt;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_Toc73023994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49522E96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3995" w:history="1">
        <w:r w:rsidR="00A81234" w:rsidRPr="00BA1973">
          <w:rPr>
            <w:rStyle w:val="Hyperlink"/>
          </w:rPr>
          <w:t>4.2. &lt;Conclusion on the inability of &lt;applicant/MAH&gt; to supply sufficient quantities of the &lt;name of the authorised orphan product&gt;&gt;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_Toc73023995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70D21485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96" w:history="1">
        <w:r w:rsidR="00A81234" w:rsidRPr="00BA1973">
          <w:rPr>
            <w:rStyle w:val="Hyperlink"/>
          </w:rPr>
          <w:t>5. &lt;List of questions&gt;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_Toc73023996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466A1EF6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97" w:history="1">
        <w:r w:rsidR="00A81234" w:rsidRPr="00BA1973">
          <w:rPr>
            <w:rStyle w:val="Hyperlink"/>
          </w:rPr>
          <w:t>6. &lt;Assessment on the responses to the list of questions&gt;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_Toc73023997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7032ABE4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98" w:history="1">
        <w:r w:rsidR="00A81234" w:rsidRPr="00BA1973">
          <w:rPr>
            <w:rStyle w:val="Hyperlink"/>
          </w:rPr>
          <w:t>7. &lt;Final conclusion&gt;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_Toc73023998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62F93293" w14:textId="77777777" w:rsidR="006F271B" w:rsidRPr="00E95E9C" w:rsidRDefault="00834239">
      <w:pPr>
        <w:pStyle w:val="TOC1"/>
        <w:rPr>
          <w:rFonts w:ascii="Calibri" w:eastAsia="Times New Roman" w:hAnsi="Calibri" w:cs="Times New Roman"/>
          <w:b w:val="0"/>
        </w:rPr>
      </w:pPr>
      <w:hyperlink w:anchor="_Toc73023999" w:history="1">
        <w:r w:rsidR="00A81234" w:rsidRPr="00BA1973">
          <w:rPr>
            <w:rStyle w:val="Hyperlink"/>
          </w:rPr>
          <w:t>8. Attachments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_Toc73023999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0D162F36" w14:textId="77777777" w:rsidR="006F271B" w:rsidRPr="00E95E9C" w:rsidRDefault="00834239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73024000" w:history="1">
        <w:r w:rsidR="00A81234" w:rsidRPr="00BA1973">
          <w:rPr>
            <w:rStyle w:val="Hyperlink"/>
          </w:rPr>
          <w:t>8.1. &lt;CHMP&gt; &lt;CAT&gt; assessment report for &lt;name of the product&gt; on similarity with &lt;name of the authorised orphan product&gt;.</w:t>
        </w:r>
        <w:r w:rsidR="00A81234">
          <w:rPr>
            <w:webHidden/>
          </w:rPr>
          <w:tab/>
        </w:r>
        <w:r w:rsidR="00A81234">
          <w:rPr>
            <w:webHidden/>
          </w:rPr>
          <w:fldChar w:fldCharType="begin"/>
        </w:r>
        <w:r w:rsidR="00A81234">
          <w:rPr>
            <w:webHidden/>
          </w:rPr>
          <w:instrText xml:space="preserve"> PAGEREF _Toc73024000 \h </w:instrText>
        </w:r>
        <w:r w:rsidR="00A81234">
          <w:rPr>
            <w:webHidden/>
          </w:rPr>
        </w:r>
        <w:r w:rsidR="00A81234">
          <w:rPr>
            <w:webHidden/>
          </w:rPr>
          <w:fldChar w:fldCharType="separate"/>
        </w:r>
        <w:r w:rsidR="00A81234">
          <w:rPr>
            <w:webHidden/>
          </w:rPr>
          <w:t>7</w:t>
        </w:r>
        <w:r w:rsidR="00A81234">
          <w:rPr>
            <w:webHidden/>
          </w:rPr>
          <w:fldChar w:fldCharType="end"/>
        </w:r>
      </w:hyperlink>
    </w:p>
    <w:p w14:paraId="271DDD1F" w14:textId="77777777" w:rsidR="00E75AA6" w:rsidRPr="00D813B8" w:rsidRDefault="00834239" w:rsidP="00E75AA6">
      <w:pPr>
        <w:pStyle w:val="BodytextAgency"/>
      </w:pPr>
      <w:r w:rsidRPr="00992F63">
        <w:fldChar w:fldCharType="end"/>
      </w:r>
    </w:p>
    <w:p w14:paraId="3FB8B212" w14:textId="77777777" w:rsidR="00274704" w:rsidRPr="006F271B" w:rsidRDefault="00834239" w:rsidP="006F271B">
      <w:pPr>
        <w:pStyle w:val="NonumHeading1"/>
      </w:pPr>
      <w:r w:rsidRPr="006F271B">
        <w:rPr>
          <w:bCs w:val="0"/>
        </w:rPr>
        <w:br w:type="page"/>
      </w:r>
      <w:bookmarkStart w:id="7" w:name="_Toc73023982"/>
      <w:r w:rsidR="00C51DF6" w:rsidRPr="006F271B">
        <w:rPr>
          <w:bCs w:val="0"/>
        </w:rPr>
        <w:lastRenderedPageBreak/>
        <w:t>Administrative information</w:t>
      </w:r>
      <w:bookmarkEnd w:id="7"/>
    </w:p>
    <w:p w14:paraId="2B944524" w14:textId="77777777" w:rsidR="00274704" w:rsidRPr="006F271B" w:rsidRDefault="00274704" w:rsidP="00E75AA6">
      <w:pPr>
        <w:pStyle w:val="BodytextAgency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5166"/>
      </w:tblGrid>
      <w:tr w:rsidR="00CA2C59" w14:paraId="623ACB96" w14:textId="77777777" w:rsidTr="00E23970">
        <w:tc>
          <w:tcPr>
            <w:tcW w:w="2253" w:type="pct"/>
            <w:shd w:val="clear" w:color="auto" w:fill="auto"/>
          </w:tcPr>
          <w:p w14:paraId="722D3F6E" w14:textId="77777777" w:rsidR="00274704" w:rsidRPr="00D813B8" w:rsidRDefault="00834239" w:rsidP="00C51DF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Name of the medicinal product:</w:t>
            </w:r>
          </w:p>
        </w:tc>
        <w:tc>
          <w:tcPr>
            <w:tcW w:w="2747" w:type="pct"/>
            <w:shd w:val="clear" w:color="auto" w:fill="auto"/>
          </w:tcPr>
          <w:p w14:paraId="4CE7587F" w14:textId="77777777" w:rsidR="00274704" w:rsidRPr="00D813B8" w:rsidRDefault="00274704" w:rsidP="00C51DF6">
            <w:pPr>
              <w:pStyle w:val="TabletextrowsAgency"/>
            </w:pPr>
          </w:p>
        </w:tc>
      </w:tr>
      <w:tr w:rsidR="00CA2C59" w14:paraId="2370A68E" w14:textId="77777777" w:rsidTr="00E23970">
        <w:tc>
          <w:tcPr>
            <w:tcW w:w="2253" w:type="pct"/>
            <w:shd w:val="clear" w:color="auto" w:fill="auto"/>
          </w:tcPr>
          <w:p w14:paraId="04A13654" w14:textId="77777777" w:rsidR="00274704" w:rsidRPr="00D813B8" w:rsidRDefault="00834239" w:rsidP="00C36B75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INN</w:t>
            </w:r>
            <w:r w:rsidR="00C36B75" w:rsidRPr="00D813B8">
              <w:rPr>
                <w:b/>
              </w:rPr>
              <w:t>/Common name</w:t>
            </w:r>
            <w:r w:rsidRPr="00D813B8">
              <w:rPr>
                <w:b/>
              </w:rPr>
              <w:t xml:space="preserve">: </w:t>
            </w:r>
          </w:p>
        </w:tc>
        <w:tc>
          <w:tcPr>
            <w:tcW w:w="2747" w:type="pct"/>
            <w:shd w:val="clear" w:color="auto" w:fill="auto"/>
          </w:tcPr>
          <w:p w14:paraId="37ADD928" w14:textId="77777777" w:rsidR="00274704" w:rsidRPr="006F271B" w:rsidRDefault="00274704" w:rsidP="00C51DF6">
            <w:pPr>
              <w:pStyle w:val="TabletextrowsAgency"/>
              <w:rPr>
                <w:szCs w:val="22"/>
              </w:rPr>
            </w:pPr>
          </w:p>
        </w:tc>
      </w:tr>
      <w:tr w:rsidR="00CA2C59" w14:paraId="3BFF5401" w14:textId="77777777" w:rsidTr="00E23970">
        <w:tc>
          <w:tcPr>
            <w:tcW w:w="2253" w:type="pct"/>
            <w:shd w:val="clear" w:color="auto" w:fill="auto"/>
          </w:tcPr>
          <w:p w14:paraId="33B252F4" w14:textId="77777777" w:rsidR="00274704" w:rsidRPr="00D813B8" w:rsidRDefault="00834239" w:rsidP="00C51DF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Applicant:</w:t>
            </w:r>
          </w:p>
        </w:tc>
        <w:tc>
          <w:tcPr>
            <w:tcW w:w="2747" w:type="pct"/>
            <w:shd w:val="clear" w:color="auto" w:fill="auto"/>
          </w:tcPr>
          <w:p w14:paraId="5B252B69" w14:textId="77777777" w:rsidR="00274704" w:rsidRPr="006F271B" w:rsidRDefault="00274704" w:rsidP="00C51DF6">
            <w:pPr>
              <w:pStyle w:val="TabletextrowsAgency"/>
            </w:pPr>
          </w:p>
        </w:tc>
      </w:tr>
      <w:tr w:rsidR="00CA2C59" w14:paraId="34ABD878" w14:textId="77777777" w:rsidTr="00E23970">
        <w:tc>
          <w:tcPr>
            <w:tcW w:w="2253" w:type="pct"/>
            <w:shd w:val="clear" w:color="auto" w:fill="auto"/>
          </w:tcPr>
          <w:p w14:paraId="4D4683AD" w14:textId="77777777" w:rsidR="00274704" w:rsidRPr="00D813B8" w:rsidRDefault="00834239" w:rsidP="00C36B75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 xml:space="preserve">Applied </w:t>
            </w:r>
            <w:r w:rsidR="00C36B75" w:rsidRPr="00D813B8">
              <w:rPr>
                <w:b/>
              </w:rPr>
              <w:t>therapeutic i</w:t>
            </w:r>
            <w:r w:rsidRPr="00D813B8">
              <w:rPr>
                <w:b/>
              </w:rPr>
              <w:t>ndication</w:t>
            </w:r>
            <w:r w:rsidR="00C36B75" w:rsidRPr="00D813B8">
              <w:rPr>
                <w:b/>
              </w:rPr>
              <w:t>(s):</w:t>
            </w:r>
          </w:p>
        </w:tc>
        <w:tc>
          <w:tcPr>
            <w:tcW w:w="2747" w:type="pct"/>
            <w:shd w:val="clear" w:color="auto" w:fill="auto"/>
          </w:tcPr>
          <w:p w14:paraId="25367178" w14:textId="77777777" w:rsidR="00274704" w:rsidRPr="00D813B8" w:rsidRDefault="00274704" w:rsidP="00C51DF6">
            <w:pPr>
              <w:pStyle w:val="TabletextrowsAgency"/>
            </w:pPr>
          </w:p>
        </w:tc>
      </w:tr>
      <w:tr w:rsidR="00CA2C59" w14:paraId="4546B4CD" w14:textId="77777777" w:rsidTr="00E23970">
        <w:tc>
          <w:tcPr>
            <w:tcW w:w="2253" w:type="pct"/>
            <w:shd w:val="clear" w:color="auto" w:fill="auto"/>
          </w:tcPr>
          <w:p w14:paraId="3F9C3F32" w14:textId="77777777" w:rsidR="00274704" w:rsidRPr="00D813B8" w:rsidRDefault="00834239" w:rsidP="00C36B75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Pharmaco-therapeutic group</w:t>
            </w:r>
            <w:r w:rsidRPr="00D813B8">
              <w:rPr>
                <w:b/>
              </w:rPr>
              <w:br/>
              <w:t>(ATC Code):</w:t>
            </w:r>
          </w:p>
        </w:tc>
        <w:tc>
          <w:tcPr>
            <w:tcW w:w="2747" w:type="pct"/>
            <w:shd w:val="clear" w:color="auto" w:fill="auto"/>
          </w:tcPr>
          <w:p w14:paraId="68314591" w14:textId="77777777" w:rsidR="00274704" w:rsidRPr="006F271B" w:rsidRDefault="00274704" w:rsidP="00C51DF6">
            <w:pPr>
              <w:pStyle w:val="TabletextrowsAgency"/>
            </w:pPr>
          </w:p>
        </w:tc>
      </w:tr>
      <w:tr w:rsidR="00CA2C59" w14:paraId="1E79808C" w14:textId="77777777" w:rsidTr="00E23970">
        <w:tc>
          <w:tcPr>
            <w:tcW w:w="2253" w:type="pct"/>
            <w:shd w:val="clear" w:color="auto" w:fill="auto"/>
          </w:tcPr>
          <w:p w14:paraId="4492F03E" w14:textId="77777777" w:rsidR="00274704" w:rsidRPr="00D813B8" w:rsidRDefault="00834239" w:rsidP="00C51DF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>Pharmaceutical form(s) and strength(s):</w:t>
            </w:r>
          </w:p>
        </w:tc>
        <w:tc>
          <w:tcPr>
            <w:tcW w:w="2747" w:type="pct"/>
            <w:shd w:val="clear" w:color="auto" w:fill="auto"/>
          </w:tcPr>
          <w:p w14:paraId="54175735" w14:textId="77777777" w:rsidR="00274704" w:rsidRPr="00D813B8" w:rsidRDefault="00274704" w:rsidP="00C51DF6">
            <w:pPr>
              <w:pStyle w:val="TabletextrowsAgency"/>
            </w:pPr>
          </w:p>
        </w:tc>
      </w:tr>
      <w:tr w:rsidR="00CA2C59" w14:paraId="14A9C544" w14:textId="77777777" w:rsidTr="00E23970">
        <w:tc>
          <w:tcPr>
            <w:tcW w:w="2253" w:type="pct"/>
            <w:shd w:val="clear" w:color="auto" w:fill="auto"/>
          </w:tcPr>
          <w:p w14:paraId="36452ABD" w14:textId="77777777" w:rsidR="00274704" w:rsidRPr="00110A8D" w:rsidRDefault="00834239" w:rsidP="00C51DF6">
            <w:pPr>
              <w:pStyle w:val="TabletextrowsAgency"/>
              <w:rPr>
                <w:b/>
                <w:lang w:val="fr-FR"/>
              </w:rPr>
            </w:pPr>
            <w:r w:rsidRPr="00110A8D">
              <w:rPr>
                <w:b/>
                <w:lang w:val="fr-FR"/>
              </w:rPr>
              <w:t>&lt;CHMP &gt;&lt;CAT&gt; Rapporteur’s contact person:</w:t>
            </w:r>
          </w:p>
          <w:p w14:paraId="16857120" w14:textId="77777777" w:rsidR="00274704" w:rsidRPr="00110A8D" w:rsidRDefault="00274704" w:rsidP="00C51DF6">
            <w:pPr>
              <w:pStyle w:val="TabletextrowsAgency"/>
              <w:rPr>
                <w:b/>
                <w:lang w:val="fr-FR"/>
              </w:rPr>
            </w:pPr>
          </w:p>
          <w:p w14:paraId="185191A6" w14:textId="77777777" w:rsidR="00274704" w:rsidRPr="00110A8D" w:rsidRDefault="00834239" w:rsidP="00C51DF6">
            <w:pPr>
              <w:pStyle w:val="TabletextrowsAgency"/>
              <w:rPr>
                <w:b/>
                <w:lang w:val="fr-FR"/>
              </w:rPr>
            </w:pPr>
            <w:r w:rsidRPr="00110A8D">
              <w:rPr>
                <w:b/>
                <w:lang w:val="fr-FR"/>
              </w:rPr>
              <w:t>&lt;CHMP&gt;&lt;CAT&gt; Co-Rapporteur’s contact person:</w:t>
            </w:r>
            <w:r w:rsidRPr="006F271B">
              <w:rPr>
                <w:b/>
                <w:lang w:val="fr-FR"/>
              </w:rPr>
              <w:fldChar w:fldCharType="begin"/>
            </w:r>
            <w:r w:rsidRPr="00110A8D">
              <w:rPr>
                <w:b/>
                <w:lang w:val="fr-FR"/>
              </w:rPr>
              <w:instrText xml:space="preserve"> FORMTEXT _</w:instrText>
            </w:r>
            <w:r>
              <w:rPr>
                <w:b/>
                <w:lang w:val="fr-FR"/>
              </w:rPr>
              <w:fldChar w:fldCharType="separate"/>
            </w:r>
            <w:r w:rsidRPr="006F271B">
              <w:rPr>
                <w:b/>
                <w:lang w:val="fr-FR"/>
              </w:rPr>
              <w:fldChar w:fldCharType="end"/>
            </w:r>
            <w:r w:rsidRPr="006F271B">
              <w:rPr>
                <w:b/>
                <w:lang w:val="fr-FR"/>
              </w:rPr>
              <w:fldChar w:fldCharType="begin"/>
            </w:r>
            <w:r w:rsidRPr="00110A8D">
              <w:rPr>
                <w:b/>
                <w:lang w:val="fr-FR"/>
              </w:rPr>
              <w:instrText xml:space="preserve"> FORMTEXT _</w:instrText>
            </w:r>
            <w:r>
              <w:rPr>
                <w:b/>
                <w:lang w:val="fr-FR"/>
              </w:rPr>
              <w:fldChar w:fldCharType="separate"/>
            </w:r>
            <w:r w:rsidRPr="006F271B">
              <w:rPr>
                <w:b/>
                <w:lang w:val="fr-FR"/>
              </w:rPr>
              <w:fldChar w:fldCharType="end"/>
            </w:r>
          </w:p>
          <w:p w14:paraId="0C4D498D" w14:textId="77777777" w:rsidR="00274704" w:rsidRDefault="00274704" w:rsidP="00C51DF6">
            <w:pPr>
              <w:pStyle w:val="TabletextrowsAgency"/>
              <w:rPr>
                <w:b/>
                <w:lang w:val="fr-FR"/>
              </w:rPr>
            </w:pPr>
          </w:p>
          <w:p w14:paraId="0C0B5B33" w14:textId="77777777" w:rsidR="00DE4423" w:rsidRDefault="00DE4423" w:rsidP="00C51DF6">
            <w:pPr>
              <w:pStyle w:val="TabletextrowsAgency"/>
              <w:rPr>
                <w:b/>
                <w:lang w:val="fr-FR"/>
              </w:rPr>
            </w:pPr>
          </w:p>
          <w:p w14:paraId="2AB6771D" w14:textId="77777777" w:rsidR="00110A8D" w:rsidRPr="00E53F8B" w:rsidRDefault="00834239" w:rsidP="00110A8D">
            <w:pPr>
              <w:pStyle w:val="NormalAgency"/>
              <w:rPr>
                <w:rStyle w:val="DraftingNotesAgencyChar"/>
              </w:rPr>
            </w:pPr>
            <w:r w:rsidRPr="00E53F8B">
              <w:rPr>
                <w:rStyle w:val="DraftingNotesAgencyChar"/>
              </w:rPr>
              <w:t>For CAT procedures:</w:t>
            </w:r>
          </w:p>
          <w:p w14:paraId="3504673B" w14:textId="77777777" w:rsidR="00274704" w:rsidRDefault="00834239" w:rsidP="00110A8D">
            <w:pPr>
              <w:pStyle w:val="TabletextrowsAgency"/>
              <w:rPr>
                <w:b/>
              </w:rPr>
            </w:pPr>
            <w:r>
              <w:rPr>
                <w:b/>
              </w:rPr>
              <w:t>&lt;</w:t>
            </w:r>
            <w:r w:rsidRPr="00E53F8B">
              <w:rPr>
                <w:b/>
              </w:rPr>
              <w:t>CHMP Coordinator(s)</w:t>
            </w:r>
            <w:r w:rsidRPr="00A96197">
              <w:rPr>
                <w:b/>
              </w:rPr>
              <w:t>&gt;</w:t>
            </w:r>
          </w:p>
          <w:p w14:paraId="04F91828" w14:textId="77777777" w:rsidR="00110A8D" w:rsidRDefault="00110A8D" w:rsidP="00110A8D">
            <w:pPr>
              <w:pStyle w:val="TabletextrowsAgency"/>
              <w:rPr>
                <w:b/>
              </w:rPr>
            </w:pPr>
          </w:p>
          <w:p w14:paraId="63206236" w14:textId="77777777" w:rsidR="00DE4423" w:rsidRDefault="00DE4423" w:rsidP="00110A8D">
            <w:pPr>
              <w:pStyle w:val="TabletextrowsAgency"/>
              <w:rPr>
                <w:b/>
              </w:rPr>
            </w:pPr>
          </w:p>
          <w:p w14:paraId="6C64ADD9" w14:textId="77777777" w:rsidR="00274704" w:rsidRPr="006F271B" w:rsidRDefault="00834239" w:rsidP="00C51DF6">
            <w:pPr>
              <w:pStyle w:val="TabletextrowsAgency"/>
              <w:rPr>
                <w:b/>
              </w:rPr>
            </w:pPr>
            <w:r w:rsidRPr="006F271B">
              <w:rPr>
                <w:b/>
              </w:rPr>
              <w:t xml:space="preserve">EMA </w:t>
            </w:r>
            <w:r w:rsidRPr="006F271B">
              <w:rPr>
                <w:b/>
              </w:rPr>
              <w:t>Product Lead:</w:t>
            </w:r>
          </w:p>
        </w:tc>
        <w:tc>
          <w:tcPr>
            <w:tcW w:w="2747" w:type="pct"/>
            <w:shd w:val="clear" w:color="auto" w:fill="auto"/>
          </w:tcPr>
          <w:p w14:paraId="6D6E3DD0" w14:textId="77777777" w:rsidR="00094D24" w:rsidRPr="00D813B8" w:rsidRDefault="00834239" w:rsidP="00094D24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394648A1" w14:textId="77777777" w:rsidR="00094D24" w:rsidRPr="00D813B8" w:rsidRDefault="00834239" w:rsidP="00094D24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585D09E6" w14:textId="77777777" w:rsidR="00274704" w:rsidRPr="00D813B8" w:rsidRDefault="00834239" w:rsidP="00094D24">
            <w:pPr>
              <w:pStyle w:val="TabletextrowsAgency"/>
            </w:pPr>
            <w:r w:rsidRPr="00D813B8">
              <w:t>Email:</w:t>
            </w:r>
          </w:p>
          <w:p w14:paraId="0451AC5A" w14:textId="77777777" w:rsidR="00094D24" w:rsidRPr="00D813B8" w:rsidRDefault="00094D24" w:rsidP="00094D24">
            <w:pPr>
              <w:pStyle w:val="TabletextrowsAgency"/>
              <w:rPr>
                <w:bCs/>
              </w:rPr>
            </w:pPr>
          </w:p>
          <w:p w14:paraId="4C4DAC78" w14:textId="77777777" w:rsidR="00094D24" w:rsidRPr="00D813B8" w:rsidRDefault="00834239" w:rsidP="00094D24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5ADE6523" w14:textId="77777777" w:rsidR="00094D24" w:rsidRPr="00D813B8" w:rsidRDefault="00834239" w:rsidP="00094D24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20DADEFC" w14:textId="77777777" w:rsidR="00094D24" w:rsidRDefault="00834239" w:rsidP="00094D24">
            <w:pPr>
              <w:pStyle w:val="TabletextrowsAgency"/>
            </w:pPr>
            <w:r w:rsidRPr="00D813B8">
              <w:t>Email:</w:t>
            </w:r>
          </w:p>
          <w:p w14:paraId="07A93946" w14:textId="77777777" w:rsidR="00110A8D" w:rsidRDefault="00110A8D" w:rsidP="00094D24">
            <w:pPr>
              <w:pStyle w:val="TabletextrowsAgency"/>
              <w:rPr>
                <w:bCs/>
              </w:rPr>
            </w:pPr>
          </w:p>
          <w:p w14:paraId="0206F01A" w14:textId="77777777" w:rsidR="00110A8D" w:rsidRPr="00D813B8" w:rsidRDefault="00834239" w:rsidP="00110A8D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5F35B55D" w14:textId="77777777" w:rsidR="00110A8D" w:rsidRPr="00D813B8" w:rsidRDefault="00834239" w:rsidP="00110A8D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2A7B992A" w14:textId="77777777" w:rsidR="00110A8D" w:rsidRDefault="00834239" w:rsidP="00110A8D">
            <w:pPr>
              <w:pStyle w:val="TabletextrowsAgency"/>
            </w:pPr>
            <w:r w:rsidRPr="00D813B8">
              <w:t>Email:</w:t>
            </w:r>
          </w:p>
          <w:p w14:paraId="62AFABB5" w14:textId="77777777" w:rsidR="00110A8D" w:rsidRDefault="00110A8D" w:rsidP="00110A8D">
            <w:pPr>
              <w:pStyle w:val="TabletextrowsAgency"/>
              <w:rPr>
                <w:bCs/>
              </w:rPr>
            </w:pPr>
          </w:p>
          <w:p w14:paraId="085B3B97" w14:textId="77777777" w:rsidR="00110A8D" w:rsidRPr="00D813B8" w:rsidRDefault="00834239" w:rsidP="00110A8D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2F09B47F" w14:textId="77777777" w:rsidR="00110A8D" w:rsidRPr="00D813B8" w:rsidRDefault="00834239" w:rsidP="00110A8D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225E3F29" w14:textId="77777777" w:rsidR="00110A8D" w:rsidRPr="00D813B8" w:rsidRDefault="00834239" w:rsidP="00110A8D">
            <w:pPr>
              <w:pStyle w:val="TabletextrowsAgency"/>
              <w:rPr>
                <w:bCs/>
              </w:rPr>
            </w:pPr>
            <w:r w:rsidRPr="00D813B8">
              <w:t>Email:</w:t>
            </w:r>
          </w:p>
        </w:tc>
      </w:tr>
      <w:tr w:rsidR="00CA2C59" w14:paraId="013D5AFB" w14:textId="77777777" w:rsidTr="00E23970">
        <w:trPr>
          <w:trHeight w:val="1634"/>
        </w:trPr>
        <w:tc>
          <w:tcPr>
            <w:tcW w:w="2253" w:type="pct"/>
            <w:shd w:val="clear" w:color="auto" w:fill="auto"/>
          </w:tcPr>
          <w:p w14:paraId="50016C1D" w14:textId="77777777" w:rsidR="00274704" w:rsidRPr="00D813B8" w:rsidRDefault="00834239" w:rsidP="00C51DF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 xml:space="preserve">Names of the </w:t>
            </w:r>
            <w:r w:rsidR="007B6BA6" w:rsidRPr="00D813B8">
              <w:rPr>
                <w:b/>
              </w:rPr>
              <w:t xml:space="preserve">&lt;CHMP&gt;&lt;CAT&gt; </w:t>
            </w:r>
            <w:r w:rsidRPr="00D813B8">
              <w:rPr>
                <w:b/>
              </w:rPr>
              <w:t>Rapporteur´s assessors:</w:t>
            </w:r>
          </w:p>
          <w:p w14:paraId="619D6708" w14:textId="77777777" w:rsidR="00274704" w:rsidRPr="00D813B8" w:rsidRDefault="00274704" w:rsidP="00C51DF6">
            <w:pPr>
              <w:pStyle w:val="TabletextrowsAgency"/>
              <w:rPr>
                <w:b/>
              </w:rPr>
            </w:pPr>
          </w:p>
          <w:p w14:paraId="6E867738" w14:textId="77777777" w:rsidR="00274704" w:rsidRPr="00D813B8" w:rsidRDefault="00274704" w:rsidP="00C51DF6">
            <w:pPr>
              <w:pStyle w:val="TabletextrowsAgency"/>
              <w:rPr>
                <w:b/>
              </w:rPr>
            </w:pPr>
          </w:p>
          <w:p w14:paraId="37988CF7" w14:textId="77777777" w:rsidR="00274704" w:rsidRPr="00D813B8" w:rsidRDefault="00834239" w:rsidP="00C51DF6">
            <w:pPr>
              <w:pStyle w:val="TabletextrowsAgency"/>
              <w:rPr>
                <w:b/>
              </w:rPr>
            </w:pPr>
            <w:r w:rsidRPr="00D813B8">
              <w:rPr>
                <w:b/>
              </w:rPr>
              <w:t xml:space="preserve">Names of the </w:t>
            </w:r>
            <w:r w:rsidR="007B6BA6" w:rsidRPr="00D813B8">
              <w:rPr>
                <w:b/>
              </w:rPr>
              <w:t xml:space="preserve">&lt;CHMP&gt;&lt;CAT&gt; </w:t>
            </w:r>
            <w:r w:rsidRPr="00D813B8">
              <w:rPr>
                <w:b/>
              </w:rPr>
              <w:t>Co-Rapporteur´s assessors:</w:t>
            </w:r>
          </w:p>
        </w:tc>
        <w:tc>
          <w:tcPr>
            <w:tcW w:w="2747" w:type="pct"/>
            <w:shd w:val="clear" w:color="auto" w:fill="auto"/>
          </w:tcPr>
          <w:p w14:paraId="7264AFAD" w14:textId="77777777" w:rsidR="00094D24" w:rsidRPr="00D813B8" w:rsidRDefault="00834239" w:rsidP="00094D24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1BB478C9" w14:textId="77777777" w:rsidR="00094D24" w:rsidRPr="00D813B8" w:rsidRDefault="00834239" w:rsidP="00094D24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758A7116" w14:textId="77777777" w:rsidR="00274704" w:rsidRPr="00D813B8" w:rsidRDefault="00834239" w:rsidP="00094D24">
            <w:pPr>
              <w:pStyle w:val="TabletextrowsAgency"/>
            </w:pPr>
            <w:r w:rsidRPr="00D813B8">
              <w:t>Email:</w:t>
            </w:r>
          </w:p>
          <w:p w14:paraId="5B21506D" w14:textId="77777777" w:rsidR="00094D24" w:rsidRPr="00D813B8" w:rsidRDefault="00094D24" w:rsidP="00094D24">
            <w:pPr>
              <w:pStyle w:val="TabletextrowsAgency"/>
            </w:pPr>
          </w:p>
          <w:p w14:paraId="2817541E" w14:textId="77777777" w:rsidR="00094D24" w:rsidRPr="00D813B8" w:rsidRDefault="00094D24" w:rsidP="00094D24">
            <w:pPr>
              <w:pStyle w:val="TabletextrowsAgency"/>
            </w:pPr>
          </w:p>
          <w:p w14:paraId="2202D9AB" w14:textId="77777777" w:rsidR="00094D24" w:rsidRPr="00D813B8" w:rsidRDefault="00834239" w:rsidP="00094D24">
            <w:pPr>
              <w:pStyle w:val="NormalAgency"/>
              <w:rPr>
                <w:b/>
              </w:rPr>
            </w:pPr>
            <w:r w:rsidRPr="00D813B8">
              <w:rPr>
                <w:b/>
              </w:rPr>
              <w:t>Name:</w:t>
            </w:r>
          </w:p>
          <w:p w14:paraId="626535A2" w14:textId="77777777" w:rsidR="00094D24" w:rsidRPr="00D813B8" w:rsidRDefault="00834239" w:rsidP="00094D24">
            <w:pPr>
              <w:pStyle w:val="NormalAgency"/>
            </w:pPr>
            <w:r w:rsidRPr="00D813B8">
              <w:t>Tel:</w:t>
            </w:r>
            <w:r w:rsidRPr="00D813B8">
              <w:tab/>
              <w:t xml:space="preserve"> </w:t>
            </w:r>
          </w:p>
          <w:p w14:paraId="5FC770C0" w14:textId="77777777" w:rsidR="00094D24" w:rsidRPr="00D813B8" w:rsidRDefault="00834239" w:rsidP="00094D24">
            <w:pPr>
              <w:pStyle w:val="TabletextrowsAgency"/>
            </w:pPr>
            <w:r w:rsidRPr="00D813B8">
              <w:t>Email:</w:t>
            </w:r>
          </w:p>
        </w:tc>
      </w:tr>
    </w:tbl>
    <w:p w14:paraId="29D811DF" w14:textId="77777777" w:rsidR="00274704" w:rsidRPr="00D813B8" w:rsidRDefault="00274704" w:rsidP="00E75AA6">
      <w:pPr>
        <w:pStyle w:val="BodytextAgency"/>
      </w:pPr>
    </w:p>
    <w:p w14:paraId="613264D0" w14:textId="77777777" w:rsidR="0075649C" w:rsidRDefault="00834239" w:rsidP="006F271B">
      <w:pPr>
        <w:pStyle w:val="Heading2Agency"/>
        <w:numPr>
          <w:ilvl w:val="0"/>
          <w:numId w:val="0"/>
        </w:numPr>
      </w:pPr>
      <w:bookmarkStart w:id="8" w:name="_Toc73023983"/>
      <w:r w:rsidRPr="007200B2">
        <w:t>Declarations</w:t>
      </w:r>
      <w:bookmarkEnd w:id="8"/>
    </w:p>
    <w:p w14:paraId="65526BDF" w14:textId="77777777" w:rsidR="00080505" w:rsidRPr="00080505" w:rsidRDefault="00834239" w:rsidP="00080505">
      <w:pPr>
        <w:pStyle w:val="BodytextAgency"/>
        <w:rPr>
          <w:b/>
          <w:bCs/>
        </w:rPr>
      </w:pPr>
      <w:r w:rsidRPr="00080505">
        <w:rPr>
          <w:b/>
          <w:bCs/>
        </w:rPr>
        <w:t>Rapporteur</w:t>
      </w:r>
    </w:p>
    <w:p w14:paraId="2601262D" w14:textId="77777777" w:rsidR="003F3713" w:rsidRDefault="00834239" w:rsidP="003F3713">
      <w:pPr>
        <w:pStyle w:val="BodytextAgency"/>
        <w:rPr>
          <w:rFonts w:ascii="Calibri" w:hAnsi="Calibri" w:cs="Calibri"/>
          <w:snapToGrid w:val="0"/>
          <w:sz w:val="22"/>
          <w:szCs w:val="22"/>
          <w:lang w:eastAsia="en-US"/>
        </w:rPr>
      </w:pPr>
      <w:r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napToGrid w:val="0"/>
        </w:rPr>
        <w:t xml:space="preserve">The assessor confirms that this assessment does </w:t>
      </w:r>
      <w:r>
        <w:rPr>
          <w:b/>
          <w:bCs/>
          <w:snapToGrid w:val="0"/>
        </w:rPr>
        <w:t>not</w:t>
      </w:r>
      <w:r>
        <w:rPr>
          <w:snapToGrid w:val="0"/>
        </w:rPr>
        <w:t xml:space="preserve"> include non-public information, including commercially confidential information (eg. ASMF, information shared by other competent authorities or </w:t>
      </w:r>
      <w:r>
        <w:rPr>
          <w:snapToGrid w:val="0"/>
        </w:rPr>
        <w:t xml:space="preserve">organisations, reference to on-going assessments or development plans etc), irrespective from which entity was received*. </w:t>
      </w:r>
    </w:p>
    <w:p w14:paraId="15224FDC" w14:textId="77777777" w:rsidR="0075649C" w:rsidRPr="003F3713" w:rsidRDefault="00834239" w:rsidP="003F3713">
      <w:pPr>
        <w:pStyle w:val="BodytextAgency"/>
        <w:rPr>
          <w:i/>
          <w:iCs/>
        </w:rPr>
      </w:pPr>
      <w:r>
        <w:rPr>
          <w:i/>
          <w:iCs/>
          <w:snapToGrid w:val="0"/>
        </w:rPr>
        <w:t>*If the entity from which non-public information originates has consented to its further disclosure, the box should be ticked and the</w:t>
      </w:r>
      <w:r>
        <w:rPr>
          <w:i/>
          <w:iCs/>
          <w:snapToGrid w:val="0"/>
        </w:rPr>
        <w:t xml:space="preserve">re </w:t>
      </w:r>
      <w:r>
        <w:rPr>
          <w:snapToGrid w:val="0"/>
        </w:rPr>
        <w:t>would</w:t>
      </w:r>
      <w:r>
        <w:rPr>
          <w:i/>
          <w:iCs/>
          <w:snapToGrid w:val="0"/>
        </w:rPr>
        <w:t xml:space="preserve"> be no need to add details below.</w:t>
      </w:r>
    </w:p>
    <w:p w14:paraId="605E77A6" w14:textId="77777777" w:rsidR="0075649C" w:rsidRPr="00D813B8" w:rsidRDefault="00834239" w:rsidP="00345188">
      <w:pPr>
        <w:pStyle w:val="BodytextAgency"/>
      </w:pPr>
      <w:r w:rsidRPr="00D813B8">
        <w:t>Whenever</w:t>
      </w:r>
      <w:r w:rsidR="00D813B8" w:rsidRPr="00D813B8">
        <w:t xml:space="preserve"> </w:t>
      </w:r>
      <w:r w:rsidRPr="00D813B8">
        <w:t xml:space="preserve">the above box is </w:t>
      </w:r>
      <w:r w:rsidR="00110A8D">
        <w:t>un-</w:t>
      </w:r>
      <w:r w:rsidRPr="00D813B8">
        <w:t xml:space="preserve">ticked please indicate section and page where confidential information is located here: </w:t>
      </w:r>
    </w:p>
    <w:p w14:paraId="2320F525" w14:textId="77777777" w:rsidR="00522A1A" w:rsidRPr="00D813B8" w:rsidRDefault="00522A1A" w:rsidP="00522A1A">
      <w:pPr>
        <w:pStyle w:val="DraftingNotesAgency"/>
      </w:pPr>
    </w:p>
    <w:p w14:paraId="42695E1D" w14:textId="77777777" w:rsidR="00080505" w:rsidRPr="0004345C" w:rsidRDefault="00834239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04345C">
        <w:rPr>
          <w:b/>
          <w:bCs/>
        </w:rPr>
        <w:t>Co-Rapporteur</w:t>
      </w:r>
    </w:p>
    <w:p w14:paraId="5F4C57EC" w14:textId="77777777" w:rsidR="00080505" w:rsidRPr="00080505" w:rsidRDefault="00834239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napToGrid w:val="0"/>
          <w:sz w:val="22"/>
          <w:szCs w:val="22"/>
          <w:lang w:eastAsia="en-US"/>
        </w:rPr>
      </w:pPr>
      <w:r w:rsidRPr="00080505"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80505">
        <w:instrText xml:space="preserve"> FORMCHECKBOX </w:instrText>
      </w:r>
      <w:r>
        <w:fldChar w:fldCharType="separate"/>
      </w:r>
      <w:r w:rsidRPr="00080505">
        <w:fldChar w:fldCharType="end"/>
      </w:r>
      <w:r w:rsidRPr="00080505">
        <w:t xml:space="preserve"> </w:t>
      </w:r>
      <w:r w:rsidRPr="00080505">
        <w:rPr>
          <w:snapToGrid w:val="0"/>
        </w:rPr>
        <w:t xml:space="preserve">The </w:t>
      </w:r>
      <w:r w:rsidRPr="00080505">
        <w:rPr>
          <w:snapToGrid w:val="0"/>
        </w:rPr>
        <w:t xml:space="preserve">assessor confirms that this assessment does not include non-public information, including commercially confidential information (eg. ASMF, information shared by other competent authorities or organisations, reference to on-going assessments or development </w:t>
      </w:r>
      <w:r w:rsidRPr="00080505">
        <w:rPr>
          <w:snapToGrid w:val="0"/>
        </w:rPr>
        <w:t xml:space="preserve">plans etc), irrespective from which entity was received*. </w:t>
      </w:r>
    </w:p>
    <w:p w14:paraId="0ED5ED53" w14:textId="77777777" w:rsidR="00080505" w:rsidRPr="00080505" w:rsidRDefault="00834239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iCs/>
        </w:rPr>
      </w:pPr>
      <w:r w:rsidRPr="00080505">
        <w:rPr>
          <w:i/>
          <w:iCs/>
          <w:snapToGrid w:val="0"/>
        </w:rPr>
        <w:t xml:space="preserve">*If the entity from which non-public information originates has consented to its further disclosure, the box should be ticked and there </w:t>
      </w:r>
      <w:r w:rsidRPr="00080505">
        <w:rPr>
          <w:snapToGrid w:val="0"/>
        </w:rPr>
        <w:t>would</w:t>
      </w:r>
      <w:r w:rsidRPr="00080505">
        <w:rPr>
          <w:i/>
          <w:iCs/>
          <w:snapToGrid w:val="0"/>
        </w:rPr>
        <w:t xml:space="preserve"> be no need to add details below.</w:t>
      </w:r>
    </w:p>
    <w:p w14:paraId="3FFE54E8" w14:textId="77777777" w:rsidR="00080505" w:rsidRDefault="00834239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080505">
        <w:t xml:space="preserve">Whenever the above box is un-ticked please indicate section and page where confidential information is located here: </w:t>
      </w:r>
    </w:p>
    <w:p w14:paraId="1B0C1443" w14:textId="77777777" w:rsidR="00714218" w:rsidRDefault="00714218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97208DC" w14:textId="77777777" w:rsidR="00714218" w:rsidRPr="00080505" w:rsidRDefault="00714218" w:rsidP="00F229E6">
      <w:pPr>
        <w:pStyle w:val="Bodytext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6CAB470" w14:textId="77777777" w:rsidR="00522A1A" w:rsidRPr="00D813B8" w:rsidRDefault="00522A1A" w:rsidP="005311FC">
      <w:pPr>
        <w:pStyle w:val="BodytextAgency"/>
        <w:sectPr w:rsidR="00522A1A" w:rsidRPr="00D813B8" w:rsidSect="00150A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1247" w:bottom="1418" w:left="1247" w:header="284" w:footer="680" w:gutter="0"/>
          <w:cols w:space="720"/>
          <w:titlePg/>
          <w:docGrid w:linePitch="245"/>
        </w:sectPr>
      </w:pPr>
    </w:p>
    <w:p w14:paraId="097928B3" w14:textId="77777777" w:rsidR="00274704" w:rsidRPr="00D813B8" w:rsidRDefault="00834239" w:rsidP="00C93B43">
      <w:pPr>
        <w:pStyle w:val="Heading1Agency"/>
      </w:pPr>
      <w:bookmarkStart w:id="9" w:name="_Toc113414081"/>
      <w:bookmarkStart w:id="10" w:name="_Toc73023984"/>
      <w:r w:rsidRPr="00D813B8">
        <w:lastRenderedPageBreak/>
        <w:t>Introduction</w:t>
      </w:r>
      <w:bookmarkEnd w:id="9"/>
      <w:bookmarkEnd w:id="10"/>
    </w:p>
    <w:p w14:paraId="081AFFBF" w14:textId="77777777" w:rsidR="00274704" w:rsidRPr="00D813B8" w:rsidRDefault="00834239" w:rsidP="00C5497C">
      <w:pPr>
        <w:pStyle w:val="BodytextAgency"/>
      </w:pPr>
      <w:r w:rsidRPr="00D813B8">
        <w:rPr>
          <w:rFonts w:eastAsia="SimSun"/>
          <w:lang w:eastAsia="zh-CN"/>
        </w:rPr>
        <w:t xml:space="preserve">On </w:t>
      </w:r>
      <w:r w:rsidR="00C93B43" w:rsidRPr="00D813B8">
        <w:rPr>
          <w:rFonts w:eastAsia="SimSun"/>
          <w:lang w:eastAsia="zh-CN"/>
        </w:rPr>
        <w:t>&lt;</w:t>
      </w:r>
      <w:r w:rsidRPr="00D813B8">
        <w:rPr>
          <w:rFonts w:eastAsia="SimSun"/>
          <w:lang w:eastAsia="zh-CN"/>
        </w:rPr>
        <w:t>date</w:t>
      </w:r>
      <w:r w:rsidR="00C93B43" w:rsidRPr="00D813B8">
        <w:rPr>
          <w:rFonts w:eastAsia="SimSun"/>
          <w:lang w:eastAsia="zh-CN"/>
        </w:rPr>
        <w:t>&gt;</w:t>
      </w:r>
      <w:r w:rsidRPr="00D813B8">
        <w:rPr>
          <w:rFonts w:eastAsia="SimSun"/>
          <w:lang w:eastAsia="zh-CN"/>
        </w:rPr>
        <w:t xml:space="preserve"> the </w:t>
      </w:r>
      <w:r w:rsidR="00D27F16" w:rsidRPr="00D813B8">
        <w:rPr>
          <w:rFonts w:eastAsia="SimSun"/>
          <w:lang w:eastAsia="zh-CN"/>
        </w:rPr>
        <w:t>&lt;rapporteur</w:t>
      </w:r>
      <w:r w:rsidR="00070EC0" w:rsidRPr="00D813B8">
        <w:rPr>
          <w:rFonts w:eastAsia="SimSun"/>
          <w:lang w:eastAsia="zh-CN"/>
        </w:rPr>
        <w:t>s</w:t>
      </w:r>
      <w:r w:rsidR="00D27F16" w:rsidRPr="00D813B8">
        <w:rPr>
          <w:rFonts w:eastAsia="SimSun"/>
          <w:lang w:eastAsia="zh-CN"/>
        </w:rPr>
        <w:t>&gt;&lt;</w:t>
      </w:r>
      <w:r w:rsidRPr="00D813B8">
        <w:rPr>
          <w:rFonts w:eastAsia="SimSun"/>
          <w:lang w:eastAsia="zh-CN"/>
        </w:rPr>
        <w:t>CHMP</w:t>
      </w:r>
      <w:r w:rsidR="00D27F16" w:rsidRPr="00D813B8">
        <w:rPr>
          <w:rFonts w:eastAsia="SimSun"/>
          <w:lang w:eastAsia="zh-CN"/>
        </w:rPr>
        <w:t>&gt;</w:t>
      </w:r>
      <w:r w:rsidRPr="00D813B8">
        <w:rPr>
          <w:rFonts w:eastAsia="SimSun"/>
          <w:lang w:eastAsia="zh-CN"/>
        </w:rPr>
        <w:t xml:space="preserve"> </w:t>
      </w:r>
      <w:r w:rsidR="00100AC0" w:rsidRPr="00D813B8">
        <w:rPr>
          <w:rFonts w:eastAsia="SimSun"/>
          <w:lang w:eastAsia="zh-CN"/>
        </w:rPr>
        <w:t xml:space="preserve">&lt;CAT&gt; </w:t>
      </w:r>
      <w:r w:rsidRPr="00D813B8">
        <w:rPr>
          <w:rFonts w:eastAsia="SimSun"/>
          <w:lang w:eastAsia="zh-CN"/>
        </w:rPr>
        <w:t>concluded that th</w:t>
      </w:r>
      <w:r w:rsidR="00C93B43" w:rsidRPr="00D813B8">
        <w:rPr>
          <w:rFonts w:eastAsia="SimSun"/>
          <w:lang w:eastAsia="zh-CN"/>
        </w:rPr>
        <w:t>e medicinal products &lt;name of product&gt; (</w:t>
      </w:r>
      <w:r w:rsidRPr="00D813B8">
        <w:rPr>
          <w:rFonts w:eastAsia="SimSun"/>
          <w:lang w:eastAsia="zh-CN"/>
        </w:rPr>
        <w:t>INN of the product</w:t>
      </w:r>
      <w:r w:rsidR="00C93B43" w:rsidRPr="00D813B8">
        <w:rPr>
          <w:rFonts w:eastAsia="SimSun"/>
          <w:lang w:eastAsia="zh-CN"/>
        </w:rPr>
        <w:t>)</w:t>
      </w:r>
      <w:r w:rsidRPr="00D813B8">
        <w:rPr>
          <w:rFonts w:eastAsia="SimSun"/>
          <w:lang w:eastAsia="zh-CN"/>
        </w:rPr>
        <w:t xml:space="preserve"> and </w:t>
      </w:r>
      <w:r w:rsidR="00C93B43" w:rsidRPr="00D813B8">
        <w:rPr>
          <w:rFonts w:eastAsia="SimSun"/>
          <w:lang w:eastAsia="zh-CN"/>
        </w:rPr>
        <w:t xml:space="preserve">&lt;name of </w:t>
      </w:r>
      <w:r w:rsidR="00351A41" w:rsidRPr="00D813B8">
        <w:rPr>
          <w:rFonts w:eastAsia="SimSun"/>
          <w:lang w:eastAsia="zh-CN"/>
        </w:rPr>
        <w:t xml:space="preserve">the authorised orphan </w:t>
      </w:r>
      <w:r w:rsidRPr="00D813B8">
        <w:rPr>
          <w:rFonts w:eastAsia="SimSun"/>
          <w:lang w:eastAsia="zh-CN"/>
        </w:rPr>
        <w:t>product</w:t>
      </w:r>
      <w:r w:rsidR="00C93B43" w:rsidRPr="00D813B8">
        <w:rPr>
          <w:rFonts w:eastAsia="SimSun"/>
          <w:lang w:eastAsia="zh-CN"/>
        </w:rPr>
        <w:t>&gt;</w:t>
      </w:r>
      <w:r w:rsidRPr="00D813B8">
        <w:rPr>
          <w:rFonts w:eastAsia="SimSun"/>
          <w:lang w:eastAsia="zh-CN"/>
        </w:rPr>
        <w:t xml:space="preserve"> </w:t>
      </w:r>
      <w:r w:rsidR="00C93B43" w:rsidRPr="00D813B8">
        <w:rPr>
          <w:rFonts w:eastAsia="SimSun"/>
          <w:lang w:eastAsia="zh-CN"/>
        </w:rPr>
        <w:t>(</w:t>
      </w:r>
      <w:r w:rsidRPr="00D813B8">
        <w:rPr>
          <w:rFonts w:eastAsia="SimSun"/>
          <w:lang w:eastAsia="zh-CN"/>
        </w:rPr>
        <w:t>INN of authorised product</w:t>
      </w:r>
      <w:r w:rsidR="00C93B43" w:rsidRPr="00D813B8">
        <w:rPr>
          <w:rFonts w:eastAsia="SimSun"/>
          <w:lang w:eastAsia="zh-CN"/>
        </w:rPr>
        <w:t>)</w:t>
      </w:r>
      <w:r w:rsidRPr="00D813B8">
        <w:rPr>
          <w:rFonts w:eastAsia="SimSun"/>
          <w:lang w:eastAsia="zh-CN"/>
        </w:rPr>
        <w:t xml:space="preserve"> are similar as defined in Art</w:t>
      </w:r>
      <w:r w:rsidR="00F97D44">
        <w:rPr>
          <w:rFonts w:eastAsia="SimSun"/>
          <w:lang w:eastAsia="zh-CN"/>
        </w:rPr>
        <w:t xml:space="preserve">icle </w:t>
      </w:r>
      <w:r w:rsidRPr="00D813B8">
        <w:rPr>
          <w:rFonts w:eastAsia="SimSun"/>
          <w:lang w:eastAsia="zh-CN"/>
        </w:rPr>
        <w:t xml:space="preserve">3 of </w:t>
      </w:r>
      <w:r w:rsidR="00B0155D" w:rsidRPr="00D813B8">
        <w:rPr>
          <w:rFonts w:eastAsia="SimSun"/>
          <w:lang w:eastAsia="zh-CN"/>
        </w:rPr>
        <w:t xml:space="preserve">Commission Regulation </w:t>
      </w:r>
      <w:r w:rsidRPr="00D813B8">
        <w:rPr>
          <w:rFonts w:eastAsia="SimSun"/>
          <w:lang w:eastAsia="zh-CN"/>
        </w:rPr>
        <w:t>(EC) No 847/2000</w:t>
      </w:r>
      <w:r w:rsidR="00551EC9" w:rsidRPr="00D813B8">
        <w:rPr>
          <w:rFonts w:eastAsia="SimSun"/>
          <w:lang w:eastAsia="zh-CN"/>
        </w:rPr>
        <w:t xml:space="preserve"> (</w:t>
      </w:r>
      <w:r w:rsidR="00A51632" w:rsidRPr="00D813B8">
        <w:rPr>
          <w:rFonts w:eastAsia="SimSun"/>
          <w:lang w:eastAsia="zh-CN"/>
        </w:rPr>
        <w:t>attachment</w:t>
      </w:r>
      <w:r w:rsidR="00551EC9" w:rsidRPr="00D813B8">
        <w:rPr>
          <w:rFonts w:eastAsia="SimSun"/>
          <w:lang w:eastAsia="zh-CN"/>
        </w:rPr>
        <w:t xml:space="preserve"> 1)</w:t>
      </w:r>
      <w:r w:rsidRPr="00D813B8">
        <w:rPr>
          <w:rFonts w:eastAsia="SimSun"/>
          <w:lang w:eastAsia="zh-CN"/>
        </w:rPr>
        <w:t xml:space="preserve">. </w:t>
      </w:r>
      <w:r w:rsidRPr="00D813B8">
        <w:t>Furthermore</w:t>
      </w:r>
      <w:r w:rsidR="00336267" w:rsidRPr="00D813B8">
        <w:t>,</w:t>
      </w:r>
      <w:r w:rsidR="00B0155D" w:rsidRPr="00D813B8">
        <w:t xml:space="preserve"> </w:t>
      </w:r>
      <w:r w:rsidRPr="00D813B8">
        <w:t>R</w:t>
      </w:r>
      <w:r w:rsidR="00411C99" w:rsidRPr="00D813B8">
        <w:t xml:space="preserve">egulation </w:t>
      </w:r>
      <w:r w:rsidRPr="00D813B8">
        <w:t>(EC) No 141/2000 states:</w:t>
      </w:r>
    </w:p>
    <w:p w14:paraId="0ED1F604" w14:textId="77777777" w:rsidR="00274704" w:rsidRPr="00D813B8" w:rsidRDefault="00834239" w:rsidP="006F271B">
      <w:pPr>
        <w:pStyle w:val="BodytextAgency"/>
        <w:numPr>
          <w:ilvl w:val="0"/>
          <w:numId w:val="21"/>
        </w:numPr>
      </w:pPr>
      <w:r w:rsidRPr="00D813B8">
        <w:t>Art</w:t>
      </w:r>
      <w:r w:rsidR="00074AE6" w:rsidRPr="00D813B8">
        <w:t>icle</w:t>
      </w:r>
      <w:r w:rsidRPr="00D813B8">
        <w:t xml:space="preserve"> 8</w:t>
      </w:r>
      <w:r w:rsidR="00074AE6" w:rsidRPr="00D813B8">
        <w:t>(1)</w:t>
      </w:r>
    </w:p>
    <w:p w14:paraId="27D7B0B3" w14:textId="77777777" w:rsidR="00274704" w:rsidRPr="00D813B8" w:rsidRDefault="00834239" w:rsidP="00C5497C">
      <w:pPr>
        <w:pStyle w:val="BodytextAgency"/>
      </w:pPr>
      <w:r w:rsidRPr="00D813B8">
        <w:t xml:space="preserve">"Where a marketing authorisation in respect of an orphan medicinal product is granted </w:t>
      </w:r>
      <w:r w:rsidR="00F97D44">
        <w:t>[</w:t>
      </w:r>
      <w:r w:rsidRPr="00D813B8">
        <w:t>…</w:t>
      </w:r>
      <w:r w:rsidR="00F97D44">
        <w:t>]</w:t>
      </w:r>
      <w:r w:rsidRPr="00D813B8">
        <w:t xml:space="preserve">, the </w:t>
      </w:r>
      <w:r w:rsidR="00F97D44">
        <w:t>Community</w:t>
      </w:r>
      <w:r w:rsidR="00F97D44" w:rsidRPr="00D813B8">
        <w:t xml:space="preserve"> </w:t>
      </w:r>
      <w:r w:rsidRPr="00D813B8">
        <w:t xml:space="preserve">and the Member States shall not, for a period of 10 years, accept </w:t>
      </w:r>
      <w:r w:rsidRPr="00D813B8">
        <w:t>another application for a marketing authorisation, or grant a marketing authorisation or accept an application to extend an existing marketing authorisation, for the same therapeutic indication, in respect of a similar medicinal product..." unless one of t</w:t>
      </w:r>
      <w:r w:rsidRPr="00D813B8">
        <w:t>he three derogation</w:t>
      </w:r>
      <w:r w:rsidR="00833BC8">
        <w:t>s</w:t>
      </w:r>
      <w:r w:rsidRPr="00D813B8">
        <w:t xml:space="preserve"> laid down in Art</w:t>
      </w:r>
      <w:r w:rsidR="00F97D44">
        <w:t xml:space="preserve">icle </w:t>
      </w:r>
      <w:r w:rsidRPr="00D813B8">
        <w:t>8</w:t>
      </w:r>
      <w:r w:rsidR="00C06CAC">
        <w:t>(</w:t>
      </w:r>
      <w:r w:rsidRPr="00D813B8">
        <w:t>3</w:t>
      </w:r>
      <w:r w:rsidR="00C06CAC">
        <w:t>)</w:t>
      </w:r>
      <w:r w:rsidRPr="00D813B8">
        <w:t xml:space="preserve"> applies.</w:t>
      </w:r>
    </w:p>
    <w:p w14:paraId="18A2942D" w14:textId="77777777" w:rsidR="00274704" w:rsidRPr="00D813B8" w:rsidRDefault="00834239" w:rsidP="006F271B">
      <w:pPr>
        <w:pStyle w:val="BodytextAgency"/>
        <w:numPr>
          <w:ilvl w:val="0"/>
          <w:numId w:val="21"/>
        </w:numPr>
      </w:pPr>
      <w:r w:rsidRPr="00D813B8">
        <w:t>Article 8</w:t>
      </w:r>
      <w:r w:rsidR="00074AE6" w:rsidRPr="00D813B8">
        <w:t>(3)</w:t>
      </w:r>
      <w:r w:rsidRPr="00D813B8">
        <w:t>:</w:t>
      </w:r>
    </w:p>
    <w:p w14:paraId="301B5153" w14:textId="77777777" w:rsidR="00274704" w:rsidRPr="00D813B8" w:rsidRDefault="00834239" w:rsidP="00CA4E97">
      <w:pPr>
        <w:pStyle w:val="BodytextAgency"/>
      </w:pPr>
      <w:r w:rsidRPr="00D813B8">
        <w:t xml:space="preserve">By way of derogation from paragraph 1, and without prejudice to intellectual property law or any other provision of Community law, a marketing authorisation may be granted, for the same </w:t>
      </w:r>
      <w:r w:rsidRPr="00D813B8">
        <w:t>therapeutic indication, to a similar medicinal product if:</w:t>
      </w:r>
    </w:p>
    <w:p w14:paraId="230BA1DD" w14:textId="77777777" w:rsidR="00274704" w:rsidRPr="00D813B8" w:rsidRDefault="00834239" w:rsidP="006F271B">
      <w:pPr>
        <w:pStyle w:val="BodytextAgency"/>
        <w:numPr>
          <w:ilvl w:val="0"/>
          <w:numId w:val="19"/>
        </w:numPr>
      </w:pPr>
      <w:r w:rsidRPr="00D813B8">
        <w:t>the holder of the marketing authorisation for the original orphan medicinal product has given his consent to the second applicant, or</w:t>
      </w:r>
    </w:p>
    <w:p w14:paraId="104D646B" w14:textId="77777777" w:rsidR="00274704" w:rsidRPr="00D813B8" w:rsidRDefault="00834239" w:rsidP="006F271B">
      <w:pPr>
        <w:pStyle w:val="BodytextAgency"/>
        <w:numPr>
          <w:ilvl w:val="0"/>
          <w:numId w:val="19"/>
        </w:numPr>
      </w:pPr>
      <w:r w:rsidRPr="00D813B8">
        <w:t>the holder of the marketing authorisation for the original orph</w:t>
      </w:r>
      <w:r w:rsidRPr="00D813B8">
        <w:t>an medicinal product is unable to supply sufficient quantities of the medicinal product, or</w:t>
      </w:r>
    </w:p>
    <w:p w14:paraId="04121B24" w14:textId="77777777" w:rsidR="00274704" w:rsidRPr="00D813B8" w:rsidRDefault="00834239" w:rsidP="006F271B">
      <w:pPr>
        <w:pStyle w:val="BodytextAgency"/>
        <w:numPr>
          <w:ilvl w:val="0"/>
          <w:numId w:val="19"/>
        </w:numPr>
      </w:pPr>
      <w:r w:rsidRPr="00D813B8">
        <w:t>the second applicant can establish in the application that the second medicinal product, although similar to the orphan medicinal product already authorised, is saf</w:t>
      </w:r>
      <w:r w:rsidRPr="00D813B8">
        <w:t>er, more effective or otherwise clinically superior.</w:t>
      </w:r>
    </w:p>
    <w:p w14:paraId="45A7E562" w14:textId="77777777" w:rsidR="00FB15A3" w:rsidRPr="00D813B8" w:rsidRDefault="00834239" w:rsidP="00411C99">
      <w:pPr>
        <w:pStyle w:val="BodytextAgency"/>
      </w:pPr>
      <w:r w:rsidRPr="00D813B8">
        <w:t xml:space="preserve">&lt;A marketing authorisation&gt;&lt; An extension of the marketing authorisation&gt;&lt;An authorisation&gt;for </w:t>
      </w:r>
      <w:r w:rsidR="00551EC9" w:rsidRPr="00D813B8">
        <w:t>&lt;name of product&gt;</w:t>
      </w:r>
      <w:r w:rsidRPr="00D813B8">
        <w:t xml:space="preserve"> can therefore not be granted with the currently proposed indication, unless one of the abo</w:t>
      </w:r>
      <w:r w:rsidRPr="00D813B8">
        <w:t xml:space="preserve">ve derogations are fulfilled. </w:t>
      </w:r>
    </w:p>
    <w:p w14:paraId="5517A802" w14:textId="77777777" w:rsidR="00FB15A3" w:rsidRPr="00D813B8" w:rsidRDefault="00834239" w:rsidP="00CA4E97">
      <w:pPr>
        <w:pStyle w:val="BodytextAgency"/>
      </w:pPr>
      <w:r w:rsidRPr="00D813B8">
        <w:t>In line with the above</w:t>
      </w:r>
      <w:r w:rsidR="00E9096C" w:rsidRPr="00D813B8">
        <w:t>-</w:t>
      </w:r>
      <w:r w:rsidRPr="00D813B8">
        <w:t>mentioned legislation, the applicant provided a derogation report</w:t>
      </w:r>
      <w:r w:rsidR="003116AB" w:rsidRPr="00D813B8">
        <w:t>:</w:t>
      </w:r>
    </w:p>
    <w:p w14:paraId="0795328A" w14:textId="77777777" w:rsidR="00274704" w:rsidRPr="00D813B8" w:rsidRDefault="00834239" w:rsidP="00CA4E97">
      <w:pPr>
        <w:pStyle w:val="BodytextAgency"/>
      </w:pPr>
      <w:r w:rsidRPr="00D813B8">
        <w:t>&lt;</w:t>
      </w:r>
      <w:r w:rsidR="007503BC" w:rsidRPr="00D813B8">
        <w:t>T</w:t>
      </w:r>
      <w:r w:rsidRPr="00D813B8">
        <w:t xml:space="preserve">he </w:t>
      </w:r>
      <w:r w:rsidR="00C55B8B" w:rsidRPr="00D813B8">
        <w:t>&lt;</w:t>
      </w:r>
      <w:r w:rsidR="00BD287A" w:rsidRPr="00D813B8">
        <w:t>a</w:t>
      </w:r>
      <w:r w:rsidRPr="00D813B8">
        <w:t>pplicant</w:t>
      </w:r>
      <w:r w:rsidR="00C55B8B" w:rsidRPr="00D813B8">
        <w:t>&gt; &lt;MAH&gt;</w:t>
      </w:r>
      <w:r w:rsidRPr="00D813B8">
        <w:t xml:space="preserve"> provided a report justifying that their </w:t>
      </w:r>
      <w:r w:rsidR="00547A02" w:rsidRPr="00D813B8">
        <w:t>&lt;</w:t>
      </w:r>
      <w:r w:rsidR="00C55B8B" w:rsidRPr="00D813B8">
        <w:t>initial marketing application of</w:t>
      </w:r>
      <w:r w:rsidR="00547A02" w:rsidRPr="00D813B8">
        <w:t>&gt; &lt;extension application</w:t>
      </w:r>
      <w:r w:rsidR="00C55B8B" w:rsidRPr="00D813B8">
        <w:t xml:space="preserve"> of</w:t>
      </w:r>
      <w:r w:rsidR="00547A02" w:rsidRPr="00D813B8">
        <w:t>&gt;</w:t>
      </w:r>
      <w:r w:rsidR="00547A02" w:rsidRPr="00D813B8">
        <w:rPr>
          <w:lang w:eastAsia="it-IT"/>
        </w:rPr>
        <w:t xml:space="preserve"> &lt;extension of indication</w:t>
      </w:r>
      <w:r w:rsidR="00E32EFF" w:rsidRPr="00D813B8">
        <w:rPr>
          <w:lang w:eastAsia="it-IT"/>
        </w:rPr>
        <w:t xml:space="preserve"> of</w:t>
      </w:r>
      <w:r w:rsidR="00547A02" w:rsidRPr="00D813B8">
        <w:rPr>
          <w:lang w:eastAsia="it-IT"/>
        </w:rPr>
        <w:t>&gt;</w:t>
      </w:r>
      <w:r w:rsidRPr="00D813B8">
        <w:t xml:space="preserve"> </w:t>
      </w:r>
      <w:r w:rsidR="00551EC9" w:rsidRPr="00D813B8">
        <w:t>&lt;name of product&gt;</w:t>
      </w:r>
      <w:r w:rsidRPr="00D813B8">
        <w:t xml:space="preserve"> is clinically superior to the authorised orphan medicinal product</w:t>
      </w:r>
      <w:r w:rsidR="00551EC9" w:rsidRPr="00D813B8">
        <w:t>,</w:t>
      </w:r>
      <w:r w:rsidR="00A51632" w:rsidRPr="00D813B8">
        <w:t>&lt;</w:t>
      </w:r>
      <w:r w:rsidR="00551EC9" w:rsidRPr="00D813B8">
        <w:t xml:space="preserve">name of </w:t>
      </w:r>
      <w:r w:rsidR="004C5451" w:rsidRPr="00D813B8">
        <w:t xml:space="preserve">the </w:t>
      </w:r>
      <w:r w:rsidRPr="00D813B8">
        <w:t xml:space="preserve">authorised </w:t>
      </w:r>
      <w:r w:rsidR="004C5451" w:rsidRPr="00D813B8">
        <w:t xml:space="preserve">orphan </w:t>
      </w:r>
      <w:r w:rsidRPr="00D813B8">
        <w:t>product</w:t>
      </w:r>
      <w:r w:rsidR="00551EC9" w:rsidRPr="00D813B8">
        <w:t>&gt;</w:t>
      </w:r>
      <w:r w:rsidRPr="00D813B8">
        <w:t>.&gt;</w:t>
      </w:r>
    </w:p>
    <w:p w14:paraId="01C09B7F" w14:textId="77777777" w:rsidR="007503BC" w:rsidRPr="00D813B8" w:rsidRDefault="00834239" w:rsidP="007503BC">
      <w:pPr>
        <w:pStyle w:val="BodytextAgency"/>
      </w:pPr>
      <w:r w:rsidRPr="00D813B8">
        <w:t xml:space="preserve">&lt;The </w:t>
      </w:r>
      <w:r w:rsidR="00BD287A" w:rsidRPr="00D813B8">
        <w:t>&lt;a</w:t>
      </w:r>
      <w:r w:rsidR="00C55B8B" w:rsidRPr="00D813B8">
        <w:t xml:space="preserve">pplicant&gt; &lt;MAH&gt; </w:t>
      </w:r>
      <w:r w:rsidRPr="00D813B8">
        <w:t xml:space="preserve">provided a report that the holder of the marketing authorisation for the </w:t>
      </w:r>
      <w:r w:rsidRPr="00D813B8">
        <w:t>original orphan medicinal product is unable to supply sufficient quantities of the medicinal product.&gt;</w:t>
      </w:r>
    </w:p>
    <w:p w14:paraId="551A15ED" w14:textId="77777777" w:rsidR="00274704" w:rsidRPr="00D813B8" w:rsidRDefault="00834239" w:rsidP="00CA4E97">
      <w:pPr>
        <w:pStyle w:val="BodytextAgency"/>
      </w:pPr>
      <w:r w:rsidRPr="00D813B8">
        <w:t xml:space="preserve">This report reflects the </w:t>
      </w:r>
      <w:r w:rsidR="00D27F16" w:rsidRPr="00D813B8">
        <w:t>&lt;rapporteur</w:t>
      </w:r>
      <w:r w:rsidR="00070EC0" w:rsidRPr="00D813B8">
        <w:t>s</w:t>
      </w:r>
      <w:r w:rsidR="00D27F16" w:rsidRPr="00D813B8">
        <w:t>&gt;&lt;</w:t>
      </w:r>
      <w:r w:rsidRPr="00D813B8">
        <w:t>CHMP</w:t>
      </w:r>
      <w:r w:rsidR="00D27F16" w:rsidRPr="00D813B8">
        <w:t>&gt;</w:t>
      </w:r>
      <w:r w:rsidRPr="00D813B8">
        <w:t xml:space="preserve"> </w:t>
      </w:r>
      <w:r w:rsidR="005A5EE2" w:rsidRPr="00D813B8">
        <w:t xml:space="preserve">&lt;CAT&gt; </w:t>
      </w:r>
      <w:r w:rsidRPr="00D813B8">
        <w:t xml:space="preserve">assessment of the report </w:t>
      </w:r>
      <w:r w:rsidR="007503BC" w:rsidRPr="00D813B8">
        <w:t>on the claimed derogations</w:t>
      </w:r>
      <w:r w:rsidRPr="00D813B8">
        <w:t>.</w:t>
      </w:r>
    </w:p>
    <w:p w14:paraId="64C8072E" w14:textId="77777777" w:rsidR="00274704" w:rsidRPr="00D813B8" w:rsidRDefault="00834239" w:rsidP="007503BC">
      <w:pPr>
        <w:pStyle w:val="Heading1Agency"/>
      </w:pPr>
      <w:r w:rsidRPr="00D813B8">
        <w:br w:type="page"/>
      </w:r>
      <w:bookmarkStart w:id="11" w:name="_Toc73023985"/>
      <w:r w:rsidR="001F701C" w:rsidRPr="00D813B8">
        <w:lastRenderedPageBreak/>
        <w:t>&lt;</w:t>
      </w:r>
      <w:r w:rsidRPr="00D813B8">
        <w:t>C</w:t>
      </w:r>
      <w:r w:rsidR="00C5497C" w:rsidRPr="00D813B8">
        <w:t xml:space="preserve">linical superiority </w:t>
      </w:r>
      <w:r w:rsidRPr="00D813B8">
        <w:t>assessment</w:t>
      </w:r>
      <w:r w:rsidR="001F701C" w:rsidRPr="00D813B8">
        <w:t>&gt;</w:t>
      </w:r>
      <w:bookmarkEnd w:id="11"/>
    </w:p>
    <w:p w14:paraId="68C857A2" w14:textId="77777777" w:rsidR="004C5F0C" w:rsidRDefault="00834239" w:rsidP="006F271B">
      <w:pPr>
        <w:pStyle w:val="DraftingNotesAgency"/>
      </w:pPr>
      <w:r w:rsidRPr="00D813B8">
        <w:t xml:space="preserve">Consideration </w:t>
      </w:r>
      <w:r w:rsidRPr="00D813B8">
        <w:t xml:space="preserve">should be given to </w:t>
      </w:r>
      <w:r w:rsidR="00351BD8">
        <w:t xml:space="preserve">the </w:t>
      </w:r>
      <w:r w:rsidRPr="00D813B8">
        <w:t>applicant’s arguments for claiming superiority; i.e. if these are based on theoretical assumptions, or are head-to-head (non-)clinical comparisons. The design, conduct, reproducibility and results of such comparative studies or tests</w:t>
      </w:r>
      <w:r w:rsidRPr="00D813B8">
        <w:t xml:space="preserve"> are to be evaluated. If no comparison data showing superiority, or justification for the lack of such data are presented, the applicant should be asked to address this in a response to the List of Questions.</w:t>
      </w:r>
    </w:p>
    <w:p w14:paraId="68D6DF94" w14:textId="77777777" w:rsidR="00080505" w:rsidRDefault="00080505" w:rsidP="00080505">
      <w:pPr>
        <w:pStyle w:val="BodytextAgency"/>
      </w:pPr>
    </w:p>
    <w:p w14:paraId="164C2907" w14:textId="77777777" w:rsidR="00080505" w:rsidRPr="0055451D" w:rsidRDefault="00834239" w:rsidP="000805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5451D">
        <w:t>For the Co-Rapporteur assessment</w:t>
      </w:r>
      <w:r w:rsidR="00351BD8">
        <w:t>:</w:t>
      </w:r>
      <w:r w:rsidRPr="0055451D">
        <w:t xml:space="preserve"> </w:t>
      </w:r>
    </w:p>
    <w:p w14:paraId="02CEB97A" w14:textId="77777777" w:rsidR="00080505" w:rsidRPr="0055451D" w:rsidRDefault="00834239" w:rsidP="000805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5451D">
        <w:t xml:space="preserve">The Co-Rapporteur should reflect its independent assessment into the Rapporteur AR.  </w:t>
      </w:r>
    </w:p>
    <w:p w14:paraId="4FAE3F2F" w14:textId="77777777" w:rsidR="00080505" w:rsidRPr="0055451D" w:rsidRDefault="00834239" w:rsidP="000805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5451D">
        <w:t xml:space="preserve">It is not a “peer review” of the Rapporteur’s evaluation i.e. statements such as ‘we agree’ or ‘we do not agree’ are not needed. </w:t>
      </w:r>
    </w:p>
    <w:p w14:paraId="6ABABAF3" w14:textId="77777777" w:rsidR="007E2305" w:rsidRPr="005F2ED7" w:rsidRDefault="00834239" w:rsidP="007E23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F2ED7">
        <w:t xml:space="preserve">In this section, for the </w:t>
      </w:r>
      <w:r>
        <w:t>C</w:t>
      </w:r>
      <w:r w:rsidRPr="005F2ED7">
        <w:t>o-Rapporteur a</w:t>
      </w:r>
      <w:r w:rsidRPr="005F2ED7">
        <w:t xml:space="preserve">ssessment separate boxes have been introduced in relevant sub-sections (discussion and conclusion) below. </w:t>
      </w:r>
    </w:p>
    <w:p w14:paraId="18A2FB0F" w14:textId="77777777" w:rsidR="00080505" w:rsidRPr="0055451D" w:rsidRDefault="00834239" w:rsidP="007E23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5451D">
        <w:t>The Co-Rapporteur may add further information in the factual section prepared by the Rapporteur. In this case, the Co-Rapporteur should insert inform</w:t>
      </w:r>
      <w:r w:rsidRPr="0055451D">
        <w:t xml:space="preserve">ation in a dedicated box for the specific section. </w:t>
      </w:r>
    </w:p>
    <w:p w14:paraId="3F862ED0" w14:textId="77777777" w:rsidR="00080505" w:rsidRPr="0055451D" w:rsidRDefault="00834239" w:rsidP="007E23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5451D">
        <w:t>If the Co-Rapporteur assessment leads to new questions, removal or modification of questions proposed by the Rapporteur, including change of categorisation (MO, OC), the Co-Rapporteur should insert its as</w:t>
      </w:r>
      <w:r w:rsidRPr="0055451D">
        <w:t xml:space="preserve">sessment in the dedicated box for the relevant section but should not use strikethrough or track-changes mode in the questions from the Rapporteur. </w:t>
      </w:r>
    </w:p>
    <w:p w14:paraId="19BEBC87" w14:textId="77777777" w:rsidR="00080505" w:rsidRPr="00080505" w:rsidRDefault="00080505" w:rsidP="00080505">
      <w:pPr>
        <w:pStyle w:val="BodytextAgency"/>
      </w:pPr>
    </w:p>
    <w:p w14:paraId="45534E26" w14:textId="77777777" w:rsidR="00274704" w:rsidRPr="00D813B8" w:rsidRDefault="00834239" w:rsidP="004136E7">
      <w:pPr>
        <w:pStyle w:val="Heading2Agency"/>
      </w:pPr>
      <w:bookmarkStart w:id="12" w:name="_Toc73023986"/>
      <w:r w:rsidRPr="00D813B8">
        <w:t>Efficacy</w:t>
      </w:r>
      <w:bookmarkEnd w:id="12"/>
    </w:p>
    <w:p w14:paraId="27E9F01B" w14:textId="77777777" w:rsidR="00274704" w:rsidRPr="00D813B8" w:rsidRDefault="00834239" w:rsidP="00C5497C">
      <w:pPr>
        <w:pStyle w:val="BodytextAgency"/>
        <w:rPr>
          <w:b/>
          <w:u w:val="single"/>
        </w:rPr>
      </w:pPr>
      <w:r w:rsidRPr="00D813B8">
        <w:rPr>
          <w:b/>
          <w:u w:val="single"/>
        </w:rPr>
        <w:t>Applicant’s position</w:t>
      </w:r>
    </w:p>
    <w:p w14:paraId="54AD0FA7" w14:textId="77777777" w:rsidR="004136E7" w:rsidRDefault="00834239" w:rsidP="004136E7">
      <w:pPr>
        <w:pStyle w:val="BodytextAgency"/>
        <w:rPr>
          <w:b/>
          <w:u w:val="single"/>
        </w:rPr>
      </w:pPr>
      <w:r w:rsidRPr="00D813B8">
        <w:rPr>
          <w:b/>
          <w:u w:val="single"/>
        </w:rPr>
        <w:t xml:space="preserve">&lt;Rapporteur&gt;&lt;CHMP&gt; </w:t>
      </w:r>
      <w:r w:rsidR="005A5EE2" w:rsidRPr="00D813B8">
        <w:rPr>
          <w:b/>
          <w:u w:val="single"/>
        </w:rPr>
        <w:t xml:space="preserve">&lt;CAT&gt; </w:t>
      </w:r>
      <w:r w:rsidRPr="00D813B8">
        <w:rPr>
          <w:b/>
          <w:u w:val="single"/>
        </w:rPr>
        <w:t>position</w:t>
      </w:r>
    </w:p>
    <w:p w14:paraId="0E3E5D53" w14:textId="77777777" w:rsidR="007E2305" w:rsidRDefault="007E2305" w:rsidP="004136E7">
      <w:pPr>
        <w:pStyle w:val="BodytextAgency"/>
        <w:rPr>
          <w:b/>
          <w:u w:val="single"/>
        </w:rPr>
      </w:pPr>
    </w:p>
    <w:p w14:paraId="098F02F6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4E71479F" w14:textId="77777777" w:rsidR="007E2305" w:rsidRDefault="00834239" w:rsidP="007E2305">
      <w:pPr>
        <w:pStyle w:val="DraftingNotesAgencyblue"/>
      </w:pPr>
      <w:r>
        <w:t xml:space="preserve"> </w:t>
      </w:r>
    </w:p>
    <w:p w14:paraId="6AD577B3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1A5DFF2C" w14:textId="77777777" w:rsidR="007E2305" w:rsidRPr="007732EB" w:rsidRDefault="007E2305" w:rsidP="007E2305">
      <w:pPr>
        <w:pStyle w:val="BodytextAgencyblue"/>
      </w:pPr>
    </w:p>
    <w:p w14:paraId="2312F940" w14:textId="77777777" w:rsidR="007E2305" w:rsidRPr="00D813B8" w:rsidRDefault="007E2305" w:rsidP="004136E7">
      <w:pPr>
        <w:pStyle w:val="BodytextAgency"/>
        <w:rPr>
          <w:b/>
          <w:u w:val="single"/>
        </w:rPr>
      </w:pPr>
    </w:p>
    <w:p w14:paraId="29F0E3EB" w14:textId="77777777" w:rsidR="00274704" w:rsidRPr="00D813B8" w:rsidRDefault="00834239" w:rsidP="004136E7">
      <w:pPr>
        <w:pStyle w:val="Heading2Agency"/>
      </w:pPr>
      <w:bookmarkStart w:id="13" w:name="_Toc73023987"/>
      <w:r w:rsidRPr="00D813B8">
        <w:lastRenderedPageBreak/>
        <w:t>Safety</w:t>
      </w:r>
      <w:bookmarkEnd w:id="13"/>
      <w:r w:rsidRPr="00D813B8">
        <w:t xml:space="preserve"> </w:t>
      </w:r>
    </w:p>
    <w:p w14:paraId="196475C8" w14:textId="77777777" w:rsidR="00274704" w:rsidRPr="00D813B8" w:rsidRDefault="00834239" w:rsidP="00C5497C">
      <w:pPr>
        <w:pStyle w:val="BodytextAgency"/>
        <w:rPr>
          <w:b/>
          <w:u w:val="single"/>
        </w:rPr>
      </w:pPr>
      <w:r w:rsidRPr="00D813B8">
        <w:rPr>
          <w:b/>
          <w:u w:val="single"/>
        </w:rPr>
        <w:t>Applicant’s position</w:t>
      </w:r>
    </w:p>
    <w:p w14:paraId="3E07311B" w14:textId="77777777" w:rsidR="004136E7" w:rsidRDefault="00834239" w:rsidP="004136E7">
      <w:pPr>
        <w:pStyle w:val="BodytextAgency"/>
        <w:rPr>
          <w:b/>
          <w:u w:val="single"/>
        </w:rPr>
      </w:pPr>
      <w:r w:rsidRPr="00D813B8">
        <w:rPr>
          <w:b/>
          <w:u w:val="single"/>
        </w:rPr>
        <w:t xml:space="preserve">&lt;Rapporteur&gt;&lt;CHMP&gt; </w:t>
      </w:r>
      <w:r w:rsidR="005A5EE2" w:rsidRPr="00D813B8">
        <w:rPr>
          <w:b/>
          <w:u w:val="single"/>
        </w:rPr>
        <w:t xml:space="preserve">&lt;CAT&gt; </w:t>
      </w:r>
      <w:r w:rsidRPr="00D813B8">
        <w:rPr>
          <w:b/>
          <w:u w:val="single"/>
        </w:rPr>
        <w:t>position</w:t>
      </w:r>
    </w:p>
    <w:p w14:paraId="34F39C2C" w14:textId="77777777" w:rsidR="007E2305" w:rsidRDefault="007E2305" w:rsidP="004136E7">
      <w:pPr>
        <w:pStyle w:val="BodytextAgency"/>
        <w:rPr>
          <w:b/>
          <w:u w:val="single"/>
        </w:rPr>
      </w:pPr>
    </w:p>
    <w:p w14:paraId="00BB02C7" w14:textId="77777777" w:rsidR="007E2305" w:rsidRDefault="007E2305" w:rsidP="007E2305">
      <w:pPr>
        <w:pStyle w:val="BodytextAgency"/>
        <w:rPr>
          <w:b/>
          <w:u w:val="single"/>
        </w:rPr>
      </w:pPr>
    </w:p>
    <w:p w14:paraId="21664803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6BE56C03" w14:textId="77777777" w:rsidR="007E2305" w:rsidRDefault="00834239" w:rsidP="007E2305">
      <w:pPr>
        <w:pStyle w:val="DraftingNotesAgencyblue"/>
      </w:pPr>
      <w:r>
        <w:t xml:space="preserve"> </w:t>
      </w:r>
    </w:p>
    <w:p w14:paraId="5B6D9B06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16E11504" w14:textId="77777777" w:rsidR="007E2305" w:rsidRPr="007732EB" w:rsidRDefault="007E2305" w:rsidP="007E2305">
      <w:pPr>
        <w:pStyle w:val="BodytextAgencyblue"/>
      </w:pPr>
    </w:p>
    <w:p w14:paraId="53EFFA24" w14:textId="77777777" w:rsidR="007E2305" w:rsidRPr="00D813B8" w:rsidRDefault="007E2305" w:rsidP="004136E7">
      <w:pPr>
        <w:pStyle w:val="BodytextAgency"/>
        <w:rPr>
          <w:b/>
          <w:u w:val="single"/>
        </w:rPr>
      </w:pPr>
    </w:p>
    <w:p w14:paraId="385C200E" w14:textId="77777777" w:rsidR="00274704" w:rsidRPr="00D813B8" w:rsidRDefault="00834239" w:rsidP="004136E7">
      <w:pPr>
        <w:pStyle w:val="Heading2Agency"/>
      </w:pPr>
      <w:bookmarkStart w:id="14" w:name="_Toc73023988"/>
      <w:r w:rsidRPr="00D813B8">
        <w:t>Major contribution to diagnosis or patient care</w:t>
      </w:r>
      <w:bookmarkEnd w:id="14"/>
    </w:p>
    <w:p w14:paraId="41467EEB" w14:textId="77777777" w:rsidR="00274704" w:rsidRPr="006F271B" w:rsidRDefault="00834239" w:rsidP="00C5497C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>Applicant’s position</w:t>
      </w:r>
    </w:p>
    <w:p w14:paraId="487FE24D" w14:textId="77777777" w:rsidR="004136E7" w:rsidRDefault="00834239" w:rsidP="004136E7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 xml:space="preserve">&lt;Rapporteur&gt;&lt;CHMP&gt; </w:t>
      </w:r>
      <w:r w:rsidR="005A5EE2" w:rsidRPr="006F271B">
        <w:rPr>
          <w:b/>
          <w:u w:val="single"/>
          <w:lang w:val="fr-FR"/>
        </w:rPr>
        <w:t xml:space="preserve">&lt;CAT&gt; </w:t>
      </w:r>
      <w:r w:rsidRPr="006F271B">
        <w:rPr>
          <w:b/>
          <w:u w:val="single"/>
          <w:lang w:val="fr-FR"/>
        </w:rPr>
        <w:t>position</w:t>
      </w:r>
    </w:p>
    <w:p w14:paraId="6D197125" w14:textId="77777777" w:rsidR="007E2305" w:rsidRDefault="007E2305" w:rsidP="004136E7">
      <w:pPr>
        <w:pStyle w:val="BodytextAgency"/>
        <w:rPr>
          <w:b/>
          <w:u w:val="single"/>
          <w:lang w:val="fr-FR"/>
        </w:rPr>
      </w:pPr>
    </w:p>
    <w:p w14:paraId="04169C18" w14:textId="77777777" w:rsidR="007E2305" w:rsidRPr="00F229E6" w:rsidRDefault="007E2305" w:rsidP="007E2305">
      <w:pPr>
        <w:pStyle w:val="BodytextAgency"/>
        <w:rPr>
          <w:b/>
          <w:u w:val="single"/>
          <w:lang w:val="fr-FR"/>
        </w:rPr>
      </w:pPr>
    </w:p>
    <w:p w14:paraId="726EFDBD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27091E45" w14:textId="77777777" w:rsidR="007E2305" w:rsidRDefault="00834239" w:rsidP="007E2305">
      <w:pPr>
        <w:pStyle w:val="DraftingNotesAgencyblue"/>
      </w:pPr>
      <w:r>
        <w:t xml:space="preserve"> </w:t>
      </w:r>
    </w:p>
    <w:p w14:paraId="23DAF20B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21845395" w14:textId="77777777" w:rsidR="007E2305" w:rsidRPr="007732EB" w:rsidRDefault="007E2305" w:rsidP="007E2305">
      <w:pPr>
        <w:pStyle w:val="BodytextAgencyblue"/>
      </w:pPr>
    </w:p>
    <w:p w14:paraId="6C874ED2" w14:textId="77777777" w:rsidR="007E2305" w:rsidRPr="007E2305" w:rsidRDefault="007E2305" w:rsidP="004136E7">
      <w:pPr>
        <w:pStyle w:val="BodytextAgency"/>
        <w:rPr>
          <w:b/>
          <w:u w:val="single"/>
        </w:rPr>
      </w:pPr>
    </w:p>
    <w:p w14:paraId="1DE7CA5F" w14:textId="77777777" w:rsidR="007503BC" w:rsidRPr="00D813B8" w:rsidRDefault="00834239" w:rsidP="007503BC">
      <w:pPr>
        <w:pStyle w:val="Heading1Agency"/>
      </w:pPr>
      <w:bookmarkStart w:id="15" w:name="_Toc73023989"/>
      <w:r w:rsidRPr="00D813B8">
        <w:t xml:space="preserve">&lt;Assessment on the </w:t>
      </w:r>
      <w:r w:rsidR="004136E7" w:rsidRPr="00D813B8">
        <w:t>inability</w:t>
      </w:r>
      <w:r w:rsidR="00070EC0" w:rsidRPr="00D813B8">
        <w:t xml:space="preserve"> of</w:t>
      </w:r>
      <w:r w:rsidR="004136E7" w:rsidRPr="00D813B8">
        <w:t xml:space="preserve"> </w:t>
      </w:r>
      <w:r w:rsidR="00027780" w:rsidRPr="00D813B8">
        <w:t>&lt;applicant/</w:t>
      </w:r>
      <w:r w:rsidR="00070EC0" w:rsidRPr="00D813B8">
        <w:t xml:space="preserve">MAH&gt; </w:t>
      </w:r>
      <w:r w:rsidR="004136E7" w:rsidRPr="00D813B8">
        <w:t xml:space="preserve">to supply sufficient quantities of </w:t>
      </w:r>
      <w:r w:rsidR="00351A41" w:rsidRPr="00D813B8">
        <w:t xml:space="preserve">the </w:t>
      </w:r>
      <w:r w:rsidR="004136E7" w:rsidRPr="00D813B8">
        <w:t>&lt;</w:t>
      </w:r>
      <w:r w:rsidR="00351A41" w:rsidRPr="00D813B8">
        <w:t xml:space="preserve">name of the authorised </w:t>
      </w:r>
      <w:r w:rsidR="004136E7" w:rsidRPr="00D813B8">
        <w:t>orphan product&gt;</w:t>
      </w:r>
      <w:r w:rsidRPr="00D813B8">
        <w:t>&gt;</w:t>
      </w:r>
      <w:bookmarkEnd w:id="15"/>
    </w:p>
    <w:p w14:paraId="604B708E" w14:textId="77777777" w:rsidR="008D71DD" w:rsidRPr="00D813B8" w:rsidRDefault="00834239" w:rsidP="004136E7">
      <w:pPr>
        <w:pStyle w:val="Heading2Agency"/>
      </w:pPr>
      <w:bookmarkStart w:id="16" w:name="_Toc73023990"/>
      <w:r w:rsidRPr="00D813B8">
        <w:t>Outline of supply shortage of the &lt;</w:t>
      </w:r>
      <w:r w:rsidR="00351A41" w:rsidRPr="00D813B8">
        <w:t xml:space="preserve">name of the </w:t>
      </w:r>
      <w:r w:rsidR="00E4206A" w:rsidRPr="00D813B8">
        <w:t>authorised</w:t>
      </w:r>
      <w:r w:rsidR="00351A41" w:rsidRPr="00D813B8">
        <w:t xml:space="preserve"> </w:t>
      </w:r>
      <w:r w:rsidRPr="00D813B8">
        <w:t>orphan</w:t>
      </w:r>
      <w:r w:rsidR="00351A41" w:rsidRPr="00D813B8">
        <w:t xml:space="preserve"> product</w:t>
      </w:r>
      <w:r w:rsidR="00D527E7" w:rsidRPr="00D813B8">
        <w:t>&gt;</w:t>
      </w:r>
      <w:bookmarkEnd w:id="16"/>
    </w:p>
    <w:p w14:paraId="4929F3D1" w14:textId="77777777" w:rsidR="008D71DD" w:rsidRPr="006F271B" w:rsidRDefault="00834239" w:rsidP="008D71D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>Applicant’s position</w:t>
      </w:r>
    </w:p>
    <w:p w14:paraId="697B78E8" w14:textId="77777777" w:rsidR="008D71DD" w:rsidRPr="006F271B" w:rsidRDefault="00834239" w:rsidP="008D71D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 xml:space="preserve">&lt;Rapporteur&gt;&lt;CHMP&gt; </w:t>
      </w:r>
      <w:r w:rsidR="005A5EE2" w:rsidRPr="006F271B">
        <w:rPr>
          <w:b/>
          <w:u w:val="single"/>
          <w:lang w:val="fr-FR"/>
        </w:rPr>
        <w:t xml:space="preserve">&lt;CAT&gt; </w:t>
      </w:r>
      <w:r w:rsidRPr="006F271B">
        <w:rPr>
          <w:b/>
          <w:u w:val="single"/>
          <w:lang w:val="fr-FR"/>
        </w:rPr>
        <w:t>position</w:t>
      </w:r>
    </w:p>
    <w:p w14:paraId="40DA5045" w14:textId="77777777" w:rsidR="008D71DD" w:rsidRPr="00D813B8" w:rsidRDefault="00834239" w:rsidP="00E4206A">
      <w:pPr>
        <w:pStyle w:val="DraftingNotesAgency"/>
      </w:pPr>
      <w:r w:rsidRPr="00D813B8">
        <w:t xml:space="preserve">[This will be a question to be addressed </w:t>
      </w:r>
      <w:r w:rsidR="00DE4FF1" w:rsidRPr="00D813B8">
        <w:t>by</w:t>
      </w:r>
      <w:r w:rsidRPr="00D813B8">
        <w:t xml:space="preserve"> the </w:t>
      </w:r>
      <w:r w:rsidR="00027780" w:rsidRPr="00D813B8">
        <w:t>applicant/</w:t>
      </w:r>
      <w:r w:rsidRPr="00D813B8">
        <w:t xml:space="preserve">MAH of the </w:t>
      </w:r>
      <w:r w:rsidR="004C5451" w:rsidRPr="00D813B8">
        <w:t xml:space="preserve">authorised </w:t>
      </w:r>
      <w:r w:rsidRPr="00D813B8">
        <w:t>orphan product</w:t>
      </w:r>
      <w:r w:rsidR="00551EC9" w:rsidRPr="00D813B8">
        <w:t>.</w:t>
      </w:r>
    </w:p>
    <w:p w14:paraId="124647CD" w14:textId="77777777" w:rsidR="00D527E7" w:rsidRPr="00D813B8" w:rsidRDefault="00834239" w:rsidP="00E4206A">
      <w:pPr>
        <w:pStyle w:val="DraftingNotesAgency"/>
      </w:pPr>
      <w:r w:rsidRPr="00D813B8">
        <w:t xml:space="preserve">Points to consider: </w:t>
      </w:r>
    </w:p>
    <w:p w14:paraId="2D3D4A0E" w14:textId="77777777" w:rsidR="007E2305" w:rsidRDefault="00834239" w:rsidP="00E4206A">
      <w:pPr>
        <w:pStyle w:val="DraftingNotesAgency"/>
      </w:pPr>
      <w:r w:rsidRPr="00D813B8">
        <w:t xml:space="preserve">supply and availability of the product to the patients in the EU, </w:t>
      </w:r>
      <w:r w:rsidRPr="00D813B8">
        <w:t>local/national situations, declaration of the real causes of supply problem, nature and exten</w:t>
      </w:r>
      <w:r w:rsidR="00A35D72" w:rsidRPr="00D813B8">
        <w:t>t</w:t>
      </w:r>
      <w:r w:rsidRPr="00D813B8">
        <w:t xml:space="preserve"> of the problem, consequences for the </w:t>
      </w:r>
      <w:r w:rsidR="00027780" w:rsidRPr="00D813B8">
        <w:lastRenderedPageBreak/>
        <w:t>applicant/</w:t>
      </w:r>
      <w:r w:rsidRPr="00D813B8">
        <w:t xml:space="preserve">MAH, manufacturing or other changes/rectifications conducted or planned, regulatory actions, </w:t>
      </w:r>
      <w:r w:rsidR="003F0562" w:rsidRPr="00D813B8">
        <w:t xml:space="preserve">revocation and suspension of MA, </w:t>
      </w:r>
      <w:r w:rsidRPr="00D813B8">
        <w:t>etc</w:t>
      </w:r>
      <w:r w:rsidR="00551EC9" w:rsidRPr="00D813B8">
        <w:t>…]</w:t>
      </w:r>
      <w:r w:rsidRPr="00D813B8">
        <w:t xml:space="preserve">  </w:t>
      </w:r>
    </w:p>
    <w:p w14:paraId="234ED8F9" w14:textId="77777777" w:rsidR="007E2305" w:rsidRDefault="007E2305" w:rsidP="00E4206A">
      <w:pPr>
        <w:pStyle w:val="DraftingNotesAgency"/>
      </w:pPr>
    </w:p>
    <w:p w14:paraId="22E692CA" w14:textId="77777777" w:rsidR="007E2305" w:rsidRDefault="007E2305" w:rsidP="007E2305">
      <w:pPr>
        <w:pStyle w:val="BodytextAgency"/>
        <w:rPr>
          <w:b/>
          <w:u w:val="single"/>
        </w:rPr>
      </w:pPr>
    </w:p>
    <w:p w14:paraId="029A0A0E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6A80772D" w14:textId="77777777" w:rsidR="007E2305" w:rsidRDefault="00834239" w:rsidP="007E2305">
      <w:pPr>
        <w:pStyle w:val="DraftingNotesAgencyblue"/>
      </w:pPr>
      <w:r>
        <w:t xml:space="preserve"> </w:t>
      </w:r>
    </w:p>
    <w:p w14:paraId="5D68ED1D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1D5D545E" w14:textId="77777777" w:rsidR="007E2305" w:rsidRPr="007732EB" w:rsidRDefault="007E2305" w:rsidP="007E2305">
      <w:pPr>
        <w:pStyle w:val="BodytextAgencyblue"/>
      </w:pPr>
    </w:p>
    <w:p w14:paraId="207A6408" w14:textId="77777777" w:rsidR="008D71DD" w:rsidRPr="00D813B8" w:rsidRDefault="008D71DD" w:rsidP="00E4206A">
      <w:pPr>
        <w:pStyle w:val="DraftingNotesAgency"/>
      </w:pPr>
    </w:p>
    <w:p w14:paraId="125C3E22" w14:textId="77777777" w:rsidR="004136E7" w:rsidRPr="00D813B8" w:rsidRDefault="00834239" w:rsidP="004136E7">
      <w:pPr>
        <w:pStyle w:val="Heading2Agency"/>
      </w:pPr>
      <w:bookmarkStart w:id="17" w:name="_Toc73023991"/>
      <w:r w:rsidRPr="00D813B8">
        <w:t xml:space="preserve">Demand and supply of </w:t>
      </w:r>
      <w:r w:rsidR="008D71DD" w:rsidRPr="00D813B8">
        <w:t xml:space="preserve">the </w:t>
      </w:r>
      <w:r w:rsidRPr="00D813B8">
        <w:t>&lt;</w:t>
      </w:r>
      <w:r w:rsidR="00351A41" w:rsidRPr="00D813B8">
        <w:t xml:space="preserve">name of the authorised </w:t>
      </w:r>
      <w:r w:rsidRPr="00D813B8">
        <w:t>orphan</w:t>
      </w:r>
      <w:r w:rsidR="00D527E7" w:rsidRPr="00D813B8">
        <w:t>&gt;</w:t>
      </w:r>
      <w:r w:rsidRPr="00D813B8">
        <w:t xml:space="preserve"> in the EEA</w:t>
      </w:r>
      <w:bookmarkEnd w:id="17"/>
    </w:p>
    <w:p w14:paraId="77C84CCE" w14:textId="77777777" w:rsidR="004B0B9D" w:rsidRPr="006F271B" w:rsidRDefault="00834239" w:rsidP="004B0B9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>Applicant’s position</w:t>
      </w:r>
    </w:p>
    <w:p w14:paraId="5A376C5A" w14:textId="77777777" w:rsidR="004B0B9D" w:rsidRPr="006F271B" w:rsidRDefault="004B0B9D" w:rsidP="004B0B9D">
      <w:pPr>
        <w:pStyle w:val="BodytextAgency"/>
        <w:rPr>
          <w:szCs w:val="24"/>
          <w:lang w:val="fr-FR"/>
        </w:rPr>
      </w:pPr>
    </w:p>
    <w:p w14:paraId="1B4499BB" w14:textId="77777777" w:rsidR="004B0B9D" w:rsidRPr="006F271B" w:rsidRDefault="00834239" w:rsidP="004B0B9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 xml:space="preserve">&lt;Rapporteur&gt;&lt;CHMP&gt; </w:t>
      </w:r>
      <w:r w:rsidR="005A5EE2" w:rsidRPr="006F271B">
        <w:rPr>
          <w:b/>
          <w:u w:val="single"/>
          <w:lang w:val="fr-FR"/>
        </w:rPr>
        <w:t xml:space="preserve">&lt;CAT&gt; </w:t>
      </w:r>
      <w:r w:rsidRPr="006F271B">
        <w:rPr>
          <w:b/>
          <w:u w:val="single"/>
          <w:lang w:val="fr-FR"/>
        </w:rPr>
        <w:t>position</w:t>
      </w:r>
    </w:p>
    <w:p w14:paraId="31CA5707" w14:textId="77777777" w:rsidR="004B0B9D" w:rsidRPr="00D813B8" w:rsidRDefault="00834239" w:rsidP="00E4206A">
      <w:pPr>
        <w:pStyle w:val="DraftingNotesAgency"/>
      </w:pPr>
      <w:r w:rsidRPr="00D813B8">
        <w:t xml:space="preserve">[This will be a question to </w:t>
      </w:r>
      <w:r w:rsidR="00095A70" w:rsidRPr="00D813B8">
        <w:t xml:space="preserve">be </w:t>
      </w:r>
      <w:r w:rsidRPr="00D813B8">
        <w:t xml:space="preserve">addressed to the </w:t>
      </w:r>
      <w:r w:rsidR="00027780" w:rsidRPr="00D813B8">
        <w:t>applicant/</w:t>
      </w:r>
      <w:r w:rsidRPr="00D813B8">
        <w:t>MAH</w:t>
      </w:r>
      <w:r w:rsidR="00095A70" w:rsidRPr="00D813B8">
        <w:t xml:space="preserve"> of the </w:t>
      </w:r>
      <w:r w:rsidR="004C5451" w:rsidRPr="00D813B8">
        <w:t xml:space="preserve">authorised </w:t>
      </w:r>
      <w:r w:rsidR="00095A70" w:rsidRPr="00D813B8">
        <w:t>orphan product</w:t>
      </w:r>
      <w:r w:rsidR="00551EC9" w:rsidRPr="00D813B8">
        <w:t>.</w:t>
      </w:r>
    </w:p>
    <w:p w14:paraId="3A7974F2" w14:textId="77777777" w:rsidR="007503BC" w:rsidRDefault="00834239" w:rsidP="00E4206A">
      <w:pPr>
        <w:pStyle w:val="DraftingNotesAgency"/>
      </w:pPr>
      <w:r w:rsidRPr="00D813B8">
        <w:t xml:space="preserve">Points to consider: </w:t>
      </w:r>
      <w:r w:rsidR="00C07DF9" w:rsidRPr="00D813B8">
        <w:t xml:space="preserve">response to the </w:t>
      </w:r>
      <w:r w:rsidRPr="00D813B8">
        <w:t xml:space="preserve">current </w:t>
      </w:r>
      <w:r w:rsidR="00C07DF9" w:rsidRPr="00D813B8">
        <w:t>demand for the orphan product in the EEA</w:t>
      </w:r>
      <w:r w:rsidRPr="00D813B8">
        <w:t xml:space="preserve">, </w:t>
      </w:r>
      <w:r w:rsidR="00C07DF9" w:rsidRPr="00D813B8">
        <w:t xml:space="preserve">sales, orders and supply numbers, </w:t>
      </w:r>
      <w:r w:rsidR="00D527E7" w:rsidRPr="00D813B8">
        <w:t xml:space="preserve">compassionate use, on-going clinical trials, </w:t>
      </w:r>
      <w:r w:rsidRPr="00D813B8">
        <w:t>planned batch release</w:t>
      </w:r>
      <w:r w:rsidR="00C07DF9" w:rsidRPr="00D813B8">
        <w:t xml:space="preserve">s and supply strategy in the EEA countries, duration of </w:t>
      </w:r>
      <w:r w:rsidRPr="00D813B8">
        <w:t xml:space="preserve">shortage, </w:t>
      </w:r>
      <w:r w:rsidR="00A85F51" w:rsidRPr="00D813B8">
        <w:t>etc., in case o</w:t>
      </w:r>
      <w:r w:rsidR="00A35D72" w:rsidRPr="00D813B8">
        <w:t>f shortage, its duration, extent</w:t>
      </w:r>
      <w:r w:rsidR="00A85F51" w:rsidRPr="00D813B8">
        <w:t xml:space="preserve"> and cause.</w:t>
      </w:r>
      <w:r w:rsidR="00551EC9" w:rsidRPr="00D813B8">
        <w:t>]</w:t>
      </w:r>
    </w:p>
    <w:p w14:paraId="608833BD" w14:textId="77777777" w:rsidR="007E2305" w:rsidRDefault="007E2305" w:rsidP="007E2305">
      <w:pPr>
        <w:pStyle w:val="BodytextAgency"/>
        <w:rPr>
          <w:b/>
          <w:u w:val="single"/>
        </w:rPr>
      </w:pPr>
    </w:p>
    <w:p w14:paraId="6435D2F8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7FEB50DA" w14:textId="77777777" w:rsidR="007E2305" w:rsidRDefault="00834239" w:rsidP="007E2305">
      <w:pPr>
        <w:pStyle w:val="DraftingNotesAgencyblue"/>
      </w:pPr>
      <w:r>
        <w:t xml:space="preserve"> </w:t>
      </w:r>
    </w:p>
    <w:p w14:paraId="0189B675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1B295257" w14:textId="77777777" w:rsidR="007E2305" w:rsidRPr="007732EB" w:rsidRDefault="007E2305" w:rsidP="007E2305">
      <w:pPr>
        <w:pStyle w:val="BodytextAgencyblue"/>
      </w:pPr>
    </w:p>
    <w:p w14:paraId="1B48910D" w14:textId="77777777" w:rsidR="007E2305" w:rsidRPr="007E2305" w:rsidRDefault="007E2305" w:rsidP="007E2305">
      <w:pPr>
        <w:pStyle w:val="BodytextAgency"/>
      </w:pPr>
    </w:p>
    <w:p w14:paraId="49F15C9A" w14:textId="77777777" w:rsidR="004136E7" w:rsidRPr="00D813B8" w:rsidRDefault="00834239" w:rsidP="004136E7">
      <w:pPr>
        <w:pStyle w:val="Heading2Agency"/>
      </w:pPr>
      <w:bookmarkStart w:id="18" w:name="_Toc73023992"/>
      <w:r w:rsidRPr="00D813B8">
        <w:t xml:space="preserve">Current treatment situation for the </w:t>
      </w:r>
      <w:r w:rsidR="00A85F51" w:rsidRPr="00D813B8">
        <w:t xml:space="preserve">orphan </w:t>
      </w:r>
      <w:r w:rsidRPr="00D813B8">
        <w:t>condition</w:t>
      </w:r>
      <w:bookmarkEnd w:id="18"/>
      <w:r w:rsidR="00A85F51" w:rsidRPr="00D813B8">
        <w:t xml:space="preserve"> </w:t>
      </w:r>
    </w:p>
    <w:p w14:paraId="4B7A5CF8" w14:textId="77777777" w:rsidR="004B0B9D" w:rsidRPr="006F271B" w:rsidRDefault="00834239" w:rsidP="004B0B9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>Applicant’s position</w:t>
      </w:r>
    </w:p>
    <w:p w14:paraId="304D7029" w14:textId="77777777" w:rsidR="004B0B9D" w:rsidRPr="006F271B" w:rsidRDefault="00834239" w:rsidP="004B0B9D">
      <w:pPr>
        <w:pStyle w:val="BodytextAgency"/>
        <w:rPr>
          <w:b/>
          <w:u w:val="single"/>
          <w:lang w:val="fr-FR"/>
        </w:rPr>
      </w:pPr>
      <w:r w:rsidRPr="006F271B">
        <w:rPr>
          <w:b/>
          <w:u w:val="single"/>
          <w:lang w:val="fr-FR"/>
        </w:rPr>
        <w:t xml:space="preserve">&lt;Rapporteur&gt;&lt;CHMP&gt; </w:t>
      </w:r>
      <w:r w:rsidR="005A5EE2" w:rsidRPr="006F271B">
        <w:rPr>
          <w:b/>
          <w:u w:val="single"/>
          <w:lang w:val="fr-FR"/>
        </w:rPr>
        <w:t xml:space="preserve">&lt;CAT&gt; </w:t>
      </w:r>
      <w:r w:rsidRPr="006F271B">
        <w:rPr>
          <w:b/>
          <w:u w:val="single"/>
          <w:lang w:val="fr-FR"/>
        </w:rPr>
        <w:t>position</w:t>
      </w:r>
    </w:p>
    <w:p w14:paraId="25D4951C" w14:textId="77777777" w:rsidR="004B0B9D" w:rsidRPr="00D813B8" w:rsidRDefault="00834239" w:rsidP="00E4206A">
      <w:pPr>
        <w:pStyle w:val="DraftingNotesAgency"/>
      </w:pPr>
      <w:r w:rsidRPr="00D813B8">
        <w:t>[These questions are to be addressed to patients’ and physic</w:t>
      </w:r>
      <w:r w:rsidRPr="00D813B8">
        <w:t>ians’ organisations; depending on the disease, they might also be addressed to the member states (e.g. for questions related to registries).]</w:t>
      </w:r>
    </w:p>
    <w:p w14:paraId="67692032" w14:textId="77777777" w:rsidR="004B0B9D" w:rsidRPr="00D813B8" w:rsidRDefault="00834239" w:rsidP="00E4206A">
      <w:pPr>
        <w:pStyle w:val="DraftingNotesAgency"/>
        <w:rPr>
          <w:szCs w:val="24"/>
        </w:rPr>
      </w:pPr>
      <w:r w:rsidRPr="00D813B8">
        <w:rPr>
          <w:szCs w:val="24"/>
        </w:rPr>
        <w:t xml:space="preserve">- How many patients within your remit </w:t>
      </w:r>
      <w:r w:rsidR="005C7F7A" w:rsidRPr="00D813B8">
        <w:rPr>
          <w:szCs w:val="24"/>
        </w:rPr>
        <w:t>do no</w:t>
      </w:r>
      <w:r w:rsidR="00C06CAC">
        <w:rPr>
          <w:szCs w:val="24"/>
        </w:rPr>
        <w:t>t</w:t>
      </w:r>
      <w:r w:rsidR="005C7F7A" w:rsidRPr="00D813B8">
        <w:rPr>
          <w:szCs w:val="24"/>
        </w:rPr>
        <w:t xml:space="preserve"> receive &lt; orphan medicinal product&gt; as prescribed.</w:t>
      </w:r>
    </w:p>
    <w:p w14:paraId="470513E0" w14:textId="77777777" w:rsidR="004136E7" w:rsidRPr="00D813B8" w:rsidRDefault="00834239" w:rsidP="00E4206A">
      <w:pPr>
        <w:pStyle w:val="DraftingNotesAgency"/>
        <w:rPr>
          <w:szCs w:val="24"/>
        </w:rPr>
      </w:pPr>
      <w:r w:rsidRPr="00D813B8">
        <w:rPr>
          <w:szCs w:val="24"/>
        </w:rPr>
        <w:lastRenderedPageBreak/>
        <w:t xml:space="preserve">- If </w:t>
      </w:r>
      <w:r w:rsidRPr="00D813B8">
        <w:rPr>
          <w:szCs w:val="24"/>
        </w:rPr>
        <w:t>patients are not treated/sub-treated, is this due to an inability of &lt;</w:t>
      </w:r>
      <w:r w:rsidR="00C06CAC" w:rsidRPr="00D813B8">
        <w:rPr>
          <w:szCs w:val="24"/>
        </w:rPr>
        <w:t xml:space="preserve"> </w:t>
      </w:r>
      <w:r w:rsidRPr="00D813B8">
        <w:rPr>
          <w:szCs w:val="24"/>
        </w:rPr>
        <w:t>MAH&gt; to supply &lt;orphan product&gt;</w:t>
      </w:r>
    </w:p>
    <w:p w14:paraId="28D85FED" w14:textId="77777777" w:rsidR="00AE7023" w:rsidRDefault="00834239" w:rsidP="00E4206A">
      <w:pPr>
        <w:pStyle w:val="DraftingNotesAgency"/>
      </w:pPr>
      <w:r w:rsidRPr="00D813B8">
        <w:t>Points to consider: Numbers of patients currently treated with the orphan product with a full dose, with an adjusted dose or frequency of dosing, availab</w:t>
      </w:r>
      <w:r w:rsidRPr="00D813B8">
        <w:t>ility of the orphan product under different system (compassionate use), p</w:t>
      </w:r>
      <w:r w:rsidR="005C7F7A" w:rsidRPr="00D813B8">
        <w:t>r</w:t>
      </w:r>
      <w:r w:rsidRPr="00D813B8">
        <w:t>evious experience with orphan product shortage in this or similar indication,</w:t>
      </w:r>
      <w:r w:rsidR="00D527E7" w:rsidRPr="00D813B8">
        <w:t xml:space="preserve"> experience with “switching” patients to other treatment,</w:t>
      </w:r>
      <w:r w:rsidRPr="00D813B8">
        <w:t xml:space="preserve"> etc</w:t>
      </w:r>
      <w:r w:rsidR="00551EC9" w:rsidRPr="00D813B8">
        <w:t>…]</w:t>
      </w:r>
    </w:p>
    <w:p w14:paraId="0FE4E1FD" w14:textId="77777777" w:rsidR="007E2305" w:rsidRDefault="007E2305" w:rsidP="007E2305">
      <w:pPr>
        <w:pStyle w:val="BodytextAgency"/>
      </w:pPr>
    </w:p>
    <w:p w14:paraId="5ABE670C" w14:textId="77777777" w:rsidR="007E2305" w:rsidRDefault="007E2305" w:rsidP="007E2305">
      <w:pPr>
        <w:pStyle w:val="BodytextAgency"/>
        <w:rPr>
          <w:b/>
          <w:u w:val="single"/>
        </w:rPr>
      </w:pPr>
    </w:p>
    <w:p w14:paraId="558423C8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495D8320" w14:textId="77777777" w:rsidR="007E2305" w:rsidRDefault="00834239" w:rsidP="007E2305">
      <w:pPr>
        <w:pStyle w:val="DraftingNotesAgencyblue"/>
      </w:pPr>
      <w:r>
        <w:t xml:space="preserve"> </w:t>
      </w:r>
    </w:p>
    <w:p w14:paraId="237C49CE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with the Rapporteur.</w:t>
      </w:r>
    </w:p>
    <w:p w14:paraId="72281BE1" w14:textId="77777777" w:rsidR="007E2305" w:rsidRPr="007732EB" w:rsidRDefault="007E2305" w:rsidP="007E2305">
      <w:pPr>
        <w:pStyle w:val="BodytextAgencyblue"/>
      </w:pPr>
    </w:p>
    <w:p w14:paraId="07C281D9" w14:textId="77777777" w:rsidR="007E2305" w:rsidRPr="007E2305" w:rsidRDefault="007E2305" w:rsidP="007E2305">
      <w:pPr>
        <w:pStyle w:val="BodytextAgency"/>
      </w:pPr>
    </w:p>
    <w:p w14:paraId="4BFC2617" w14:textId="77777777" w:rsidR="00274704" w:rsidRPr="00D813B8" w:rsidRDefault="00834239" w:rsidP="007503BC">
      <w:pPr>
        <w:pStyle w:val="Heading1Agency"/>
      </w:pPr>
      <w:bookmarkStart w:id="19" w:name="_Toc73023993"/>
      <w:r w:rsidRPr="00D813B8">
        <w:t>Conclusion</w:t>
      </w:r>
      <w:bookmarkEnd w:id="19"/>
    </w:p>
    <w:p w14:paraId="234E2C67" w14:textId="77777777" w:rsidR="00095A70" w:rsidRDefault="00834239" w:rsidP="00095A70">
      <w:pPr>
        <w:pStyle w:val="Heading2Agency"/>
      </w:pPr>
      <w:bookmarkStart w:id="20" w:name="_Toc73023994"/>
      <w:r w:rsidRPr="00D813B8">
        <w:t>&lt;Conclusion on clinical superiority&gt;</w:t>
      </w:r>
      <w:bookmarkEnd w:id="20"/>
    </w:p>
    <w:p w14:paraId="090A426A" w14:textId="77777777" w:rsidR="007E2305" w:rsidRDefault="007E2305" w:rsidP="007E2305">
      <w:pPr>
        <w:pStyle w:val="BodytextAgency"/>
      </w:pPr>
    </w:p>
    <w:p w14:paraId="69A28B90" w14:textId="77777777" w:rsidR="007E2305" w:rsidRDefault="007E2305" w:rsidP="007E2305">
      <w:pPr>
        <w:pStyle w:val="BodytextAgency"/>
        <w:rPr>
          <w:b/>
          <w:u w:val="single"/>
        </w:rPr>
      </w:pPr>
    </w:p>
    <w:p w14:paraId="1BD0EFDA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398E3E2F" w14:textId="77777777" w:rsidR="007E2305" w:rsidRDefault="00834239" w:rsidP="007E2305">
      <w:pPr>
        <w:pStyle w:val="DraftingNotesAgencyblue"/>
      </w:pPr>
      <w:r>
        <w:t xml:space="preserve"> </w:t>
      </w:r>
    </w:p>
    <w:p w14:paraId="20F46F90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wi</w:t>
      </w:r>
      <w:r w:rsidRPr="004E49AC">
        <w:t>th the Rapporteur.</w:t>
      </w:r>
    </w:p>
    <w:p w14:paraId="5C689CA9" w14:textId="77777777" w:rsidR="007E2305" w:rsidRPr="007732EB" w:rsidRDefault="007E2305" w:rsidP="007E2305">
      <w:pPr>
        <w:pStyle w:val="BodytextAgencyblue"/>
      </w:pPr>
    </w:p>
    <w:p w14:paraId="344EE5D3" w14:textId="77777777" w:rsidR="007E2305" w:rsidRPr="007E2305" w:rsidRDefault="007E2305" w:rsidP="007E2305">
      <w:pPr>
        <w:pStyle w:val="BodytextAgency"/>
      </w:pPr>
    </w:p>
    <w:p w14:paraId="51D38EBE" w14:textId="77777777" w:rsidR="00095A70" w:rsidRDefault="00834239" w:rsidP="00095A70">
      <w:pPr>
        <w:pStyle w:val="Heading2Agency"/>
      </w:pPr>
      <w:bookmarkStart w:id="21" w:name="_Toc73023995"/>
      <w:r w:rsidRPr="00D813B8">
        <w:t xml:space="preserve">&lt;Conclusion on the inability </w:t>
      </w:r>
      <w:r w:rsidR="00070EC0" w:rsidRPr="00D813B8">
        <w:t>of &lt;</w:t>
      </w:r>
      <w:r w:rsidR="00027780" w:rsidRPr="00D813B8">
        <w:t>applicant/</w:t>
      </w:r>
      <w:r w:rsidR="00070EC0" w:rsidRPr="00D813B8">
        <w:t xml:space="preserve">MAH&gt; </w:t>
      </w:r>
      <w:r w:rsidRPr="00D813B8">
        <w:t xml:space="preserve">to supply sufficient quantities of </w:t>
      </w:r>
      <w:r w:rsidR="00351A41" w:rsidRPr="00D813B8">
        <w:t xml:space="preserve">the &lt;name of the authorised </w:t>
      </w:r>
      <w:r w:rsidRPr="00D813B8">
        <w:t>orphan product</w:t>
      </w:r>
      <w:r w:rsidR="00351A41" w:rsidRPr="00D813B8">
        <w:t>&gt;</w:t>
      </w:r>
      <w:r w:rsidRPr="00D813B8">
        <w:t>&gt;</w:t>
      </w:r>
      <w:bookmarkEnd w:id="21"/>
    </w:p>
    <w:p w14:paraId="3C17E69D" w14:textId="77777777" w:rsidR="007E2305" w:rsidRDefault="007E2305" w:rsidP="007E2305">
      <w:pPr>
        <w:pStyle w:val="BodytextAgency"/>
      </w:pPr>
    </w:p>
    <w:p w14:paraId="7BF6FBD5" w14:textId="77777777" w:rsidR="007E2305" w:rsidRDefault="007E2305" w:rsidP="007E2305">
      <w:pPr>
        <w:pStyle w:val="BodytextAgency"/>
        <w:rPr>
          <w:b/>
          <w:u w:val="single"/>
        </w:rPr>
      </w:pPr>
    </w:p>
    <w:p w14:paraId="4D2822AC" w14:textId="77777777" w:rsidR="007E2305" w:rsidRPr="001F1EC0" w:rsidRDefault="00834239" w:rsidP="007E2305">
      <w:pPr>
        <w:pStyle w:val="BodytextAgencyblue"/>
        <w:rPr>
          <w:vanish/>
          <w:specVanish/>
        </w:rPr>
      </w:pPr>
      <w:r w:rsidRPr="005F2ED7">
        <w:t>Co-Rapporteur assessment</w:t>
      </w:r>
    </w:p>
    <w:p w14:paraId="17C709E9" w14:textId="77777777" w:rsidR="007E2305" w:rsidRDefault="00834239" w:rsidP="007E2305">
      <w:pPr>
        <w:pStyle w:val="DraftingNotesAgencyblue"/>
      </w:pPr>
      <w:r>
        <w:t xml:space="preserve"> </w:t>
      </w:r>
    </w:p>
    <w:p w14:paraId="49D3F8ED" w14:textId="77777777" w:rsidR="007E2305" w:rsidRDefault="00834239" w:rsidP="007E2305">
      <w:pPr>
        <w:pStyle w:val="DraftingNotesAgencyblue"/>
      </w:pPr>
      <w:r w:rsidRPr="004E49AC">
        <w:t xml:space="preserve">Please </w:t>
      </w:r>
      <w:r w:rsidRPr="004E49AC">
        <w:rPr>
          <w:u w:val="single"/>
        </w:rPr>
        <w:t>always</w:t>
      </w:r>
      <w:r w:rsidRPr="004E49AC">
        <w:t xml:space="preserve"> insert the Co-Rapporteur </w:t>
      </w:r>
      <w:r>
        <w:t>assessment</w:t>
      </w:r>
      <w:r w:rsidRPr="004E49AC">
        <w:t xml:space="preserve"> even if there is agreement w</w:t>
      </w:r>
      <w:r w:rsidRPr="004E49AC">
        <w:t>ith the Rapporteur.</w:t>
      </w:r>
    </w:p>
    <w:p w14:paraId="6401684C" w14:textId="77777777" w:rsidR="007E2305" w:rsidRPr="007732EB" w:rsidRDefault="007E2305" w:rsidP="007E2305">
      <w:pPr>
        <w:pStyle w:val="BodytextAgencyblue"/>
      </w:pPr>
    </w:p>
    <w:p w14:paraId="250B2166" w14:textId="77777777" w:rsidR="007E2305" w:rsidRPr="007E2305" w:rsidRDefault="007E2305" w:rsidP="007E2305">
      <w:pPr>
        <w:pStyle w:val="BodytextAgency"/>
      </w:pPr>
    </w:p>
    <w:p w14:paraId="370D0E36" w14:textId="77777777" w:rsidR="00274704" w:rsidRDefault="00834239" w:rsidP="006F271B">
      <w:pPr>
        <w:pStyle w:val="Heading1Agency"/>
      </w:pPr>
      <w:bookmarkStart w:id="22" w:name="_Toc156978504"/>
      <w:bookmarkStart w:id="23" w:name="_Toc73023996"/>
      <w:r w:rsidRPr="00D813B8">
        <w:lastRenderedPageBreak/>
        <w:t>&lt;</w:t>
      </w:r>
      <w:bookmarkEnd w:id="22"/>
      <w:r w:rsidR="00C5497C" w:rsidRPr="00D813B8">
        <w:t>List of questions</w:t>
      </w:r>
      <w:r w:rsidRPr="00D813B8">
        <w:t>&gt;</w:t>
      </w:r>
      <w:bookmarkEnd w:id="23"/>
    </w:p>
    <w:p w14:paraId="0AE70463" w14:textId="77777777" w:rsidR="007E2305" w:rsidRDefault="007E2305" w:rsidP="007E2305">
      <w:pPr>
        <w:pStyle w:val="BodytextAgency"/>
      </w:pPr>
    </w:p>
    <w:p w14:paraId="5BA00A7A" w14:textId="77777777" w:rsidR="007E2305" w:rsidRPr="005F2ED7" w:rsidRDefault="00834239" w:rsidP="007E23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F2ED7">
        <w:t xml:space="preserve">For the Co-Rapporteur assessment: </w:t>
      </w:r>
    </w:p>
    <w:p w14:paraId="25BED339" w14:textId="77777777" w:rsidR="007E2305" w:rsidRPr="005F2ED7" w:rsidRDefault="00834239" w:rsidP="007E2305">
      <w:pPr>
        <w:pStyle w:val="DraftingNotesAgency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5F2ED7">
        <w:t xml:space="preserve">When there is </w:t>
      </w:r>
      <w:r>
        <w:t xml:space="preserve">a </w:t>
      </w:r>
      <w:r w:rsidRPr="005F2ED7">
        <w:t>proposal to have new questions, remove questions from the Rapporteur or amend them</w:t>
      </w:r>
      <w:r>
        <w:t>,</w:t>
      </w:r>
      <w:r w:rsidRPr="005F2ED7">
        <w:t xml:space="preserve"> </w:t>
      </w:r>
      <w:r>
        <w:t>such</w:t>
      </w:r>
      <w:r w:rsidRPr="005F2ED7">
        <w:t xml:space="preserve"> proposal must always be introduced in a separate box ideally within each relevant section. Track-changes and strikethrough must not be used. These amendments should always be justified in the relevant sections of the report with a cross reference to the L</w:t>
      </w:r>
      <w:r w:rsidRPr="005F2ED7">
        <w:t xml:space="preserve">oQ. </w:t>
      </w:r>
    </w:p>
    <w:p w14:paraId="24B9F093" w14:textId="77777777" w:rsidR="007E2305" w:rsidRPr="007E2305" w:rsidRDefault="007E2305" w:rsidP="007E2305">
      <w:pPr>
        <w:pStyle w:val="BodytextAgency"/>
      </w:pPr>
    </w:p>
    <w:p w14:paraId="0C4EFA18" w14:textId="77777777" w:rsidR="000707AB" w:rsidRPr="00D813B8" w:rsidRDefault="00834239" w:rsidP="00E4206A">
      <w:pPr>
        <w:pStyle w:val="Heading1Agency"/>
      </w:pPr>
      <w:bookmarkStart w:id="24" w:name="_Toc73023997"/>
      <w:r w:rsidRPr="00D813B8">
        <w:t>&lt;</w:t>
      </w:r>
      <w:r w:rsidR="00520425" w:rsidRPr="00D813B8">
        <w:t>A</w:t>
      </w:r>
      <w:r w:rsidRPr="00D813B8">
        <w:t xml:space="preserve">ssessment on the responses </w:t>
      </w:r>
      <w:r w:rsidR="007108B3" w:rsidRPr="00D813B8">
        <w:t>to the list of questions</w:t>
      </w:r>
      <w:r w:rsidRPr="00D813B8">
        <w:t>&gt;</w:t>
      </w:r>
      <w:bookmarkEnd w:id="24"/>
    </w:p>
    <w:p w14:paraId="4CDD1128" w14:textId="77777777" w:rsidR="003F0562" w:rsidRPr="00D813B8" w:rsidRDefault="00834239" w:rsidP="00411C99">
      <w:pPr>
        <w:pStyle w:val="Heading1Agency"/>
      </w:pPr>
      <w:bookmarkStart w:id="25" w:name="_Toc73023998"/>
      <w:r w:rsidRPr="00D813B8">
        <w:t xml:space="preserve">&lt;Final </w:t>
      </w:r>
      <w:r w:rsidR="00070EC0" w:rsidRPr="00D813B8">
        <w:t>c</w:t>
      </w:r>
      <w:r w:rsidRPr="00D813B8">
        <w:t>onclusion&gt;</w:t>
      </w:r>
      <w:bookmarkEnd w:id="25"/>
      <w:r w:rsidRPr="00D813B8">
        <w:t xml:space="preserve"> </w:t>
      </w:r>
    </w:p>
    <w:p w14:paraId="57E80C56" w14:textId="77777777" w:rsidR="00336267" w:rsidRPr="00D813B8" w:rsidRDefault="00834239" w:rsidP="00336267">
      <w:pPr>
        <w:pStyle w:val="Heading1Agency"/>
      </w:pPr>
      <w:bookmarkStart w:id="26" w:name="_Toc275852715"/>
      <w:bookmarkStart w:id="27" w:name="_Toc73023999"/>
      <w:r w:rsidRPr="00D813B8">
        <w:t>Attachments</w:t>
      </w:r>
      <w:bookmarkEnd w:id="26"/>
      <w:bookmarkEnd w:id="27"/>
    </w:p>
    <w:p w14:paraId="7C2E3327" w14:textId="77777777" w:rsidR="00C5497C" w:rsidRPr="00D813B8" w:rsidRDefault="00834239" w:rsidP="006F271B">
      <w:pPr>
        <w:pStyle w:val="Heading2Agency"/>
      </w:pPr>
      <w:bookmarkStart w:id="28" w:name="_Toc73024000"/>
      <w:r w:rsidRPr="00D813B8">
        <w:t>&lt;</w:t>
      </w:r>
      <w:r w:rsidR="00C005EE" w:rsidRPr="00D813B8">
        <w:t>CHMP</w:t>
      </w:r>
      <w:r w:rsidRPr="00D813B8">
        <w:t>&gt;</w:t>
      </w:r>
      <w:r w:rsidR="00C005EE" w:rsidRPr="00D813B8">
        <w:t xml:space="preserve"> </w:t>
      </w:r>
      <w:r w:rsidRPr="00D813B8">
        <w:rPr>
          <w:u w:val="single"/>
        </w:rPr>
        <w:t xml:space="preserve">&lt;CAT&gt; </w:t>
      </w:r>
      <w:r w:rsidR="00C005EE" w:rsidRPr="00D813B8">
        <w:t>assessment report for &lt;name of the product&gt; on similarity with &lt;</w:t>
      </w:r>
      <w:r w:rsidR="00E4206A" w:rsidRPr="00D813B8">
        <w:t xml:space="preserve">name of the </w:t>
      </w:r>
      <w:r w:rsidR="00C005EE" w:rsidRPr="00D813B8">
        <w:t>authorised</w:t>
      </w:r>
      <w:r w:rsidR="00E4206A" w:rsidRPr="00D813B8">
        <w:t xml:space="preserve"> orphan</w:t>
      </w:r>
      <w:r w:rsidR="00C005EE" w:rsidRPr="00D813B8">
        <w:t xml:space="preserve"> product&gt;.</w:t>
      </w:r>
      <w:bookmarkEnd w:id="28"/>
    </w:p>
    <w:sectPr w:rsidR="00C5497C" w:rsidRPr="00D813B8" w:rsidSect="00150AFE">
      <w:footerReference w:type="default" r:id="rId15"/>
      <w:headerReference w:type="first" r:id="rId16"/>
      <w:footerReference w:type="first" r:id="rId17"/>
      <w:pgSz w:w="11907" w:h="16839" w:code="9"/>
      <w:pgMar w:top="1418" w:right="1247" w:bottom="1418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4E2F" w14:textId="77777777" w:rsidR="00000000" w:rsidRDefault="00834239">
      <w:r>
        <w:separator/>
      </w:r>
    </w:p>
  </w:endnote>
  <w:endnote w:type="continuationSeparator" w:id="0">
    <w:p w14:paraId="16CD276F" w14:textId="77777777" w:rsidR="00000000" w:rsidRDefault="0083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46C0" w14:textId="77777777" w:rsidR="0004345C" w:rsidRDefault="00043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CA2C59" w14:paraId="3E3DC62B" w14:textId="77777777" w:rsidTr="00FA7D01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17F23800" w14:textId="77777777" w:rsidR="00C93B43" w:rsidRPr="00A44B87" w:rsidRDefault="00834239" w:rsidP="00FA7D01">
          <w:pPr>
            <w:pStyle w:val="FooterAgency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79DEE2A8" wp14:editId="76AA3BB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10235565</wp:posOffset>
                    </wp:positionV>
                    <wp:extent cx="7560945" cy="266700"/>
                    <wp:effectExtent l="0" t="0" r="1905" b="3810"/>
                    <wp:wrapNone/>
                    <wp:docPr id="6" name="MSIPCMa6d6495da525118fd69f917e" descr="{&quot;HashCode&quot;:835208440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C77372" w14:textId="77777777" w:rsidR="001412FA" w:rsidRPr="001412FA" w:rsidRDefault="001412FA" w:rsidP="001412FA">
                                <w:pPr>
                                  <w:jc w:val="center"/>
                                  <w:rPr>
                                    <w:color w:val="737373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6d6495da525118fd69f917e" o:spid="_x0000_s2049" type="#_x0000_t202" alt="{&quot;HashCode&quot;:835208440,&quot;Height&quot;:841.0,&quot;Width&quot;:595.0,&quot;Placement&quot;:&quot;Footer&quot;,&quot;Index&quot;:&quot;Primary&quot;,&quot;Section&quot;:1,&quot;Top&quot;:0.0,&quot;Left&quot;:0.0}" style="width:595.35pt;height:21pt;margin-top:805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59264" o:allowincell="f" filled="f" stroked="f">
                    <v:textbox inset=",0,,0">
                      <w:txbxContent>
                        <w:p w:rsidR="001412FA" w:rsidRPr="001412FA" w:rsidP="001412FA" w14:paraId="13EA1A4D" w14:textId="77777777">
                          <w:pPr>
                            <w:jc w:val="center"/>
                            <w:rPr>
                              <w:color w:val="737373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425B28EC" w14:textId="77777777" w:rsidR="00C93B43" w:rsidRPr="00A44B87" w:rsidRDefault="00C93B43" w:rsidP="00FA7D01">
          <w:pPr>
            <w:pStyle w:val="FooterAgency"/>
          </w:pPr>
        </w:p>
      </w:tc>
    </w:tr>
    <w:tr w:rsidR="00CA2C59" w14:paraId="37716351" w14:textId="77777777" w:rsidTr="00FA7D01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62E830B1" w14:textId="77777777" w:rsidR="00C93B43" w:rsidRPr="00A44B87" w:rsidRDefault="00C93B43" w:rsidP="00FA7D01">
          <w:pPr>
            <w:pStyle w:val="FooterAgency"/>
          </w:pP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0A0E4AD" w14:textId="77777777" w:rsidR="00C93B43" w:rsidRPr="000955BF" w:rsidRDefault="00C93B43" w:rsidP="00FA7D01">
          <w:pPr>
            <w:jc w:val="right"/>
            <w:rPr>
              <w:rStyle w:val="PageNumberAgency0"/>
            </w:rPr>
          </w:pPr>
        </w:p>
      </w:tc>
    </w:tr>
  </w:tbl>
  <w:p w14:paraId="13FBE32F" w14:textId="77777777" w:rsidR="00411C99" w:rsidRPr="00C93B43" w:rsidRDefault="00411C99" w:rsidP="00C93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51A" w14:textId="77777777" w:rsidR="001412FA" w:rsidRDefault="008342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C0EE75" wp14:editId="3388F3C5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1905" b="3810"/>
              <wp:wrapNone/>
              <wp:docPr id="5" name="MSIPCMcc294505a0ab99415322d937" descr="{&quot;HashCode&quot;:83520844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43B31" w14:textId="77777777" w:rsidR="001412FA" w:rsidRPr="001412FA" w:rsidRDefault="001412FA" w:rsidP="001412FA">
                          <w:pPr>
                            <w:jc w:val="center"/>
                            <w:rPr>
                              <w:color w:val="737373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c294505a0ab99415322d937" o:spid="_x0000_s2050" type="#_x0000_t202" alt="{&quot;HashCode&quot;:835208440,&quot;Height&quot;:841.0,&quot;Width&quot;:595.0,&quot;Placement&quot;:&quot;Footer&quot;,&quot;Index&quot;:&quot;FirstPage&quot;,&quot;Section&quot;:1,&quot;Top&quot;:0.0,&quot;Left&quot;:0.0}" style="width:595.35pt;height:21pt;margin-top:805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61312" o:allowincell="f" filled="f" stroked="f">
              <v:textbox inset=",0,,0">
                <w:txbxContent>
                  <w:p w:rsidR="001412FA" w:rsidRPr="001412FA" w:rsidP="001412FA" w14:paraId="6934495F" w14:textId="77777777">
                    <w:pPr>
                      <w:jc w:val="center"/>
                      <w:rPr>
                        <w:color w:val="737373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CA2C59" w14:paraId="796FE804" w14:textId="77777777" w:rsidTr="00E23970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13DBFC6F" w14:textId="77777777" w:rsidR="00411C99" w:rsidRPr="00A44B87" w:rsidRDefault="00834239">
          <w:pPr>
            <w:pStyle w:val="FooterAgency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27FC8A62" wp14:editId="1E55A5D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10235565</wp:posOffset>
                    </wp:positionV>
                    <wp:extent cx="7560945" cy="266700"/>
                    <wp:effectExtent l="0" t="0" r="1905" b="3810"/>
                    <wp:wrapNone/>
                    <wp:docPr id="4" name="MSIPCM4eb94436a7fb1326a943ddb9" descr="{&quot;HashCode&quot;:835208440,&quot;Height&quot;:841.0,&quot;Width&quot;:595.0,&quot;Placement&quot;:&quot;Footer&quot;,&quot;Index&quot;:&quot;Primary&quot;,&quot;Section&quot;:2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A3AD5" w14:textId="77777777" w:rsidR="001412FA" w:rsidRPr="001412FA" w:rsidRDefault="001412FA" w:rsidP="001412FA">
                                <w:pPr>
                                  <w:jc w:val="center"/>
                                  <w:rPr>
                                    <w:color w:val="737373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eb94436a7fb1326a943ddb9" o:spid="_x0000_s2051" type="#_x0000_t202" alt="{&quot;HashCode&quot;:835208440,&quot;Height&quot;:841.0,&quot;Width&quot;:595.0,&quot;Placement&quot;:&quot;Footer&quot;,&quot;Index&quot;:&quot;Primary&quot;,&quot;Section&quot;:2,&quot;Top&quot;:0.0,&quot;Left&quot;:0.0}" style="width:595.35pt;height:21pt;margin-top:805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63360" o:allowincell="f" filled="f" stroked="f">
                    <v:textbox inset=",0,,0">
                      <w:txbxContent>
                        <w:p w:rsidR="001412FA" w:rsidRPr="001412FA" w:rsidP="001412FA" w14:paraId="2674E2DB" w14:textId="77777777">
                          <w:pPr>
                            <w:jc w:val="center"/>
                            <w:rPr>
                              <w:color w:val="737373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CA2C59" w14:paraId="677CAD4D" w14:textId="77777777" w:rsidTr="00E23970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5524DC69" w14:textId="34C9CF13" w:rsidR="00411C99" w:rsidRPr="00A44B87" w:rsidRDefault="00834239">
          <w:pPr>
            <w:pStyle w:val="FooterAgency"/>
          </w:pPr>
          <w:r w:rsidRPr="00E23970">
            <w:rPr>
              <w:szCs w:val="15"/>
            </w:rPr>
            <w:fldChar w:fldCharType="begin"/>
          </w:r>
          <w:r w:rsidRPr="00E23970">
            <w:rPr>
              <w:szCs w:val="15"/>
            </w:rPr>
            <w:instrText xml:space="preserve"> IF </w:instrText>
          </w:r>
          <w:r w:rsidR="00D0499E">
            <w:fldChar w:fldCharType="begin"/>
          </w:r>
          <w:r>
            <w:instrText xml:space="preserve"> STYLEREF  "Doc title (Agency)"  \* MERGEFORMAT </w:instrText>
          </w:r>
          <w:r w:rsidR="00D0499E">
            <w:fldChar w:fldCharType="separate"/>
          </w:r>
          <w:r w:rsidRPr="00834239">
            <w:rPr>
              <w:b/>
              <w:bCs/>
              <w:noProof/>
              <w:lang w:val="en-US"/>
            </w:rPr>
            <w:instrText>&lt;Updated</w:instrText>
          </w:r>
          <w:r>
            <w:rPr>
              <w:noProof/>
            </w:rPr>
            <w:instrText>&gt;&lt;Rapporteur &lt;and Co-Rapporteur&gt; &gt;&lt;&lt;CHMP&gt;&lt;CAT&gt; &lt;Assessment Report&gt;&lt;List of Questions&gt; for &lt;Product&gt; on derogations applicable to similar orphan products</w:instrText>
          </w:r>
          <w:r w:rsidR="00D0499E">
            <w:rPr>
              <w:noProof/>
            </w:rPr>
            <w:fldChar w:fldCharType="end"/>
          </w:r>
          <w:r w:rsidRPr="00E23970">
            <w:rPr>
              <w:szCs w:val="15"/>
            </w:rPr>
            <w:instrText xml:space="preserve"> &lt;&gt; "Error*"</w:instrText>
          </w:r>
          <w:r w:rsidR="00D0499E">
            <w:fldChar w:fldCharType="begin"/>
          </w:r>
          <w:r>
            <w:instrText xml:space="preserve"> STYLEREF  "Doc title (Agency)"  \* MERGEFORMAT </w:instrText>
          </w:r>
          <w:r w:rsidR="00D0499E">
            <w:fldChar w:fldCharType="separate"/>
          </w:r>
          <w:r>
            <w:rPr>
              <w:noProof/>
            </w:rPr>
            <w:instrText>&lt;Updated&gt;&lt;Rapporteur &lt;and Co-Rapporteur&gt; &gt;&lt;&lt;CHMP&gt;&lt;CAT&gt; &lt;Assessment Report&gt;&lt;List of Questions&gt; for &lt;Product&gt; on derogations applicable to similar orphan products</w:instrText>
          </w:r>
          <w:r w:rsidR="00D0499E">
            <w:rPr>
              <w:noProof/>
            </w:rPr>
            <w:fldChar w:fldCharType="end"/>
          </w:r>
          <w:r w:rsidRPr="00E23970">
            <w:rPr>
              <w:szCs w:val="15"/>
            </w:rPr>
            <w:instrText xml:space="preserve"> \* MERGEFORMAT </w:instrText>
          </w:r>
          <w:r w:rsidRPr="00E23970">
            <w:rPr>
              <w:szCs w:val="15"/>
            </w:rPr>
            <w:fldChar w:fldCharType="separate"/>
          </w:r>
          <w:r>
            <w:rPr>
              <w:noProof/>
            </w:rPr>
            <w:t>&lt;Updated&gt;&lt;Rapporteur &lt;and Co-Rapporteur&gt; &gt;&lt;&lt;CHMP&gt;&lt;CAT&gt; &lt;Assessment Report&gt;&lt;List of Questions&gt; for &lt;Product&gt; on derogations applicable to similar orphan products</w:t>
          </w:r>
          <w:r w:rsidRPr="00E23970">
            <w:rPr>
              <w:szCs w:val="15"/>
            </w:rPr>
            <w:fldChar w:fldCharType="end"/>
          </w:r>
          <w:r w:rsidRPr="00E2397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22884D6" w14:textId="77777777" w:rsidR="00411C99" w:rsidRPr="00A44B87" w:rsidRDefault="00411C99">
          <w:pPr>
            <w:pStyle w:val="FooterAgency"/>
          </w:pPr>
        </w:p>
      </w:tc>
    </w:tr>
    <w:tr w:rsidR="00CA2C59" w14:paraId="6F38462D" w14:textId="77777777" w:rsidTr="00E23970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35115F95" w14:textId="77777777" w:rsidR="005A4343" w:rsidRPr="005A4343" w:rsidRDefault="00834239" w:rsidP="005A4343">
          <w:pPr>
            <w:rPr>
              <w:rFonts w:eastAsia="Verdana"/>
              <w:color w:val="6D6F71"/>
              <w:sz w:val="14"/>
              <w:szCs w:val="15"/>
              <w:lang w:eastAsia="en-GB"/>
            </w:rPr>
          </w:pPr>
          <w:r w:rsidRPr="0004345C">
            <w:rPr>
              <w:rFonts w:eastAsia="Verdana"/>
              <w:color w:val="6D6F71"/>
              <w:sz w:val="14"/>
              <w:szCs w:val="15"/>
              <w:lang w:eastAsia="en-GB"/>
            </w:rPr>
            <w:t>&lt;Doc.Ref.&gt;</w:t>
          </w:r>
        </w:p>
        <w:p w14:paraId="768CA43A" w14:textId="77777777" w:rsidR="00411C99" w:rsidRPr="00A44B87" w:rsidRDefault="00834239" w:rsidP="005A4343">
          <w:pPr>
            <w:pStyle w:val="FooterAgency"/>
          </w:pPr>
          <w:r w:rsidRPr="005A4343">
            <w:rPr>
              <w:szCs w:val="15"/>
            </w:rPr>
            <w:t>Rev</w:t>
          </w:r>
          <w:r w:rsidR="006F271B">
            <w:rPr>
              <w:szCs w:val="15"/>
            </w:rPr>
            <w:t xml:space="preserve"> 05.21</w:t>
          </w:r>
          <w:r w:rsidRPr="005A4343">
            <w:rPr>
              <w:szCs w:val="15"/>
            </w:rPr>
            <w:t xml:space="preserve"> </w:t>
          </w:r>
          <w:r w:rsidRPr="00E2397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C8541C1" w14:textId="77777777" w:rsidR="00411C99" w:rsidRPr="00A44B87" w:rsidRDefault="00834239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454A02">
            <w:rPr>
              <w:noProof/>
            </w:rPr>
            <w:t>5</w:t>
          </w:r>
          <w:r w:rsidRPr="006E62FC">
            <w:fldChar w:fldCharType="end"/>
          </w:r>
          <w:r w:rsidRPr="006E62FC">
            <w:t>/</w:t>
          </w:r>
          <w:r w:rsidR="00454A02">
            <w:fldChar w:fldCharType="begin"/>
          </w:r>
          <w:r>
            <w:instrText xml:space="preserve"> NUMPAGES </w:instrText>
          </w:r>
          <w:r w:rsidR="00454A02">
            <w:fldChar w:fldCharType="separate"/>
          </w:r>
          <w:r w:rsidR="00454A02">
            <w:rPr>
              <w:noProof/>
            </w:rPr>
            <w:t>7</w:t>
          </w:r>
          <w:r w:rsidR="00454A02">
            <w:rPr>
              <w:noProof/>
            </w:rPr>
            <w:fldChar w:fldCharType="end"/>
          </w:r>
        </w:p>
      </w:tc>
    </w:tr>
  </w:tbl>
  <w:p w14:paraId="5CE92DF9" w14:textId="77777777" w:rsidR="00411C99" w:rsidRDefault="00411C99" w:rsidP="002D7502">
    <w:pPr>
      <w:pStyle w:val="FooterAgenc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206"/>
      <w:gridCol w:w="3207"/>
    </w:tblGrid>
    <w:tr w:rsidR="00CA2C59" w14:paraId="7C2D3947" w14:textId="77777777" w:rsidTr="00E23970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604CC4F8" w14:textId="77777777" w:rsidR="00411C99" w:rsidRPr="00A44B87" w:rsidRDefault="00834239" w:rsidP="00803E5E">
          <w:pPr>
            <w:pStyle w:val="FooterAgency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7E915D99" wp14:editId="29C0A44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10235565</wp:posOffset>
                    </wp:positionV>
                    <wp:extent cx="7560945" cy="266700"/>
                    <wp:effectExtent l="0" t="0" r="1905" b="3810"/>
                    <wp:wrapNone/>
                    <wp:docPr id="3" name="MSIPCM155848339a66cca7672d1756" descr="{&quot;HashCode&quot;:835208440,&quot;Height&quot;:841.0,&quot;Width&quot;:595.0,&quot;Placement&quot;:&quot;Footer&quot;,&quot;Index&quot;:&quot;FirstPage&quot;,&quot;Section&quot;:2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A25D7E" w14:textId="77777777" w:rsidR="001412FA" w:rsidRPr="001412FA" w:rsidRDefault="001412FA" w:rsidP="001412FA">
                                <w:pPr>
                                  <w:jc w:val="center"/>
                                  <w:rPr>
                                    <w:color w:val="737373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55848339a66cca7672d1756" o:spid="_x0000_s2052" type="#_x0000_t202" alt="{&quot;HashCode&quot;:835208440,&quot;Height&quot;:841.0,&quot;Width&quot;:595.0,&quot;Placement&quot;:&quot;Footer&quot;,&quot;Index&quot;:&quot;FirstPage&quot;,&quot;Section&quot;:2,&quot;Top&quot;:0.0,&quot;Left&quot;:0.0}" style="width:595.35pt;height:21pt;margin-top:805.9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bottom;z-index:251665408" o:allowincell="f" filled="f" stroked="f">
                    <v:textbox inset=",0,,0">
                      <w:txbxContent>
                        <w:p w:rsidR="001412FA" w:rsidRPr="001412FA" w:rsidP="001412FA" w14:paraId="5C83CDEC" w14:textId="77777777">
                          <w:pPr>
                            <w:jc w:val="center"/>
                            <w:rPr>
                              <w:color w:val="737373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CA2C59" w14:paraId="3B76AD16" w14:textId="77777777" w:rsidTr="00E23970"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DFB5B2A" w14:textId="77777777" w:rsidR="00411C99" w:rsidRPr="003A07BE" w:rsidRDefault="00834239" w:rsidP="00803E5E">
          <w:pPr>
            <w:pStyle w:val="FooterAgency"/>
          </w:pPr>
          <w:r w:rsidRPr="003A07BE">
            <w:t xml:space="preserve">7 Westferry Circus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</w:t>
          </w:r>
          <w:smartTag w:uri="urn:schemas-microsoft-com:office:smarttags" w:element="PlaceName">
            <w:r w:rsidRPr="003A07BE">
              <w:t>Canary</w:t>
            </w:r>
          </w:smartTag>
          <w:r w:rsidRPr="003A07BE">
            <w:t xml:space="preserve"> </w:t>
          </w:r>
          <w:smartTag w:uri="urn:schemas-microsoft-com:office:smarttags" w:element="State">
            <w:r w:rsidRPr="003A07BE">
              <w:t>Wharf</w:t>
            </w:r>
          </w:smartTag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</w:t>
          </w:r>
          <w:smartTag w:uri="urn:schemas-microsoft-com:office:smarttags" w:element="PostalCode">
            <w:r w:rsidRPr="003A07BE">
              <w:t>London</w:t>
            </w:r>
          </w:smartTag>
          <w:r w:rsidRPr="003A07BE">
            <w:t xml:space="preserve"> E14 4HB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</w:t>
          </w:r>
          <w:smartTag w:uri="urn:schemas-microsoft-com:office:smarttags" w:element="country-region">
            <w:smartTag w:uri="urn:schemas-microsoft-com:office:smarttags" w:element="place">
              <w:r w:rsidRPr="003A07BE">
                <w:t>United Kingdom</w:t>
              </w:r>
            </w:smartTag>
          </w:smartTag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ook w:val="01E0" w:firstRow="1" w:lastRow="1" w:firstColumn="1" w:lastColumn="1" w:noHBand="0" w:noVBand="0"/>
          </w:tblPr>
          <w:tblGrid>
            <w:gridCol w:w="2478"/>
            <w:gridCol w:w="709"/>
          </w:tblGrid>
          <w:tr w:rsidR="00CA2C59" w14:paraId="07722656" w14:textId="77777777" w:rsidTr="00E23970">
            <w:trPr>
              <w:trHeight w:val="180"/>
              <w:jc w:val="right"/>
            </w:trPr>
            <w:tc>
              <w:tcPr>
                <w:tcW w:w="2478" w:type="dxa"/>
                <w:vMerge w:val="restart"/>
                <w:shd w:val="clear" w:color="auto" w:fill="auto"/>
                <w:vAlign w:val="bottom"/>
              </w:tcPr>
              <w:p w14:paraId="5EE55C8E" w14:textId="77777777" w:rsidR="00411C99" w:rsidRPr="00A44B87" w:rsidRDefault="00834239" w:rsidP="00E23970">
                <w:pPr>
                  <w:pStyle w:val="FooterAgency"/>
                  <w:jc w:val="right"/>
                </w:pPr>
                <w:r w:rsidRPr="00E2397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shd w:val="clear" w:color="auto" w:fill="auto"/>
                <w:tcMar>
                  <w:right w:w="0" w:type="dxa"/>
                </w:tcMar>
                <w:vAlign w:val="bottom"/>
              </w:tcPr>
              <w:p w14:paraId="201CAEFF" w14:textId="77777777" w:rsidR="00411C99" w:rsidRPr="00A44B87" w:rsidRDefault="00834239" w:rsidP="00E23970">
                <w:pPr>
                  <w:pStyle w:val="FooterAgency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E6B0EA2" wp14:editId="4C1D4AB2">
                      <wp:extent cx="359410" cy="273685"/>
                      <wp:effectExtent l="0" t="0" r="0" b="0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3245145" name="Picture 2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94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A2C59" w14:paraId="0A238500" w14:textId="77777777" w:rsidTr="00E23970"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  <w:vAlign w:val="bottom"/>
              </w:tcPr>
              <w:p w14:paraId="41355F79" w14:textId="77777777" w:rsidR="00411C99" w:rsidRPr="00A44B87" w:rsidRDefault="00411C99" w:rsidP="00803E5E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  <w:vAlign w:val="bottom"/>
              </w:tcPr>
              <w:p w14:paraId="379C8192" w14:textId="77777777" w:rsidR="00411C99" w:rsidRPr="00A44B87" w:rsidRDefault="00411C99" w:rsidP="00803E5E">
                <w:pPr>
                  <w:pStyle w:val="FooterAgency"/>
                </w:pPr>
              </w:p>
            </w:tc>
          </w:tr>
        </w:tbl>
        <w:p w14:paraId="0FB20501" w14:textId="77777777" w:rsidR="00411C99" w:rsidRPr="00A44B87" w:rsidRDefault="00411C99" w:rsidP="00E23970">
          <w:pPr>
            <w:pStyle w:val="FooterAgency"/>
            <w:widowControl w:val="0"/>
            <w:adjustRightInd w:val="0"/>
            <w:jc w:val="right"/>
          </w:pPr>
        </w:p>
      </w:tc>
    </w:tr>
    <w:tr w:rsidR="00CA2C59" w14:paraId="0A5E536A" w14:textId="77777777" w:rsidTr="00E23970"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22"/>
            <w:gridCol w:w="318"/>
            <w:gridCol w:w="1248"/>
            <w:gridCol w:w="400"/>
            <w:gridCol w:w="249"/>
            <w:gridCol w:w="477"/>
            <w:gridCol w:w="2767"/>
          </w:tblGrid>
          <w:tr w:rsidR="00CA2C59" w14:paraId="40CBD951" w14:textId="77777777">
            <w:trPr>
              <w:trHeight w:hRule="exact" w:val="198"/>
            </w:trPr>
            <w:tc>
              <w:tcPr>
                <w:tcW w:w="840" w:type="dxa"/>
                <w:gridSpan w:val="2"/>
                <w:vAlign w:val="bottom"/>
              </w:tcPr>
              <w:p w14:paraId="52DB07E6" w14:textId="77777777" w:rsidR="00411C99" w:rsidRPr="003A07BE" w:rsidRDefault="00834239" w:rsidP="00803E5E">
                <w:pPr>
                  <w:pStyle w:val="FooterblueAgency"/>
                </w:pPr>
                <w:r w:rsidRPr="003A07BE">
                  <w:t>Telephone</w:t>
                </w:r>
              </w:p>
            </w:tc>
            <w:tc>
              <w:tcPr>
                <w:tcW w:w="1648" w:type="dxa"/>
                <w:gridSpan w:val="2"/>
                <w:vAlign w:val="bottom"/>
              </w:tcPr>
              <w:p w14:paraId="37CAD367" w14:textId="77777777" w:rsidR="00411C99" w:rsidRPr="003A07BE" w:rsidRDefault="00834239" w:rsidP="00803E5E">
                <w:pPr>
                  <w:pStyle w:val="FooterAgency"/>
                </w:pPr>
                <w:r w:rsidRPr="003A07BE">
                  <w:t>+44 (0)20 7418 8400</w:t>
                </w:r>
              </w:p>
            </w:tc>
            <w:tc>
              <w:tcPr>
                <w:tcW w:w="726" w:type="dxa"/>
                <w:gridSpan w:val="2"/>
                <w:vAlign w:val="bottom"/>
              </w:tcPr>
              <w:p w14:paraId="7B1CEFE1" w14:textId="77777777" w:rsidR="00411C99" w:rsidRPr="003A07BE" w:rsidRDefault="00834239" w:rsidP="00803E5E">
                <w:pPr>
                  <w:pStyle w:val="FooterblueAgency"/>
                </w:pPr>
                <w:r w:rsidRPr="003A07BE">
                  <w:t>Facsimile</w:t>
                </w:r>
              </w:p>
            </w:tc>
            <w:tc>
              <w:tcPr>
                <w:tcW w:w="2767" w:type="dxa"/>
                <w:vAlign w:val="bottom"/>
              </w:tcPr>
              <w:p w14:paraId="202B864C" w14:textId="77777777" w:rsidR="00411C99" w:rsidRPr="003A07BE" w:rsidRDefault="00834239" w:rsidP="00803E5E">
                <w:pPr>
                  <w:pStyle w:val="FooterAgency"/>
                </w:pPr>
                <w:bookmarkStart w:id="29" w:name="Z_Fax"/>
                <w:r w:rsidRPr="003A07BE">
                  <w:t xml:space="preserve">+44 (0)20 </w:t>
                </w:r>
                <w:bookmarkStart w:id="30" w:name="Foot"/>
                <w:r>
                  <w:t>7418 8613</w:t>
                </w:r>
                <w:bookmarkEnd w:id="30"/>
                <w:r>
                  <w:t xml:space="preserve">  </w:t>
                </w:r>
                <w:bookmarkEnd w:id="29"/>
              </w:p>
            </w:tc>
          </w:tr>
          <w:tr w:rsidR="00CA2C59" w14:paraId="6591E2DA" w14:textId="77777777">
            <w:trPr>
              <w:trHeight w:hRule="exact" w:val="198"/>
            </w:trPr>
            <w:tc>
              <w:tcPr>
                <w:tcW w:w="522" w:type="dxa"/>
                <w:vAlign w:val="bottom"/>
              </w:tcPr>
              <w:p w14:paraId="675CCBBE" w14:textId="77777777" w:rsidR="00411C99" w:rsidRPr="003A07BE" w:rsidRDefault="00834239" w:rsidP="00803E5E">
                <w:pPr>
                  <w:pStyle w:val="FooterblueAgency"/>
                </w:pPr>
                <w:r w:rsidRPr="003A07BE">
                  <w:t>E-mail</w:t>
                </w:r>
              </w:p>
            </w:tc>
            <w:tc>
              <w:tcPr>
                <w:tcW w:w="1566" w:type="dxa"/>
                <w:gridSpan w:val="2"/>
                <w:vAlign w:val="bottom"/>
              </w:tcPr>
              <w:p w14:paraId="6E0137A0" w14:textId="77777777" w:rsidR="00411C99" w:rsidRPr="003A07BE" w:rsidRDefault="00834239" w:rsidP="00803E5E">
                <w:pPr>
                  <w:pStyle w:val="FooterAgency"/>
                </w:pPr>
                <w:r w:rsidRPr="003A07BE">
                  <w:t>info@ema.europa.eu</w:t>
                </w:r>
              </w:p>
            </w:tc>
            <w:tc>
              <w:tcPr>
                <w:tcW w:w="649" w:type="dxa"/>
                <w:gridSpan w:val="2"/>
                <w:vAlign w:val="bottom"/>
              </w:tcPr>
              <w:p w14:paraId="3FBFDBC7" w14:textId="77777777" w:rsidR="00411C99" w:rsidRPr="003A07BE" w:rsidRDefault="00834239" w:rsidP="00803E5E">
                <w:pPr>
                  <w:pStyle w:val="FooterblueAgency"/>
                </w:pPr>
                <w:r w:rsidRPr="003A07BE">
                  <w:t>Website</w:t>
                </w:r>
              </w:p>
            </w:tc>
            <w:tc>
              <w:tcPr>
                <w:tcW w:w="3244" w:type="dxa"/>
                <w:gridSpan w:val="2"/>
                <w:vAlign w:val="bottom"/>
              </w:tcPr>
              <w:p w14:paraId="3E5F3570" w14:textId="77777777" w:rsidR="00411C99" w:rsidRPr="003A07BE" w:rsidRDefault="00834239" w:rsidP="00803E5E">
                <w:pPr>
                  <w:pStyle w:val="FooterAgency"/>
                </w:pPr>
                <w:r w:rsidRPr="003A07BE">
                  <w:t>www.ema.europa.eu</w:t>
                </w:r>
              </w:p>
            </w:tc>
          </w:tr>
        </w:tbl>
        <w:p w14:paraId="28B8A4E1" w14:textId="77777777" w:rsidR="00411C99" w:rsidRPr="003A07BE" w:rsidRDefault="00411C99" w:rsidP="00803E5E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4E9A23DA" w14:textId="77777777" w:rsidR="00411C99" w:rsidRPr="00A44B87" w:rsidRDefault="00411C99" w:rsidP="00803E5E">
          <w:pPr>
            <w:pStyle w:val="FooterAgency"/>
          </w:pPr>
        </w:p>
      </w:tc>
    </w:tr>
    <w:tr w:rsidR="00CA2C59" w14:paraId="69AC62D3" w14:textId="77777777" w:rsidTr="00E23970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5FB2CE97" w14:textId="77777777" w:rsidR="00411C99" w:rsidRPr="00A44B87" w:rsidRDefault="00411C99" w:rsidP="00803E5E">
          <w:pPr>
            <w:pStyle w:val="FooterAgency"/>
          </w:pPr>
        </w:p>
      </w:tc>
    </w:tr>
    <w:tr w:rsidR="00CA2C59" w14:paraId="73116C2B" w14:textId="77777777" w:rsidTr="00E23970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15582F0B" w14:textId="77777777" w:rsidR="00411C99" w:rsidRPr="00CE789B" w:rsidRDefault="00834239" w:rsidP="00E23970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2023</w:t>
          </w:r>
          <w:r>
            <w:fldChar w:fldCharType="end"/>
          </w:r>
          <w:r w:rsidRPr="00CE789B">
            <w:t>. Reproduction is authorised provided the source is acknowledged.</w:t>
          </w:r>
        </w:p>
      </w:tc>
    </w:tr>
  </w:tbl>
  <w:p w14:paraId="7E6FB025" w14:textId="77777777" w:rsidR="00411C99" w:rsidRDefault="00411C99" w:rsidP="002D7502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E750" w14:textId="77777777" w:rsidR="00000000" w:rsidRDefault="00834239">
      <w:r>
        <w:separator/>
      </w:r>
    </w:p>
  </w:footnote>
  <w:footnote w:type="continuationSeparator" w:id="0">
    <w:p w14:paraId="01562D4C" w14:textId="77777777" w:rsidR="00000000" w:rsidRDefault="0083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4C5" w14:textId="77777777" w:rsidR="0004345C" w:rsidRDefault="00043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234" w14:textId="77777777" w:rsidR="0004345C" w:rsidRDefault="00043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0768" w14:textId="77777777" w:rsidR="00411C99" w:rsidRDefault="00411C99" w:rsidP="00274704">
    <w:pPr>
      <w:pStyle w:val="FooterAgency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3C3F" w14:textId="77777777" w:rsidR="00411C99" w:rsidRDefault="00834239" w:rsidP="002D7502">
    <w:pPr>
      <w:pStyle w:val="FooterAgency"/>
      <w:jc w:val="center"/>
    </w:pPr>
    <w:r>
      <w:rPr>
        <w:noProof/>
      </w:rPr>
      <w:drawing>
        <wp:inline distT="0" distB="0" distL="0" distR="0" wp14:anchorId="56C7496C" wp14:editId="36588FCC">
          <wp:extent cx="3563620" cy="182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2916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86C0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A8D46F3"/>
    <w:multiLevelType w:val="hybridMultilevel"/>
    <w:tmpl w:val="7BDADAC2"/>
    <w:lvl w:ilvl="0" w:tplc="D5A83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4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A3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41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A8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8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0A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63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 w15:restartNumberingAfterBreak="0">
    <w:nsid w:val="23757763"/>
    <w:multiLevelType w:val="hybridMultilevel"/>
    <w:tmpl w:val="F446A8A8"/>
    <w:lvl w:ilvl="0" w:tplc="3F2AB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2E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41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E8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0F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89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B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62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23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61869"/>
    <w:multiLevelType w:val="multilevel"/>
    <w:tmpl w:val="A02E932A"/>
    <w:numStyleLink w:val="BulletsAgency"/>
  </w:abstractNum>
  <w:abstractNum w:abstractNumId="19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B04DA1"/>
    <w:multiLevelType w:val="multilevel"/>
    <w:tmpl w:val="7614763A"/>
    <w:numStyleLink w:val="NumberlistAgency"/>
  </w:abstractNum>
  <w:abstractNum w:abstractNumId="21" w15:restartNumberingAfterBreak="0">
    <w:nsid w:val="51E21733"/>
    <w:multiLevelType w:val="multilevel"/>
    <w:tmpl w:val="39109F08"/>
    <w:lvl w:ilvl="0">
      <w:start w:val="1"/>
      <w:numFmt w:val="decimal"/>
      <w:pStyle w:val="Heading1Agency"/>
      <w:suff w:val="space"/>
      <w:lvlText w:val="%1. 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164F65"/>
    <w:multiLevelType w:val="hybridMultilevel"/>
    <w:tmpl w:val="20CA4FD4"/>
    <w:lvl w:ilvl="0" w:tplc="D3BA1F70">
      <w:start w:val="1"/>
      <w:numFmt w:val="decimal"/>
      <w:lvlText w:val="%1."/>
      <w:lvlJc w:val="left"/>
      <w:pPr>
        <w:ind w:left="360" w:hanging="360"/>
      </w:pPr>
    </w:lvl>
    <w:lvl w:ilvl="1" w:tplc="576EAA84" w:tentative="1">
      <w:start w:val="1"/>
      <w:numFmt w:val="lowerLetter"/>
      <w:lvlText w:val="%2."/>
      <w:lvlJc w:val="left"/>
      <w:pPr>
        <w:ind w:left="1080" w:hanging="360"/>
      </w:pPr>
    </w:lvl>
    <w:lvl w:ilvl="2" w:tplc="F9DAE2CE" w:tentative="1">
      <w:start w:val="1"/>
      <w:numFmt w:val="lowerRoman"/>
      <w:lvlText w:val="%3."/>
      <w:lvlJc w:val="right"/>
      <w:pPr>
        <w:ind w:left="1800" w:hanging="180"/>
      </w:pPr>
    </w:lvl>
    <w:lvl w:ilvl="3" w:tplc="A4F86BAC" w:tentative="1">
      <w:start w:val="1"/>
      <w:numFmt w:val="decimal"/>
      <w:lvlText w:val="%4."/>
      <w:lvlJc w:val="left"/>
      <w:pPr>
        <w:ind w:left="2520" w:hanging="360"/>
      </w:pPr>
    </w:lvl>
    <w:lvl w:ilvl="4" w:tplc="2F10026E" w:tentative="1">
      <w:start w:val="1"/>
      <w:numFmt w:val="lowerLetter"/>
      <w:lvlText w:val="%5."/>
      <w:lvlJc w:val="left"/>
      <w:pPr>
        <w:ind w:left="3240" w:hanging="360"/>
      </w:pPr>
    </w:lvl>
    <w:lvl w:ilvl="5" w:tplc="73AADABA" w:tentative="1">
      <w:start w:val="1"/>
      <w:numFmt w:val="lowerRoman"/>
      <w:lvlText w:val="%6."/>
      <w:lvlJc w:val="right"/>
      <w:pPr>
        <w:ind w:left="3960" w:hanging="180"/>
      </w:pPr>
    </w:lvl>
    <w:lvl w:ilvl="6" w:tplc="AF109CE4" w:tentative="1">
      <w:start w:val="1"/>
      <w:numFmt w:val="decimal"/>
      <w:lvlText w:val="%7."/>
      <w:lvlJc w:val="left"/>
      <w:pPr>
        <w:ind w:left="4680" w:hanging="360"/>
      </w:pPr>
    </w:lvl>
    <w:lvl w:ilvl="7" w:tplc="71F8BA32" w:tentative="1">
      <w:start w:val="1"/>
      <w:numFmt w:val="lowerLetter"/>
      <w:lvlText w:val="%8."/>
      <w:lvlJc w:val="left"/>
      <w:pPr>
        <w:ind w:left="5400" w:hanging="360"/>
      </w:pPr>
    </w:lvl>
    <w:lvl w:ilvl="8" w:tplc="C94E5E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D57FA"/>
    <w:multiLevelType w:val="hybridMultilevel"/>
    <w:tmpl w:val="328CA5F2"/>
    <w:lvl w:ilvl="0" w:tplc="672452D4">
      <w:numFmt w:val="bullet"/>
      <w:lvlText w:val="•"/>
      <w:lvlJc w:val="left"/>
      <w:pPr>
        <w:ind w:left="1080" w:hanging="720"/>
      </w:pPr>
      <w:rPr>
        <w:rFonts w:ascii="Verdana" w:eastAsia="SimSun" w:hAnsi="Verdana" w:cs="Verdana" w:hint="default"/>
      </w:rPr>
    </w:lvl>
    <w:lvl w:ilvl="1" w:tplc="E148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AE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C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C1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88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CC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EB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24474">
    <w:abstractNumId w:val="19"/>
  </w:num>
  <w:num w:numId="2" w16cid:durableId="1136870040">
    <w:abstractNumId w:val="15"/>
  </w:num>
  <w:num w:numId="3" w16cid:durableId="1977681371">
    <w:abstractNumId w:val="10"/>
  </w:num>
  <w:num w:numId="4" w16cid:durableId="1443497843">
    <w:abstractNumId w:val="9"/>
  </w:num>
  <w:num w:numId="5" w16cid:durableId="1393114510">
    <w:abstractNumId w:val="7"/>
  </w:num>
  <w:num w:numId="6" w16cid:durableId="1777285372">
    <w:abstractNumId w:val="6"/>
  </w:num>
  <w:num w:numId="7" w16cid:durableId="1377700935">
    <w:abstractNumId w:val="5"/>
  </w:num>
  <w:num w:numId="8" w16cid:durableId="274215346">
    <w:abstractNumId w:val="4"/>
  </w:num>
  <w:num w:numId="9" w16cid:durableId="1060636158">
    <w:abstractNumId w:val="8"/>
  </w:num>
  <w:num w:numId="10" w16cid:durableId="647711527">
    <w:abstractNumId w:val="3"/>
  </w:num>
  <w:num w:numId="11" w16cid:durableId="1171993096">
    <w:abstractNumId w:val="2"/>
  </w:num>
  <w:num w:numId="12" w16cid:durableId="823937251">
    <w:abstractNumId w:val="1"/>
  </w:num>
  <w:num w:numId="13" w16cid:durableId="1752241468">
    <w:abstractNumId w:val="0"/>
  </w:num>
  <w:num w:numId="14" w16cid:durableId="1482162521">
    <w:abstractNumId w:val="11"/>
  </w:num>
  <w:num w:numId="15" w16cid:durableId="495993776">
    <w:abstractNumId w:val="13"/>
  </w:num>
  <w:num w:numId="16" w16cid:durableId="153375759">
    <w:abstractNumId w:val="21"/>
  </w:num>
  <w:num w:numId="17" w16cid:durableId="1319503822">
    <w:abstractNumId w:val="16"/>
  </w:num>
  <w:num w:numId="18" w16cid:durableId="805121412">
    <w:abstractNumId w:val="12"/>
  </w:num>
  <w:num w:numId="19" w16cid:durableId="1725175865">
    <w:abstractNumId w:val="20"/>
  </w:num>
  <w:num w:numId="20" w16cid:durableId="1036352705">
    <w:abstractNumId w:val="22"/>
  </w:num>
  <w:num w:numId="21" w16cid:durableId="936062748">
    <w:abstractNumId w:val="17"/>
  </w:num>
  <w:num w:numId="22" w16cid:durableId="1536044950">
    <w:abstractNumId w:val="18"/>
  </w:num>
  <w:num w:numId="23" w16cid:durableId="574317097">
    <w:abstractNumId w:val="23"/>
  </w:num>
  <w:num w:numId="24" w16cid:durableId="1785077072">
    <w:abstractNumId w:val="21"/>
  </w:num>
  <w:num w:numId="25" w16cid:durableId="1166478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E"/>
    <w:rsid w:val="00027780"/>
    <w:rsid w:val="00041469"/>
    <w:rsid w:val="0004345C"/>
    <w:rsid w:val="00055E67"/>
    <w:rsid w:val="000707AB"/>
    <w:rsid w:val="00070EC0"/>
    <w:rsid w:val="000712F5"/>
    <w:rsid w:val="0007442A"/>
    <w:rsid w:val="00074AE6"/>
    <w:rsid w:val="00080505"/>
    <w:rsid w:val="000936D2"/>
    <w:rsid w:val="00094D24"/>
    <w:rsid w:val="000955BF"/>
    <w:rsid w:val="00095A70"/>
    <w:rsid w:val="00095ED0"/>
    <w:rsid w:val="000B3749"/>
    <w:rsid w:val="000B59DC"/>
    <w:rsid w:val="000E0226"/>
    <w:rsid w:val="000E1486"/>
    <w:rsid w:val="000F5512"/>
    <w:rsid w:val="00100AC0"/>
    <w:rsid w:val="00110A8D"/>
    <w:rsid w:val="001114E5"/>
    <w:rsid w:val="0011535E"/>
    <w:rsid w:val="00115B17"/>
    <w:rsid w:val="00125089"/>
    <w:rsid w:val="001338B6"/>
    <w:rsid w:val="001367A1"/>
    <w:rsid w:val="001412FA"/>
    <w:rsid w:val="00145330"/>
    <w:rsid w:val="00150AFE"/>
    <w:rsid w:val="00161C0F"/>
    <w:rsid w:val="00165E45"/>
    <w:rsid w:val="00170EE2"/>
    <w:rsid w:val="0017699A"/>
    <w:rsid w:val="00177DD1"/>
    <w:rsid w:val="00185CE5"/>
    <w:rsid w:val="00191647"/>
    <w:rsid w:val="00193C6D"/>
    <w:rsid w:val="001A0E21"/>
    <w:rsid w:val="001A4676"/>
    <w:rsid w:val="001B06D2"/>
    <w:rsid w:val="001B6935"/>
    <w:rsid w:val="001C5220"/>
    <w:rsid w:val="001C74D6"/>
    <w:rsid w:val="001D5CA1"/>
    <w:rsid w:val="001E60F8"/>
    <w:rsid w:val="001F0E2A"/>
    <w:rsid w:val="001F1EC0"/>
    <w:rsid w:val="001F28C1"/>
    <w:rsid w:val="001F701C"/>
    <w:rsid w:val="00206017"/>
    <w:rsid w:val="0021571D"/>
    <w:rsid w:val="00221B07"/>
    <w:rsid w:val="002254FD"/>
    <w:rsid w:val="00225BC0"/>
    <w:rsid w:val="00226C54"/>
    <w:rsid w:val="0023409C"/>
    <w:rsid w:val="00236984"/>
    <w:rsid w:val="00236A1B"/>
    <w:rsid w:val="00236E31"/>
    <w:rsid w:val="00252A48"/>
    <w:rsid w:val="00255FB9"/>
    <w:rsid w:val="002642A0"/>
    <w:rsid w:val="00274704"/>
    <w:rsid w:val="002763E7"/>
    <w:rsid w:val="002823CA"/>
    <w:rsid w:val="0029041F"/>
    <w:rsid w:val="00294642"/>
    <w:rsid w:val="002A2883"/>
    <w:rsid w:val="002D6CCD"/>
    <w:rsid w:val="002D7502"/>
    <w:rsid w:val="002E7ADC"/>
    <w:rsid w:val="00300672"/>
    <w:rsid w:val="00303149"/>
    <w:rsid w:val="003116AB"/>
    <w:rsid w:val="00317857"/>
    <w:rsid w:val="00324F31"/>
    <w:rsid w:val="003305B7"/>
    <w:rsid w:val="00336267"/>
    <w:rsid w:val="0034291B"/>
    <w:rsid w:val="00345188"/>
    <w:rsid w:val="00351A41"/>
    <w:rsid w:val="00351BD8"/>
    <w:rsid w:val="00362030"/>
    <w:rsid w:val="003627FA"/>
    <w:rsid w:val="00374999"/>
    <w:rsid w:val="00387D09"/>
    <w:rsid w:val="00395133"/>
    <w:rsid w:val="003960DB"/>
    <w:rsid w:val="003A03F7"/>
    <w:rsid w:val="003A07BE"/>
    <w:rsid w:val="003A0C21"/>
    <w:rsid w:val="003D1D7E"/>
    <w:rsid w:val="003D2280"/>
    <w:rsid w:val="003D5D68"/>
    <w:rsid w:val="003D6C3D"/>
    <w:rsid w:val="003F0562"/>
    <w:rsid w:val="003F18A7"/>
    <w:rsid w:val="003F3713"/>
    <w:rsid w:val="003F7D2E"/>
    <w:rsid w:val="0040460A"/>
    <w:rsid w:val="00411C99"/>
    <w:rsid w:val="00413287"/>
    <w:rsid w:val="004136E7"/>
    <w:rsid w:val="004207C1"/>
    <w:rsid w:val="004261EA"/>
    <w:rsid w:val="00442467"/>
    <w:rsid w:val="00454A02"/>
    <w:rsid w:val="00457046"/>
    <w:rsid w:val="00461C69"/>
    <w:rsid w:val="00463597"/>
    <w:rsid w:val="004649DC"/>
    <w:rsid w:val="004653E9"/>
    <w:rsid w:val="00471675"/>
    <w:rsid w:val="00476649"/>
    <w:rsid w:val="00477001"/>
    <w:rsid w:val="004772E4"/>
    <w:rsid w:val="004831DC"/>
    <w:rsid w:val="00484AE6"/>
    <w:rsid w:val="004937EE"/>
    <w:rsid w:val="004A30DB"/>
    <w:rsid w:val="004B0B9D"/>
    <w:rsid w:val="004B7F63"/>
    <w:rsid w:val="004C0184"/>
    <w:rsid w:val="004C5451"/>
    <w:rsid w:val="004C5F0C"/>
    <w:rsid w:val="004C78AB"/>
    <w:rsid w:val="004E1076"/>
    <w:rsid w:val="004E49AC"/>
    <w:rsid w:val="004E4C7C"/>
    <w:rsid w:val="004E4DE5"/>
    <w:rsid w:val="004E5C77"/>
    <w:rsid w:val="005015A0"/>
    <w:rsid w:val="00515328"/>
    <w:rsid w:val="00520425"/>
    <w:rsid w:val="00520978"/>
    <w:rsid w:val="00520DE1"/>
    <w:rsid w:val="00522A1A"/>
    <w:rsid w:val="005311FC"/>
    <w:rsid w:val="00545DAB"/>
    <w:rsid w:val="005460DD"/>
    <w:rsid w:val="00547A02"/>
    <w:rsid w:val="00547B66"/>
    <w:rsid w:val="00551EC9"/>
    <w:rsid w:val="0055451D"/>
    <w:rsid w:val="00565CEF"/>
    <w:rsid w:val="00565FC2"/>
    <w:rsid w:val="005703DB"/>
    <w:rsid w:val="0057311C"/>
    <w:rsid w:val="0057571D"/>
    <w:rsid w:val="005837A4"/>
    <w:rsid w:val="00585874"/>
    <w:rsid w:val="0059234D"/>
    <w:rsid w:val="005A4343"/>
    <w:rsid w:val="005A5EE2"/>
    <w:rsid w:val="005B3FD3"/>
    <w:rsid w:val="005B5BC4"/>
    <w:rsid w:val="005B6350"/>
    <w:rsid w:val="005C0A38"/>
    <w:rsid w:val="005C2503"/>
    <w:rsid w:val="005C7F7A"/>
    <w:rsid w:val="005E5EDB"/>
    <w:rsid w:val="005F06FE"/>
    <w:rsid w:val="005F2882"/>
    <w:rsid w:val="005F2ED7"/>
    <w:rsid w:val="00606B64"/>
    <w:rsid w:val="00616452"/>
    <w:rsid w:val="00621EDB"/>
    <w:rsid w:val="006244EF"/>
    <w:rsid w:val="00626F90"/>
    <w:rsid w:val="0062721E"/>
    <w:rsid w:val="00631774"/>
    <w:rsid w:val="0063181B"/>
    <w:rsid w:val="00634F85"/>
    <w:rsid w:val="00642B1F"/>
    <w:rsid w:val="00656A10"/>
    <w:rsid w:val="00696743"/>
    <w:rsid w:val="006A1B03"/>
    <w:rsid w:val="006B2339"/>
    <w:rsid w:val="006B33D3"/>
    <w:rsid w:val="006C4E7A"/>
    <w:rsid w:val="006D103F"/>
    <w:rsid w:val="006E62FC"/>
    <w:rsid w:val="006F271B"/>
    <w:rsid w:val="00701EAF"/>
    <w:rsid w:val="00703590"/>
    <w:rsid w:val="00707193"/>
    <w:rsid w:val="00710193"/>
    <w:rsid w:val="007108B3"/>
    <w:rsid w:val="00710EFE"/>
    <w:rsid w:val="0071156D"/>
    <w:rsid w:val="00714218"/>
    <w:rsid w:val="007200B2"/>
    <w:rsid w:val="00727FB2"/>
    <w:rsid w:val="007338C8"/>
    <w:rsid w:val="007372DF"/>
    <w:rsid w:val="007503BC"/>
    <w:rsid w:val="0075649C"/>
    <w:rsid w:val="00757C08"/>
    <w:rsid w:val="00761265"/>
    <w:rsid w:val="0076219B"/>
    <w:rsid w:val="007732EB"/>
    <w:rsid w:val="00774CFA"/>
    <w:rsid w:val="00784282"/>
    <w:rsid w:val="007A2DA4"/>
    <w:rsid w:val="007A67E8"/>
    <w:rsid w:val="007A6B96"/>
    <w:rsid w:val="007A7443"/>
    <w:rsid w:val="007B39DB"/>
    <w:rsid w:val="007B6BA6"/>
    <w:rsid w:val="007C5476"/>
    <w:rsid w:val="007C7A16"/>
    <w:rsid w:val="007D6299"/>
    <w:rsid w:val="007E1178"/>
    <w:rsid w:val="007E2305"/>
    <w:rsid w:val="007E5D9B"/>
    <w:rsid w:val="00803E5E"/>
    <w:rsid w:val="00805CFF"/>
    <w:rsid w:val="00820E72"/>
    <w:rsid w:val="008255EC"/>
    <w:rsid w:val="00825D78"/>
    <w:rsid w:val="00833BC8"/>
    <w:rsid w:val="00833C18"/>
    <w:rsid w:val="00834239"/>
    <w:rsid w:val="00835590"/>
    <w:rsid w:val="00836039"/>
    <w:rsid w:val="008361E2"/>
    <w:rsid w:val="00840FA8"/>
    <w:rsid w:val="008470B7"/>
    <w:rsid w:val="0085611D"/>
    <w:rsid w:val="008918D9"/>
    <w:rsid w:val="008929A8"/>
    <w:rsid w:val="008A1540"/>
    <w:rsid w:val="008A1FF9"/>
    <w:rsid w:val="008A2B88"/>
    <w:rsid w:val="008A5DAB"/>
    <w:rsid w:val="008A7EDF"/>
    <w:rsid w:val="008B51B4"/>
    <w:rsid w:val="008B5DC6"/>
    <w:rsid w:val="008B7FD3"/>
    <w:rsid w:val="008C50FE"/>
    <w:rsid w:val="008C70AC"/>
    <w:rsid w:val="008D71DD"/>
    <w:rsid w:val="008E364D"/>
    <w:rsid w:val="008E5C3C"/>
    <w:rsid w:val="008F74DE"/>
    <w:rsid w:val="009055D7"/>
    <w:rsid w:val="00906EB3"/>
    <w:rsid w:val="00911014"/>
    <w:rsid w:val="00920B8E"/>
    <w:rsid w:val="009268C8"/>
    <w:rsid w:val="00934C19"/>
    <w:rsid w:val="00936869"/>
    <w:rsid w:val="00941EBD"/>
    <w:rsid w:val="00960960"/>
    <w:rsid w:val="0096523C"/>
    <w:rsid w:val="009663A3"/>
    <w:rsid w:val="009758B4"/>
    <w:rsid w:val="00986272"/>
    <w:rsid w:val="009863FE"/>
    <w:rsid w:val="00987584"/>
    <w:rsid w:val="00992F63"/>
    <w:rsid w:val="009979A9"/>
    <w:rsid w:val="009A68C2"/>
    <w:rsid w:val="009C2EC0"/>
    <w:rsid w:val="009C4BDE"/>
    <w:rsid w:val="009C6E7A"/>
    <w:rsid w:val="009F3B30"/>
    <w:rsid w:val="00A1506B"/>
    <w:rsid w:val="00A2288B"/>
    <w:rsid w:val="00A26C23"/>
    <w:rsid w:val="00A30B18"/>
    <w:rsid w:val="00A35D72"/>
    <w:rsid w:val="00A37EC2"/>
    <w:rsid w:val="00A436D4"/>
    <w:rsid w:val="00A43BCB"/>
    <w:rsid w:val="00A44B87"/>
    <w:rsid w:val="00A51632"/>
    <w:rsid w:val="00A52A0B"/>
    <w:rsid w:val="00A71EBE"/>
    <w:rsid w:val="00A8116B"/>
    <w:rsid w:val="00A81234"/>
    <w:rsid w:val="00A83466"/>
    <w:rsid w:val="00A85F51"/>
    <w:rsid w:val="00A93E7B"/>
    <w:rsid w:val="00A96197"/>
    <w:rsid w:val="00AA57BD"/>
    <w:rsid w:val="00AB7D8F"/>
    <w:rsid w:val="00AD1EF0"/>
    <w:rsid w:val="00AE7023"/>
    <w:rsid w:val="00B0155D"/>
    <w:rsid w:val="00B1057F"/>
    <w:rsid w:val="00B16DE4"/>
    <w:rsid w:val="00B405D2"/>
    <w:rsid w:val="00B533CB"/>
    <w:rsid w:val="00B55EED"/>
    <w:rsid w:val="00B63C60"/>
    <w:rsid w:val="00B77D17"/>
    <w:rsid w:val="00B87DCE"/>
    <w:rsid w:val="00B91AA1"/>
    <w:rsid w:val="00BA169D"/>
    <w:rsid w:val="00BA1973"/>
    <w:rsid w:val="00BA30AC"/>
    <w:rsid w:val="00BA4CDA"/>
    <w:rsid w:val="00BB7F2A"/>
    <w:rsid w:val="00BC7D21"/>
    <w:rsid w:val="00BD0429"/>
    <w:rsid w:val="00BD15E4"/>
    <w:rsid w:val="00BD287A"/>
    <w:rsid w:val="00BE3873"/>
    <w:rsid w:val="00BE4CD2"/>
    <w:rsid w:val="00BF3676"/>
    <w:rsid w:val="00BF4476"/>
    <w:rsid w:val="00BF53C5"/>
    <w:rsid w:val="00BF79C1"/>
    <w:rsid w:val="00C005EE"/>
    <w:rsid w:val="00C01034"/>
    <w:rsid w:val="00C0630D"/>
    <w:rsid w:val="00C06CAC"/>
    <w:rsid w:val="00C07DF9"/>
    <w:rsid w:val="00C154DA"/>
    <w:rsid w:val="00C16EDE"/>
    <w:rsid w:val="00C20E44"/>
    <w:rsid w:val="00C220BA"/>
    <w:rsid w:val="00C230CA"/>
    <w:rsid w:val="00C31C29"/>
    <w:rsid w:val="00C36B75"/>
    <w:rsid w:val="00C4088C"/>
    <w:rsid w:val="00C43466"/>
    <w:rsid w:val="00C45E45"/>
    <w:rsid w:val="00C51DF6"/>
    <w:rsid w:val="00C548F2"/>
    <w:rsid w:val="00C5497C"/>
    <w:rsid w:val="00C55B8B"/>
    <w:rsid w:val="00C577B5"/>
    <w:rsid w:val="00C71EEA"/>
    <w:rsid w:val="00C86402"/>
    <w:rsid w:val="00C9016F"/>
    <w:rsid w:val="00C93B43"/>
    <w:rsid w:val="00C95EAC"/>
    <w:rsid w:val="00CA0C88"/>
    <w:rsid w:val="00CA2C59"/>
    <w:rsid w:val="00CA4E97"/>
    <w:rsid w:val="00CA742E"/>
    <w:rsid w:val="00CB03A8"/>
    <w:rsid w:val="00CB1F24"/>
    <w:rsid w:val="00CB4200"/>
    <w:rsid w:val="00CB73A3"/>
    <w:rsid w:val="00CC297A"/>
    <w:rsid w:val="00CD3A5D"/>
    <w:rsid w:val="00CE789B"/>
    <w:rsid w:val="00CF13C7"/>
    <w:rsid w:val="00CF2167"/>
    <w:rsid w:val="00D0499E"/>
    <w:rsid w:val="00D12DCE"/>
    <w:rsid w:val="00D217CB"/>
    <w:rsid w:val="00D2381C"/>
    <w:rsid w:val="00D27F16"/>
    <w:rsid w:val="00D3210F"/>
    <w:rsid w:val="00D36870"/>
    <w:rsid w:val="00D46802"/>
    <w:rsid w:val="00D521B7"/>
    <w:rsid w:val="00D527E7"/>
    <w:rsid w:val="00D607C8"/>
    <w:rsid w:val="00D6174E"/>
    <w:rsid w:val="00D64173"/>
    <w:rsid w:val="00D668AE"/>
    <w:rsid w:val="00D813B8"/>
    <w:rsid w:val="00D94A8A"/>
    <w:rsid w:val="00DA2E59"/>
    <w:rsid w:val="00DA6157"/>
    <w:rsid w:val="00DB541D"/>
    <w:rsid w:val="00DE4423"/>
    <w:rsid w:val="00DE4FF1"/>
    <w:rsid w:val="00E05009"/>
    <w:rsid w:val="00E141D7"/>
    <w:rsid w:val="00E15BD2"/>
    <w:rsid w:val="00E20038"/>
    <w:rsid w:val="00E23970"/>
    <w:rsid w:val="00E257A0"/>
    <w:rsid w:val="00E273F5"/>
    <w:rsid w:val="00E27CE7"/>
    <w:rsid w:val="00E32EFF"/>
    <w:rsid w:val="00E4206A"/>
    <w:rsid w:val="00E51159"/>
    <w:rsid w:val="00E53D96"/>
    <w:rsid w:val="00E53F8B"/>
    <w:rsid w:val="00E60F63"/>
    <w:rsid w:val="00E63F38"/>
    <w:rsid w:val="00E75AA6"/>
    <w:rsid w:val="00E77D65"/>
    <w:rsid w:val="00E9096C"/>
    <w:rsid w:val="00E94BD7"/>
    <w:rsid w:val="00E95E9C"/>
    <w:rsid w:val="00EB560E"/>
    <w:rsid w:val="00EC5EB0"/>
    <w:rsid w:val="00ED73C6"/>
    <w:rsid w:val="00EE3A6A"/>
    <w:rsid w:val="00EE48AA"/>
    <w:rsid w:val="00EE6F81"/>
    <w:rsid w:val="00EF122F"/>
    <w:rsid w:val="00F1195C"/>
    <w:rsid w:val="00F229E6"/>
    <w:rsid w:val="00F24686"/>
    <w:rsid w:val="00F405B1"/>
    <w:rsid w:val="00F44EFE"/>
    <w:rsid w:val="00F46790"/>
    <w:rsid w:val="00F540FC"/>
    <w:rsid w:val="00F61F06"/>
    <w:rsid w:val="00F97D44"/>
    <w:rsid w:val="00FA526F"/>
    <w:rsid w:val="00FA611F"/>
    <w:rsid w:val="00FA7D01"/>
    <w:rsid w:val="00FB1243"/>
    <w:rsid w:val="00FB15A3"/>
    <w:rsid w:val="00FB2B9E"/>
    <w:rsid w:val="00FD1357"/>
    <w:rsid w:val="00FD1751"/>
    <w:rsid w:val="00FD6C61"/>
    <w:rsid w:val="00FE456D"/>
    <w:rsid w:val="00FE611E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E01E41D"/>
  <w15:chartTrackingRefBased/>
  <w15:docId w15:val="{955BC918-40E0-4D03-A045-574932D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882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aliases w:val="D70AR,Info rubrik 1,titel 1"/>
    <w:basedOn w:val="No-numheading1Agency"/>
    <w:next w:val="BodytextAgency"/>
    <w:link w:val="Heading1Char"/>
    <w:qFormat/>
    <w:rsid w:val="00E51159"/>
    <w:rPr>
      <w:noProof/>
    </w:rPr>
  </w:style>
  <w:style w:type="paragraph" w:styleId="Heading2">
    <w:name w:val="heading 2"/>
    <w:aliases w:val="D70AR2"/>
    <w:basedOn w:val="No-numheading2Agency"/>
    <w:next w:val="BodytextAgency"/>
    <w:qFormat/>
    <w:rsid w:val="00E51159"/>
  </w:style>
  <w:style w:type="paragraph" w:styleId="Heading3">
    <w:name w:val="heading 3"/>
    <w:aliases w:val="D70AR3,OLD Heading 3,titel 3"/>
    <w:basedOn w:val="No-numheading3Agency"/>
    <w:next w:val="BodytextAgency"/>
    <w:qFormat/>
    <w:rsid w:val="00E51159"/>
  </w:style>
  <w:style w:type="paragraph" w:styleId="Heading4">
    <w:name w:val="heading 4"/>
    <w:aliases w:val="D70AR4,titel 4"/>
    <w:basedOn w:val="No-numheading4Agency"/>
    <w:next w:val="BodytextAgency"/>
    <w:qFormat/>
    <w:rsid w:val="00E51159"/>
  </w:style>
  <w:style w:type="paragraph" w:styleId="Heading5">
    <w:name w:val="heading 5"/>
    <w:aliases w:val="D70AR5,titel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</w:style>
  <w:style w:type="paragraph" w:styleId="Heading7">
    <w:name w:val="heading 7"/>
    <w:basedOn w:val="No-numheading7Agency"/>
    <w:next w:val="BodytextAgency"/>
    <w:qFormat/>
    <w:rsid w:val="00E51159"/>
  </w:style>
  <w:style w:type="paragraph" w:styleId="Heading8">
    <w:name w:val="heading 8"/>
    <w:basedOn w:val="No-numheading8Agency"/>
    <w:next w:val="BodytextAgency"/>
    <w:qFormat/>
    <w:rsid w:val="00E51159"/>
  </w:style>
  <w:style w:type="paragraph" w:styleId="Heading9">
    <w:name w:val="heading 9"/>
    <w:basedOn w:val="No-numheading9Agency"/>
    <w:next w:val="BodytextAgency"/>
    <w:qFormat/>
    <w:rsid w:val="00E5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00AC0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00AC0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E51159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uiPriority w:val="99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C93B43"/>
    <w:pPr>
      <w:keepNext/>
      <w:numPr>
        <w:numId w:val="16"/>
      </w:numPr>
      <w:spacing w:before="280" w:after="220"/>
      <w:ind w:left="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link w:val="No-numheading1AgencyChar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qFormat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7"/>
      </w:numPr>
    </w:pPr>
  </w:style>
  <w:style w:type="paragraph" w:customStyle="1" w:styleId="RefAgency">
    <w:name w:val="Ref. (Agency)"/>
    <w:basedOn w:val="Normal"/>
    <w:uiPriority w:val="99"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E51159"/>
    <w:pPr>
      <w:numPr>
        <w:numId w:val="1"/>
      </w:numPr>
    </w:pPr>
  </w:style>
  <w:style w:type="numbering" w:styleId="1ai">
    <w:name w:val="Outline List 1"/>
    <w:basedOn w:val="NoList"/>
    <w:semiHidden/>
    <w:rsid w:val="00E51159"/>
    <w:pPr>
      <w:numPr>
        <w:numId w:val="2"/>
      </w:numPr>
    </w:pPr>
  </w:style>
  <w:style w:type="numbering" w:styleId="ArticleSection">
    <w:name w:val="Outline List 3"/>
    <w:basedOn w:val="NoList"/>
    <w:semiHidden/>
    <w:rsid w:val="00E51159"/>
    <w:pPr>
      <w:numPr>
        <w:numId w:val="3"/>
      </w:numPr>
    </w:pPr>
  </w:style>
  <w:style w:type="paragraph" w:styleId="BalloonText">
    <w:name w:val="Balloon Text"/>
    <w:basedOn w:val="Normal"/>
    <w:semiHidden/>
    <w:rsid w:val="00E5115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51159"/>
    <w:pPr>
      <w:spacing w:after="120"/>
      <w:ind w:left="1440" w:right="1440"/>
    </w:pPr>
  </w:style>
  <w:style w:type="paragraph" w:styleId="BodyText2">
    <w:name w:val="Body Text 2"/>
    <w:basedOn w:val="Normal"/>
    <w:semiHidden/>
    <w:rsid w:val="00E51159"/>
    <w:pPr>
      <w:spacing w:after="120" w:line="480" w:lineRule="auto"/>
    </w:pPr>
  </w:style>
  <w:style w:type="paragraph" w:styleId="BodyText3">
    <w:name w:val="Body Text 3"/>
    <w:basedOn w:val="Normal"/>
    <w:semiHidden/>
    <w:rsid w:val="00E5115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51159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E5115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51159"/>
    <w:pPr>
      <w:ind w:firstLine="210"/>
    </w:pPr>
  </w:style>
  <w:style w:type="paragraph" w:styleId="BodyTextIndent2">
    <w:name w:val="Body Text Indent 2"/>
    <w:basedOn w:val="Normal"/>
    <w:semiHidden/>
    <w:rsid w:val="00E5115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51159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51159"/>
    <w:rPr>
      <w:b/>
      <w:bCs/>
      <w:sz w:val="20"/>
      <w:szCs w:val="20"/>
    </w:rPr>
  </w:style>
  <w:style w:type="paragraph" w:styleId="Closing">
    <w:name w:val="Closing"/>
    <w:basedOn w:val="Normal"/>
    <w:semiHidden/>
    <w:rsid w:val="00E51159"/>
    <w:pPr>
      <w:ind w:left="4252"/>
    </w:pPr>
  </w:style>
  <w:style w:type="character" w:styleId="CommentReference">
    <w:name w:val="annotation reference"/>
    <w:rsid w:val="00E511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11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159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E51159"/>
  </w:style>
  <w:style w:type="paragraph" w:styleId="HTMLAddress">
    <w:name w:val="HTML Address"/>
    <w:basedOn w:val="Normal"/>
    <w:semiHidden/>
    <w:rsid w:val="00E51159"/>
    <w:rPr>
      <w:i/>
      <w:iCs/>
    </w:rPr>
  </w:style>
  <w:style w:type="character" w:styleId="HTMLCite">
    <w:name w:val="HTML Cite"/>
    <w:semiHidden/>
    <w:rsid w:val="00E51159"/>
    <w:rPr>
      <w:i/>
      <w:iCs/>
    </w:rPr>
  </w:style>
  <w:style w:type="character" w:styleId="HTMLCode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51159"/>
    <w:rPr>
      <w:i/>
      <w:iCs/>
    </w:rPr>
  </w:style>
  <w:style w:type="character" w:styleId="HTMLKeyboard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51159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51159"/>
    <w:rPr>
      <w:rFonts w:ascii="Courier New" w:hAnsi="Courier New" w:cs="Courier New"/>
    </w:rPr>
  </w:style>
  <w:style w:type="character" w:styleId="HTMLTypewriter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51159"/>
    <w:rPr>
      <w:i/>
      <w:iCs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51159"/>
    <w:pPr>
      <w:ind w:left="180" w:hanging="180"/>
    </w:pPr>
  </w:style>
  <w:style w:type="paragraph" w:styleId="Index2">
    <w:name w:val="index 2"/>
    <w:basedOn w:val="Normal"/>
    <w:next w:val="Normal"/>
    <w:semiHidden/>
    <w:rsid w:val="00E51159"/>
    <w:pPr>
      <w:ind w:left="360" w:hanging="180"/>
    </w:pPr>
  </w:style>
  <w:style w:type="paragraph" w:styleId="Index3">
    <w:name w:val="index 3"/>
    <w:basedOn w:val="Normal"/>
    <w:next w:val="Normal"/>
    <w:semiHidden/>
    <w:rsid w:val="00E51159"/>
    <w:pPr>
      <w:ind w:left="540" w:hanging="180"/>
    </w:pPr>
  </w:style>
  <w:style w:type="paragraph" w:styleId="Index4">
    <w:name w:val="index 4"/>
    <w:basedOn w:val="Normal"/>
    <w:next w:val="Normal"/>
    <w:semiHidden/>
    <w:rsid w:val="00E51159"/>
    <w:pPr>
      <w:ind w:left="720" w:hanging="180"/>
    </w:pPr>
  </w:style>
  <w:style w:type="paragraph" w:styleId="Index5">
    <w:name w:val="index 5"/>
    <w:basedOn w:val="Normal"/>
    <w:next w:val="Normal"/>
    <w:semiHidden/>
    <w:rsid w:val="00E51159"/>
    <w:pPr>
      <w:ind w:left="900" w:hanging="180"/>
    </w:pPr>
  </w:style>
  <w:style w:type="paragraph" w:styleId="Index6">
    <w:name w:val="index 6"/>
    <w:basedOn w:val="Normal"/>
    <w:next w:val="Normal"/>
    <w:semiHidden/>
    <w:rsid w:val="00E51159"/>
    <w:pPr>
      <w:ind w:left="1080" w:hanging="180"/>
    </w:pPr>
  </w:style>
  <w:style w:type="paragraph" w:styleId="Index7">
    <w:name w:val="index 7"/>
    <w:basedOn w:val="Normal"/>
    <w:next w:val="Normal"/>
    <w:semiHidden/>
    <w:rsid w:val="00E51159"/>
    <w:pPr>
      <w:ind w:left="1260" w:hanging="180"/>
    </w:pPr>
  </w:style>
  <w:style w:type="paragraph" w:styleId="Index8">
    <w:name w:val="index 8"/>
    <w:basedOn w:val="Normal"/>
    <w:next w:val="Normal"/>
    <w:semiHidden/>
    <w:rsid w:val="00E51159"/>
    <w:pPr>
      <w:ind w:left="1440" w:hanging="180"/>
    </w:pPr>
  </w:style>
  <w:style w:type="paragraph" w:styleId="Index9">
    <w:name w:val="index 9"/>
    <w:basedOn w:val="Normal"/>
    <w:next w:val="Normal"/>
    <w:semiHidden/>
    <w:rsid w:val="00E51159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51159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E51159"/>
  </w:style>
  <w:style w:type="paragraph" w:styleId="List">
    <w:name w:val="List"/>
    <w:basedOn w:val="Normal"/>
    <w:semiHidden/>
    <w:rsid w:val="00E51159"/>
    <w:pPr>
      <w:ind w:left="283" w:hanging="283"/>
    </w:pPr>
  </w:style>
  <w:style w:type="paragraph" w:styleId="List2">
    <w:name w:val="List 2"/>
    <w:basedOn w:val="Normal"/>
    <w:semiHidden/>
    <w:rsid w:val="00E51159"/>
    <w:pPr>
      <w:ind w:left="566" w:hanging="283"/>
    </w:pPr>
  </w:style>
  <w:style w:type="paragraph" w:styleId="List3">
    <w:name w:val="List 3"/>
    <w:basedOn w:val="Normal"/>
    <w:semiHidden/>
    <w:rsid w:val="00E51159"/>
    <w:pPr>
      <w:ind w:left="849" w:hanging="283"/>
    </w:pPr>
  </w:style>
  <w:style w:type="paragraph" w:styleId="List4">
    <w:name w:val="List 4"/>
    <w:basedOn w:val="Normal"/>
    <w:semiHidden/>
    <w:rsid w:val="00E51159"/>
    <w:pPr>
      <w:ind w:left="1132" w:hanging="283"/>
    </w:pPr>
  </w:style>
  <w:style w:type="paragraph" w:styleId="List5">
    <w:name w:val="List 5"/>
    <w:basedOn w:val="Normal"/>
    <w:semiHidden/>
    <w:rsid w:val="00E51159"/>
    <w:pPr>
      <w:ind w:left="1415" w:hanging="283"/>
    </w:pPr>
  </w:style>
  <w:style w:type="paragraph" w:styleId="ListBullet">
    <w:name w:val="List Bullet"/>
    <w:basedOn w:val="Normal"/>
    <w:semiHidden/>
    <w:rsid w:val="00E51159"/>
    <w:pPr>
      <w:numPr>
        <w:numId w:val="4"/>
      </w:numPr>
    </w:pPr>
  </w:style>
  <w:style w:type="paragraph" w:styleId="ListBullet2">
    <w:name w:val="List Bullet 2"/>
    <w:basedOn w:val="Normal"/>
    <w:semiHidden/>
    <w:rsid w:val="00E51159"/>
    <w:pPr>
      <w:numPr>
        <w:numId w:val="5"/>
      </w:numPr>
    </w:pPr>
  </w:style>
  <w:style w:type="paragraph" w:styleId="ListBullet3">
    <w:name w:val="List Bullet 3"/>
    <w:basedOn w:val="Normal"/>
    <w:semiHidden/>
    <w:rsid w:val="00E51159"/>
    <w:pPr>
      <w:numPr>
        <w:numId w:val="6"/>
      </w:numPr>
    </w:pPr>
  </w:style>
  <w:style w:type="paragraph" w:styleId="ListBullet4">
    <w:name w:val="List Bullet 4"/>
    <w:basedOn w:val="Normal"/>
    <w:semiHidden/>
    <w:rsid w:val="00E51159"/>
    <w:pPr>
      <w:numPr>
        <w:numId w:val="7"/>
      </w:numPr>
    </w:pPr>
  </w:style>
  <w:style w:type="paragraph" w:styleId="ListBullet5">
    <w:name w:val="List Bullet 5"/>
    <w:basedOn w:val="Normal"/>
    <w:semiHidden/>
    <w:rsid w:val="00E51159"/>
    <w:pPr>
      <w:numPr>
        <w:numId w:val="8"/>
      </w:numPr>
    </w:pPr>
  </w:style>
  <w:style w:type="paragraph" w:styleId="ListContinue">
    <w:name w:val="List Continue"/>
    <w:basedOn w:val="Normal"/>
    <w:semiHidden/>
    <w:rsid w:val="00E51159"/>
    <w:pPr>
      <w:spacing w:after="120"/>
      <w:ind w:left="283"/>
    </w:pPr>
  </w:style>
  <w:style w:type="paragraph" w:styleId="ListContinue2">
    <w:name w:val="List Continue 2"/>
    <w:basedOn w:val="Normal"/>
    <w:semiHidden/>
    <w:rsid w:val="00E51159"/>
    <w:pPr>
      <w:spacing w:after="120"/>
      <w:ind w:left="566"/>
    </w:pPr>
  </w:style>
  <w:style w:type="paragraph" w:styleId="ListContinue3">
    <w:name w:val="List Continue 3"/>
    <w:basedOn w:val="Normal"/>
    <w:semiHidden/>
    <w:rsid w:val="00E51159"/>
    <w:pPr>
      <w:spacing w:after="120"/>
      <w:ind w:left="849"/>
    </w:pPr>
  </w:style>
  <w:style w:type="paragraph" w:styleId="ListContinue4">
    <w:name w:val="List Continue 4"/>
    <w:basedOn w:val="Normal"/>
    <w:semiHidden/>
    <w:rsid w:val="00E51159"/>
    <w:pPr>
      <w:spacing w:after="120"/>
      <w:ind w:left="1132"/>
    </w:pPr>
  </w:style>
  <w:style w:type="paragraph" w:styleId="ListContinue5">
    <w:name w:val="List Continue 5"/>
    <w:basedOn w:val="Normal"/>
    <w:semiHidden/>
    <w:rsid w:val="00E51159"/>
    <w:pPr>
      <w:spacing w:after="120"/>
      <w:ind w:left="1415"/>
    </w:pPr>
  </w:style>
  <w:style w:type="paragraph" w:styleId="ListNumber">
    <w:name w:val="List Number"/>
    <w:basedOn w:val="Normal"/>
    <w:semiHidden/>
    <w:rsid w:val="00E51159"/>
    <w:pPr>
      <w:numPr>
        <w:numId w:val="9"/>
      </w:numPr>
    </w:pPr>
  </w:style>
  <w:style w:type="paragraph" w:styleId="ListNumber2">
    <w:name w:val="List Number 2"/>
    <w:basedOn w:val="Normal"/>
    <w:semiHidden/>
    <w:rsid w:val="00E51159"/>
    <w:pPr>
      <w:numPr>
        <w:numId w:val="10"/>
      </w:numPr>
    </w:pPr>
  </w:style>
  <w:style w:type="paragraph" w:styleId="ListNumber3">
    <w:name w:val="List Number 3"/>
    <w:basedOn w:val="Normal"/>
    <w:semiHidden/>
    <w:rsid w:val="00E51159"/>
    <w:pPr>
      <w:numPr>
        <w:numId w:val="11"/>
      </w:numPr>
    </w:pPr>
  </w:style>
  <w:style w:type="paragraph" w:styleId="ListNumber4">
    <w:name w:val="List Number 4"/>
    <w:basedOn w:val="Normal"/>
    <w:semiHidden/>
    <w:rsid w:val="00E51159"/>
    <w:pPr>
      <w:numPr>
        <w:numId w:val="12"/>
      </w:numPr>
    </w:pPr>
  </w:style>
  <w:style w:type="paragraph" w:styleId="ListNumber5">
    <w:name w:val="List Number 5"/>
    <w:basedOn w:val="Normal"/>
    <w:semiHidden/>
    <w:rsid w:val="00E51159"/>
    <w:pPr>
      <w:numPr>
        <w:numId w:val="13"/>
      </w:numPr>
    </w:pPr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E51159"/>
    <w:pPr>
      <w:ind w:left="720"/>
    </w:pPr>
  </w:style>
  <w:style w:type="paragraph" w:styleId="NoteHeading">
    <w:name w:val="Note Heading"/>
    <w:basedOn w:val="Normal"/>
    <w:next w:val="Normal"/>
    <w:semiHidden/>
    <w:rsid w:val="00E51159"/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paragraph" w:styleId="Signature">
    <w:name w:val="Signature"/>
    <w:basedOn w:val="Normal"/>
    <w:semiHidden/>
    <w:rsid w:val="00E51159"/>
    <w:pPr>
      <w:ind w:left="4252"/>
    </w:pPr>
  </w:style>
  <w:style w:type="character" w:styleId="Strong">
    <w:name w:val="Strong"/>
    <w:uiPriority w:val="22"/>
    <w:qFormat/>
    <w:rsid w:val="00E51159"/>
    <w:rPr>
      <w:b/>
      <w:bCs/>
    </w:rPr>
  </w:style>
  <w:style w:type="paragraph" w:styleId="Subtitle">
    <w:name w:val="Subtitle"/>
    <w:basedOn w:val="Normal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table" w:styleId="TableProfessional">
    <w:name w:val="Table Professional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PageNumberAgency0">
    <w:name w:val="Page Number (Agency)"/>
    <w:rsid w:val="00C93B43"/>
    <w:rPr>
      <w:rFonts w:ascii="Verdana" w:hAnsi="Verdana"/>
      <w:sz w:val="14"/>
    </w:rPr>
  </w:style>
  <w:style w:type="character" w:customStyle="1" w:styleId="DraftingNotesAgencyChar">
    <w:name w:val="Drafting Notes (Agency) Char"/>
    <w:link w:val="DraftingNotesAgency"/>
    <w:uiPriority w:val="99"/>
    <w:rsid w:val="00336267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No-TOCheadingAgencyChar">
    <w:name w:val="No-TOC heading (Agency) Char"/>
    <w:link w:val="No-TOCheadingAgency"/>
    <w:locked/>
    <w:rsid w:val="0075649C"/>
    <w:rPr>
      <w:rFonts w:ascii="Verdana" w:eastAsia="Times New Roman" w:hAnsi="Verdana" w:cs="Arial"/>
      <w:b/>
      <w:kern w:val="32"/>
      <w:sz w:val="27"/>
      <w:szCs w:val="27"/>
    </w:rPr>
  </w:style>
  <w:style w:type="character" w:customStyle="1" w:styleId="CommentTextChar">
    <w:name w:val="Comment Text Char"/>
    <w:link w:val="CommentText"/>
    <w:locked/>
    <w:rsid w:val="00E9096C"/>
    <w:rPr>
      <w:rFonts w:ascii="Verdana" w:hAnsi="Verdana" w:cs="Verdana"/>
      <w:lang w:eastAsia="zh-CN"/>
    </w:rPr>
  </w:style>
  <w:style w:type="character" w:customStyle="1" w:styleId="BodytextAgencyChar">
    <w:name w:val="Body text (Agency) Char"/>
    <w:link w:val="BodytextAgency"/>
    <w:qFormat/>
    <w:rsid w:val="00E75AA6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locked/>
    <w:rsid w:val="00094D24"/>
    <w:rPr>
      <w:rFonts w:ascii="Verdana" w:eastAsia="Verdana" w:hAnsi="Verdana" w:cs="Verdana"/>
      <w:sz w:val="18"/>
      <w:szCs w:val="18"/>
    </w:rPr>
  </w:style>
  <w:style w:type="paragraph" w:customStyle="1" w:styleId="NonumHeading1">
    <w:name w:val="No num Heading 1"/>
    <w:basedOn w:val="Heading1"/>
    <w:link w:val="NonumHeading1Char"/>
    <w:qFormat/>
    <w:rsid w:val="00236A1B"/>
  </w:style>
  <w:style w:type="character" w:customStyle="1" w:styleId="No-numheading1AgencyChar">
    <w:name w:val="No-num heading 1 (Agency) Char"/>
    <w:link w:val="No-numheading1Agency"/>
    <w:rsid w:val="00236A1B"/>
    <w:rPr>
      <w:rFonts w:ascii="Verdana" w:eastAsia="Verdana" w:hAnsi="Verdana" w:cs="Arial"/>
      <w:b/>
      <w:bCs/>
      <w:kern w:val="32"/>
      <w:sz w:val="27"/>
      <w:szCs w:val="27"/>
    </w:rPr>
  </w:style>
  <w:style w:type="character" w:customStyle="1" w:styleId="Heading1Char">
    <w:name w:val="Heading 1 Char"/>
    <w:aliases w:val="D70AR Char,Info rubrik 1 Char,titel 1 Char"/>
    <w:link w:val="Heading1"/>
    <w:rsid w:val="00236A1B"/>
    <w:rPr>
      <w:rFonts w:ascii="Verdana" w:eastAsia="Verdana" w:hAnsi="Verdana" w:cs="Arial"/>
      <w:b/>
      <w:bCs/>
      <w:noProof/>
      <w:kern w:val="32"/>
      <w:sz w:val="27"/>
      <w:szCs w:val="27"/>
    </w:rPr>
  </w:style>
  <w:style w:type="character" w:customStyle="1" w:styleId="NonumHeading1Char">
    <w:name w:val="No num Heading 1 Char"/>
    <w:link w:val="NonumHeading1"/>
    <w:rsid w:val="00236A1B"/>
    <w:rPr>
      <w:rFonts w:ascii="Verdana" w:eastAsia="Verdana" w:hAnsi="Verdana" w:cs="Arial"/>
      <w:b/>
      <w:bCs/>
      <w:noProof/>
      <w:kern w:val="32"/>
      <w:sz w:val="27"/>
      <w:szCs w:val="27"/>
    </w:rPr>
  </w:style>
  <w:style w:type="paragraph" w:customStyle="1" w:styleId="nonumHeading2">
    <w:name w:val="no num Heading 2"/>
    <w:basedOn w:val="NonumHeading1"/>
    <w:link w:val="nonumHeading2Char"/>
    <w:qFormat/>
    <w:rsid w:val="007200B2"/>
    <w:rPr>
      <w:i/>
    </w:rPr>
  </w:style>
  <w:style w:type="character" w:customStyle="1" w:styleId="nonumHeading2Char">
    <w:name w:val="no num Heading 2 Char"/>
    <w:link w:val="nonumHeading2"/>
    <w:rsid w:val="007200B2"/>
    <w:rPr>
      <w:rFonts w:ascii="Verdana" w:eastAsia="Verdana" w:hAnsi="Verdana" w:cs="Arial"/>
      <w:b/>
      <w:bCs/>
      <w:i/>
      <w:noProof/>
      <w:kern w:val="32"/>
      <w:sz w:val="27"/>
      <w:szCs w:val="27"/>
    </w:rPr>
  </w:style>
  <w:style w:type="paragraph" w:styleId="Revision">
    <w:name w:val="Revision"/>
    <w:hidden/>
    <w:uiPriority w:val="99"/>
    <w:semiHidden/>
    <w:rsid w:val="006F271B"/>
    <w:rPr>
      <w:rFonts w:ascii="Verdana" w:hAnsi="Verdana" w:cs="Verdana"/>
      <w:sz w:val="18"/>
      <w:szCs w:val="18"/>
      <w:lang w:eastAsia="zh-CN"/>
    </w:rPr>
  </w:style>
  <w:style w:type="paragraph" w:customStyle="1" w:styleId="DraftingNotesAgencyblue">
    <w:name w:val="Drafting Notes (Agency) blue"/>
    <w:basedOn w:val="Normal"/>
    <w:next w:val="Normal"/>
    <w:qFormat/>
    <w:rsid w:val="000805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40" w:line="280" w:lineRule="atLeast"/>
    </w:pPr>
    <w:rPr>
      <w:rFonts w:ascii="Courier New" w:eastAsia="Verdana" w:hAnsi="Courier New" w:cs="Times New Roman"/>
      <w:i/>
      <w:color w:val="0070C0"/>
      <w:sz w:val="22"/>
      <w:lang w:eastAsia="en-GB"/>
    </w:rPr>
  </w:style>
  <w:style w:type="paragraph" w:customStyle="1" w:styleId="BodytextAgencyblue">
    <w:name w:val="Body text (Agency) blue"/>
    <w:basedOn w:val="Normal"/>
    <w:qFormat/>
    <w:rsid w:val="007E23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40" w:line="280" w:lineRule="atLeast"/>
    </w:pPr>
    <w:rPr>
      <w:rFonts w:eastAsia="Verdana"/>
      <w:color w:val="0070C0"/>
      <w:lang w:eastAsia="en-GB"/>
    </w:rPr>
  </w:style>
  <w:style w:type="character" w:customStyle="1" w:styleId="UnresolvedMention1">
    <w:name w:val="Unresolved Mention1"/>
    <w:basedOn w:val="DefaultParagraphFont"/>
    <w:rsid w:val="00F5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glossary/rapporteur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8710-9E48-46F5-B0BE-619FC907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2266</Words>
  <Characters>12917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chmp-rapporteurs-joint-assessment-report-derogation-applicable-similar-orphan-products-rev-05-21_en - with Co Rapp  guidance</vt:lpstr>
    </vt:vector>
  </TitlesOfParts>
  <Company>European Medicines Agency</Company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chmp-rapporteurs-joint-assessment-report-derogation-applicable-similar-orphan-products-rev-03-23</dc:title>
  <dc:creator>Administrator</dc:creator>
  <dc:description>Template developed for European Medicines Agency by Fiona Lewis and Vanessa Crookes December 2009</dc:description>
  <cp:lastModifiedBy>EMA </cp:lastModifiedBy>
  <cp:revision>2</cp:revision>
  <cp:lastPrinted>2011-01-21T14:10:00Z</cp:lastPrinted>
  <dcterms:created xsi:type="dcterms:W3CDTF">2023-03-13T16:06:00Z</dcterms:created>
  <dcterms:modified xsi:type="dcterms:W3CDTF">2023-03-13T16:06:00Z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13/03/2023 16:48:57</vt:lpwstr>
  </property>
  <property fmtid="{D5CDD505-2E9C-101B-9397-08002B2CF9AE}" pid="6" name="DM_Creator_Name">
    <vt:lpwstr>Buzzi Andrea</vt:lpwstr>
  </property>
  <property fmtid="{D5CDD505-2E9C-101B-9397-08002B2CF9AE}" pid="7" name="DM_DocRefId">
    <vt:lpwstr>EMA/119459/2023</vt:lpwstr>
  </property>
  <property fmtid="{D5CDD505-2E9C-101B-9397-08002B2CF9AE}" pid="8" name="DM_emea_doc_ref_id">
    <vt:lpwstr>EMA/119459/2023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Buzzi Andrea</vt:lpwstr>
  </property>
  <property fmtid="{D5CDD505-2E9C-101B-9397-08002B2CF9AE}" pid="13" name="DM_Modified_Date">
    <vt:lpwstr>13/03/2023 16:48:57</vt:lpwstr>
  </property>
  <property fmtid="{D5CDD505-2E9C-101B-9397-08002B2CF9AE}" pid="14" name="DM_Modifier_Name">
    <vt:lpwstr>Buzzi Andrea</vt:lpwstr>
  </property>
  <property fmtid="{D5CDD505-2E9C-101B-9397-08002B2CF9AE}" pid="15" name="DM_Modify_Date">
    <vt:lpwstr>13/03/2023 16:48:57</vt:lpwstr>
  </property>
  <property fmtid="{D5CDD505-2E9C-101B-9397-08002B2CF9AE}" pid="16" name="DM_Name">
    <vt:lpwstr>chmp-rapporteurs-joint-assessment-report-derogation-applicable-similar-orphan-products-rev-03-23</vt:lpwstr>
  </property>
  <property fmtid="{D5CDD505-2E9C-101B-9397-08002B2CF9AE}" pid="17" name="DM_Path">
    <vt:lpwstr>/14. Working areas/14.05 H-Division/05. TAs Activities/12. Super Processes/Template Review Group (TRG) - superprocess/02 Template under review/Review 28 from June 2021 (see History folder for previous reviews rounds)/02 - finalized/D80-120 overview including Co-Rapp assessemnt  template (former critique)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1.2,CURRENT</vt:lpwstr>
  </property>
  <property fmtid="{D5CDD505-2E9C-101B-9397-08002B2CF9AE}" pid="23" name="MSIP_Label_afe1b31d-cec0-4074-b4bd-f07689e43d84_ActionId">
    <vt:lpwstr>9791327c-2ef2-469c-8058-896a2564539d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Elisa.Pedone@ema.europa.eu</vt:lpwstr>
  </property>
  <property fmtid="{D5CDD505-2E9C-101B-9397-08002B2CF9AE}" pid="29" name="MSIP_Label_afe1b31d-cec0-4074-b4bd-f07689e43d84_SetDate">
    <vt:lpwstr>2019-11-22T13:48:22.3369509Z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0eea11ca-d417-4147-80ed-01a58412c458_Enabled">
    <vt:lpwstr>true</vt:lpwstr>
  </property>
  <property fmtid="{D5CDD505-2E9C-101B-9397-08002B2CF9AE}" pid="32" name="MSIP_Label_0eea11ca-d417-4147-80ed-01a58412c458_SetDate">
    <vt:lpwstr>2023-03-13T16:06:00Z</vt:lpwstr>
  </property>
  <property fmtid="{D5CDD505-2E9C-101B-9397-08002B2CF9AE}" pid="33" name="MSIP_Label_0eea11ca-d417-4147-80ed-01a58412c458_Method">
    <vt:lpwstr>Standard</vt:lpwstr>
  </property>
  <property fmtid="{D5CDD505-2E9C-101B-9397-08002B2CF9AE}" pid="34" name="MSIP_Label_0eea11ca-d417-4147-80ed-01a58412c458_Name">
    <vt:lpwstr>0eea11ca-d417-4147-80ed-01a58412c458</vt:lpwstr>
  </property>
  <property fmtid="{D5CDD505-2E9C-101B-9397-08002B2CF9AE}" pid="35" name="MSIP_Label_0eea11ca-d417-4147-80ed-01a58412c458_SiteId">
    <vt:lpwstr>bc9dc15c-61bc-4f03-b60b-e5b6d8922839</vt:lpwstr>
  </property>
  <property fmtid="{D5CDD505-2E9C-101B-9397-08002B2CF9AE}" pid="36" name="MSIP_Label_0eea11ca-d417-4147-80ed-01a58412c458_ActionId">
    <vt:lpwstr>f31b6f07-7f17-46ef-a6bf-afa1d53b4c39</vt:lpwstr>
  </property>
  <property fmtid="{D5CDD505-2E9C-101B-9397-08002B2CF9AE}" pid="37" name="MSIP_Label_0eea11ca-d417-4147-80ed-01a58412c458_ContentBits">
    <vt:lpwstr>2</vt:lpwstr>
  </property>
</Properties>
</file>