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10 -->
  <w:body>
    <w:p w:rsidR="00E17FAC" w:rsidP="00E17FAC">
      <w:pPr>
        <w:pStyle w:val="DoctitleAgency"/>
      </w:pPr>
      <w:r>
        <w:t>PAES assessment report sub-template for type II variations</w:t>
      </w:r>
    </w:p>
    <w:p w:rsidR="00E17FAC" w:rsidP="00E17FAC">
      <w:pPr>
        <w:pStyle w:val="DocsubtitleAgency"/>
      </w:pPr>
    </w:p>
    <w:p w:rsidR="00E17FAC" w:rsidP="00E17FAC">
      <w:r>
        <w:rPr>
          <w:rFonts w:ascii="Courier New" w:eastAsia="Verdana" w:hAnsi="Courier New" w:cs="Times New Roman"/>
          <w:i/>
          <w:color w:val="339966"/>
          <w:sz w:val="22"/>
          <w:lang w:eastAsia="en-GB"/>
        </w:rPr>
        <w:t>If considered appropriate, please copy-paste the following section into the variation assessment report template and use it to describe and assess the results of the PAES. Not all subheadings have to be used/one can use only the relevant sub-headings.</w:t>
      </w:r>
    </w:p>
    <w:p w:rsidR="00C839A9" w:rsidRPr="00C839A9" w:rsidP="0013552B">
      <w:pPr>
        <w:pStyle w:val="Heading1Agency"/>
      </w:pPr>
      <w:r w:rsidRPr="00C839A9">
        <w:t>Post-Authorisation efficacy study (PAES) results</w:t>
      </w:r>
    </w:p>
    <w:p w:rsidR="00CB13F5" w:rsidP="00C839A9">
      <w:pPr>
        <w:pStyle w:val="DraftingNotesAgency"/>
      </w:pPr>
      <w:r w:rsidRPr="00C839A9">
        <w:t>In case of Request for Supplementary Information</w:t>
      </w:r>
      <w:r w:rsidR="0013552B">
        <w:t xml:space="preserve"> (RSI)</w:t>
      </w:r>
      <w:r w:rsidRPr="00C839A9">
        <w:t xml:space="preserve">, the scientific discussion should be updated </w:t>
      </w:r>
      <w:r w:rsidR="0013552B">
        <w:t xml:space="preserve">upon assessment of the responses </w:t>
      </w:r>
      <w:r w:rsidRPr="00C839A9">
        <w:t xml:space="preserve">as appropriate </w:t>
      </w:r>
      <w:r w:rsidR="0013552B">
        <w:t>with the relevant information. However, t</w:t>
      </w:r>
      <w:r w:rsidRPr="00C839A9">
        <w:t xml:space="preserve">he full detailed assessment </w:t>
      </w:r>
      <w:r w:rsidR="0013552B">
        <w:t xml:space="preserve">of the responses to the RSI </w:t>
      </w:r>
      <w:r w:rsidRPr="00C839A9">
        <w:t>is provided</w:t>
      </w:r>
      <w:r w:rsidR="0013552B">
        <w:t xml:space="preserve"> in the relevant section of the variation assessment report</w:t>
      </w:r>
      <w:r w:rsidRPr="00C839A9">
        <w:t>.</w:t>
      </w:r>
    </w:p>
    <w:p w:rsidR="00C839A9" w:rsidP="0013552B">
      <w:pPr>
        <w:pStyle w:val="Heading2Agency"/>
      </w:pPr>
      <w:bookmarkStart w:id="0" w:name="_Toc386805853"/>
      <w:r w:rsidRPr="00C839A9">
        <w:t>&lt;Title of Study&gt;</w:t>
      </w:r>
      <w:bookmarkEnd w:id="0"/>
    </w:p>
    <w:p w:rsidR="001B36A3" w:rsidRPr="001B36A3" w:rsidP="001B36A3">
      <w:pPr>
        <w:spacing w:before="280" w:after="220"/>
        <w:outlineLvl w:val="4"/>
        <w:rPr>
          <w:rFonts w:cs="Times New Roman"/>
          <w:b/>
          <w:kern w:val="32"/>
          <w:lang w:eastAsia="x-none"/>
        </w:rPr>
      </w:pPr>
      <w:r w:rsidRPr="007E2A8C">
        <w:rPr>
          <w:rFonts w:cs="Times New Roman"/>
          <w:b/>
          <w:kern w:val="32"/>
          <w:lang w:val="x-none" w:eastAsia="x-none"/>
        </w:rPr>
        <w:t>&lt;</w:t>
      </w:r>
      <w:r>
        <w:rPr>
          <w:rFonts w:cs="Times New Roman"/>
          <w:b/>
          <w:kern w:val="32"/>
          <w:lang w:eastAsia="x-none"/>
        </w:rPr>
        <w:t>Study description</w:t>
      </w:r>
      <w:r>
        <w:rPr>
          <w:rFonts w:cs="Times New Roman"/>
          <w:b/>
          <w:kern w:val="32"/>
          <w:lang w:val="x-none" w:eastAsia="x-none"/>
        </w:rPr>
        <w:t>&gt;</w:t>
      </w:r>
    </w:p>
    <w:p w:rsidR="00C839A9" w:rsidP="0013552B">
      <w:pPr>
        <w:pStyle w:val="Heading3Agency"/>
      </w:pPr>
      <w:r>
        <w:t>Methods</w:t>
      </w:r>
    </w:p>
    <w:p w:rsidR="00C839A9" w:rsidP="00C839A9">
      <w:pPr>
        <w:pStyle w:val="No-numheading3Agency"/>
      </w:pPr>
      <w:r>
        <w:t>Study participants</w:t>
      </w:r>
    </w:p>
    <w:p w:rsidR="00C839A9" w:rsidRPr="00C839A9" w:rsidP="00C839A9">
      <w:pPr>
        <w:pStyle w:val="BodytextAgency"/>
      </w:pPr>
    </w:p>
    <w:p w:rsidR="00C839A9" w:rsidP="00C839A9">
      <w:pPr>
        <w:pStyle w:val="No-numheading3Agency"/>
      </w:pPr>
      <w:r>
        <w:t>Treatments</w:t>
      </w:r>
    </w:p>
    <w:p w:rsidR="00C839A9" w:rsidRPr="00C839A9" w:rsidP="00C839A9">
      <w:pPr>
        <w:pStyle w:val="BodytextAgency"/>
      </w:pPr>
    </w:p>
    <w:p w:rsidR="00C839A9" w:rsidP="00C839A9">
      <w:pPr>
        <w:pStyle w:val="No-numheading3Agency"/>
      </w:pPr>
      <w:r>
        <w:t>Objectives</w:t>
      </w:r>
    </w:p>
    <w:p w:rsidR="00C839A9" w:rsidRPr="00C839A9" w:rsidP="00C839A9">
      <w:pPr>
        <w:pStyle w:val="BodytextAgency"/>
      </w:pPr>
    </w:p>
    <w:p w:rsidR="00C839A9" w:rsidP="00C839A9">
      <w:pPr>
        <w:pStyle w:val="No-numheading3Agency"/>
      </w:pPr>
      <w:r>
        <w:t>Outcomes/endpoints</w:t>
      </w:r>
    </w:p>
    <w:p w:rsidR="00C839A9" w:rsidRPr="00C839A9" w:rsidP="00C839A9">
      <w:pPr>
        <w:pStyle w:val="BodytextAgency"/>
      </w:pPr>
    </w:p>
    <w:p w:rsidR="00C839A9" w:rsidP="00C839A9">
      <w:pPr>
        <w:pStyle w:val="No-numheading3Agency"/>
      </w:pPr>
      <w:r>
        <w:t>Sample size</w:t>
      </w:r>
    </w:p>
    <w:p w:rsidR="00C839A9" w:rsidRPr="00C839A9" w:rsidP="00C839A9">
      <w:pPr>
        <w:pStyle w:val="BodytextAgency"/>
      </w:pPr>
    </w:p>
    <w:p w:rsidR="00C839A9" w:rsidP="00C839A9">
      <w:pPr>
        <w:pStyle w:val="No-numheading3Agency"/>
      </w:pPr>
      <w:r>
        <w:t>Randomisation</w:t>
      </w:r>
    </w:p>
    <w:p w:rsidR="00C839A9" w:rsidRPr="00C839A9" w:rsidP="00C839A9">
      <w:pPr>
        <w:pStyle w:val="BodytextAgency"/>
      </w:pPr>
    </w:p>
    <w:p w:rsidR="00C839A9" w:rsidP="00C839A9">
      <w:pPr>
        <w:pStyle w:val="No-numheading3Agency"/>
      </w:pPr>
      <w:r>
        <w:t>Blinding (masking)</w:t>
      </w:r>
    </w:p>
    <w:p w:rsidR="00C839A9" w:rsidRPr="00C839A9" w:rsidP="00C839A9">
      <w:pPr>
        <w:pStyle w:val="BodytextAgency"/>
      </w:pPr>
    </w:p>
    <w:p w:rsidR="00C839A9" w:rsidP="00C839A9">
      <w:pPr>
        <w:pStyle w:val="No-numheading3Agency"/>
      </w:pPr>
      <w:r>
        <w:t>Statistical methods</w:t>
      </w:r>
    </w:p>
    <w:p w:rsidR="00C839A9" w:rsidRPr="00C839A9" w:rsidP="00C839A9">
      <w:pPr>
        <w:pStyle w:val="BodytextAgency"/>
      </w:pPr>
    </w:p>
    <w:p w:rsidR="00C839A9" w:rsidP="0013552B">
      <w:pPr>
        <w:pStyle w:val="Heading3Agency"/>
      </w:pPr>
      <w:r>
        <w:t>Results</w:t>
      </w:r>
    </w:p>
    <w:p w:rsidR="00C839A9" w:rsidP="00C839A9">
      <w:pPr>
        <w:pStyle w:val="No-numheading3Agency"/>
      </w:pPr>
      <w:r>
        <w:t>Participant flow</w:t>
      </w:r>
    </w:p>
    <w:p w:rsidR="00C839A9" w:rsidRPr="00C839A9" w:rsidP="00C839A9">
      <w:pPr>
        <w:pStyle w:val="BodytextAgency"/>
      </w:pPr>
    </w:p>
    <w:p w:rsidR="00C839A9" w:rsidRPr="00C839A9" w:rsidP="00C839A9">
      <w:pPr>
        <w:pStyle w:val="BodytextAgency"/>
      </w:pPr>
      <w:r>
        <w:rPr>
          <w:rFonts w:cs="Times New Roman"/>
          <w:noProof/>
        </w:rPr>
        <w:drawing>
          <wp:inline distT="0" distB="0" distL="0" distR="0">
            <wp:extent cx="5695950" cy="37719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002454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9A9" w:rsidP="00C839A9">
      <w:pPr>
        <w:pStyle w:val="BodytextAgency"/>
      </w:pPr>
    </w:p>
    <w:p w:rsidR="00C839A9" w:rsidP="00C839A9">
      <w:pPr>
        <w:pStyle w:val="No-numheading3Agency"/>
      </w:pPr>
      <w:r w:rsidRPr="00C839A9">
        <w:t>Recruitment</w:t>
      </w:r>
    </w:p>
    <w:p w:rsidR="00C839A9" w:rsidRPr="00C839A9" w:rsidP="00C839A9">
      <w:pPr>
        <w:pStyle w:val="BodytextAgency"/>
      </w:pPr>
    </w:p>
    <w:p w:rsidR="00C839A9" w:rsidP="00C839A9">
      <w:pPr>
        <w:pStyle w:val="No-numheading3Agency"/>
      </w:pPr>
      <w:r w:rsidRPr="00C839A9">
        <w:t>Conduct of the study</w:t>
      </w:r>
    </w:p>
    <w:p w:rsidR="00C839A9" w:rsidRPr="00C839A9" w:rsidP="00C839A9">
      <w:pPr>
        <w:pStyle w:val="BodytextAgency"/>
      </w:pPr>
    </w:p>
    <w:p w:rsidR="00C839A9" w:rsidP="00C839A9">
      <w:pPr>
        <w:pStyle w:val="No-numheading3Agency"/>
      </w:pPr>
      <w:r w:rsidRPr="00C839A9">
        <w:t>Baseline data</w:t>
      </w:r>
    </w:p>
    <w:p w:rsidR="00C839A9" w:rsidRPr="00C839A9" w:rsidP="00C839A9">
      <w:pPr>
        <w:pStyle w:val="BodytextAgency"/>
      </w:pPr>
    </w:p>
    <w:p w:rsidR="00C839A9" w:rsidP="00C839A9">
      <w:pPr>
        <w:pStyle w:val="No-numheading3Agency"/>
      </w:pPr>
      <w:r w:rsidRPr="00C839A9">
        <w:t>Numbers analysed</w:t>
      </w:r>
    </w:p>
    <w:p w:rsidR="00C839A9" w:rsidRPr="00C839A9" w:rsidP="00C839A9">
      <w:pPr>
        <w:pStyle w:val="BodytextAgency"/>
      </w:pPr>
    </w:p>
    <w:p w:rsidR="00C839A9" w:rsidP="00C839A9">
      <w:pPr>
        <w:pStyle w:val="No-numheading3Agency"/>
      </w:pPr>
      <w:r w:rsidRPr="00C839A9">
        <w:t>Outcomes and estimation</w:t>
      </w:r>
    </w:p>
    <w:p w:rsidR="00C839A9" w:rsidRPr="00C839A9" w:rsidP="00C839A9">
      <w:pPr>
        <w:pStyle w:val="BodytextAgency"/>
      </w:pPr>
    </w:p>
    <w:p w:rsidR="00C839A9" w:rsidP="00C839A9">
      <w:pPr>
        <w:pStyle w:val="No-numheading3Agency"/>
      </w:pPr>
      <w:r w:rsidRPr="00C839A9">
        <w:t>Ancillary analyses</w:t>
      </w:r>
    </w:p>
    <w:p w:rsidR="00C839A9" w:rsidRPr="00C839A9" w:rsidP="00C839A9">
      <w:pPr>
        <w:pStyle w:val="BodytextAgency"/>
      </w:pPr>
    </w:p>
    <w:p w:rsidR="00C839A9" w:rsidP="0013552B">
      <w:pPr>
        <w:pStyle w:val="Heading2Agency"/>
      </w:pPr>
      <w:bookmarkStart w:id="1" w:name="_Toc386805854"/>
      <w:r w:rsidRPr="00C839A9">
        <w:t xml:space="preserve">Discussion </w:t>
      </w:r>
      <w:bookmarkEnd w:id="1"/>
    </w:p>
    <w:p w:rsidR="00C839A9" w:rsidRPr="00C839A9" w:rsidP="00C839A9">
      <w:pPr>
        <w:pStyle w:val="No-numheading3Agency"/>
      </w:pPr>
    </w:p>
    <w:p w:rsidR="00C839A9" w:rsidP="00C839A9">
      <w:pPr>
        <w:pStyle w:val="No-numheading3Agency"/>
      </w:pPr>
      <w:r w:rsidRPr="00C839A9">
        <w:t>&lt;Design and conduct of clinical studies&gt;</w:t>
      </w:r>
    </w:p>
    <w:p w:rsidR="00C839A9" w:rsidRPr="00C839A9" w:rsidP="00C839A9">
      <w:pPr>
        <w:pStyle w:val="BodytextAgency"/>
      </w:pPr>
    </w:p>
    <w:p w:rsidR="00C839A9" w:rsidP="00C839A9">
      <w:pPr>
        <w:pStyle w:val="No-numheading3Agency"/>
      </w:pPr>
      <w:r w:rsidRPr="00C839A9">
        <w:t>&lt;Efficacy data and additional analyses&gt;</w:t>
      </w:r>
    </w:p>
    <w:p w:rsidR="00C839A9" w:rsidRPr="00C839A9" w:rsidP="00C839A9">
      <w:pPr>
        <w:pStyle w:val="BodytextAgency"/>
      </w:pPr>
    </w:p>
    <w:p w:rsidR="00C839A9" w:rsidP="00C839A9">
      <w:pPr>
        <w:pStyle w:val="Heading3Agency"/>
      </w:pPr>
      <w:bookmarkStart w:id="2" w:name="_Toc386805855"/>
      <w:r w:rsidRPr="00C839A9">
        <w:t>&lt;Conclusions &gt;</w:t>
      </w:r>
      <w:bookmarkEnd w:id="2"/>
    </w:p>
    <w:p w:rsidR="00C839A9" w:rsidP="00C839A9">
      <w:pPr>
        <w:pStyle w:val="DraftingNotesAgency"/>
      </w:pPr>
      <w:r>
        <w:t xml:space="preserve">Submission of PAES results through a variation would often lead to deletion of an Annex II condition. </w:t>
      </w:r>
      <w:r w:rsidRPr="00903FAB">
        <w:t xml:space="preserve">In case </w:t>
      </w:r>
      <w:r>
        <w:t xml:space="preserve">an </w:t>
      </w:r>
      <w:r w:rsidRPr="00903FAB">
        <w:t>Annex II condition</w:t>
      </w:r>
      <w:r>
        <w:t xml:space="preserve"> is </w:t>
      </w:r>
      <w:r w:rsidRPr="00903FAB">
        <w:t>being deleted:</w:t>
      </w:r>
      <w:r>
        <w:t xml:space="preserve"> </w:t>
      </w:r>
    </w:p>
    <w:p w:rsidR="00C839A9" w:rsidRPr="00903FAB" w:rsidP="00C839A9">
      <w:pPr>
        <w:pStyle w:val="BodytextAgency"/>
      </w:pPr>
      <w:r w:rsidRPr="00903FAB">
        <w:t>The following obligation has been fulfilled, and therefore it is recommended that it be deleted from the Annex II to the Opinion</w:t>
      </w:r>
      <w:r>
        <w:t>:</w:t>
      </w:r>
    </w:p>
    <w:p w:rsidR="00C839A9" w:rsidRPr="00903FAB" w:rsidP="00C839A9">
      <w:pPr>
        <w:pStyle w:val="DraftingNotesAgency"/>
      </w:pPr>
      <w:r w:rsidRPr="00903FAB">
        <w:t xml:space="preserve">In case </w:t>
      </w:r>
      <w:r>
        <w:t>the Annex II condition</w:t>
      </w:r>
      <w:r w:rsidRPr="00903FAB">
        <w:t xml:space="preserve"> </w:t>
      </w:r>
      <w:r>
        <w:t>is</w:t>
      </w:r>
      <w:r w:rsidRPr="00903FAB">
        <w:t xml:space="preserve"> being modified</w:t>
      </w:r>
      <w:r>
        <w:t xml:space="preserve"> or a new condition, which is </w:t>
      </w:r>
      <w:r>
        <w:t>key</w:t>
      </w:r>
      <w:r>
        <w:t xml:space="preserve"> to the benefit-risk, is being imposed</w:t>
      </w:r>
      <w:r w:rsidRPr="00903FAB">
        <w:t>:</w:t>
      </w:r>
    </w:p>
    <w:p w:rsidR="00C839A9" w:rsidRPr="00C839A9" w:rsidP="00C839A9">
      <w:pPr>
        <w:pStyle w:val="BodytextAgency"/>
      </w:pPr>
      <w:r w:rsidRPr="00C839A9">
        <w:t>The following measures are considered necessary to address issues related to efficacy:</w:t>
      </w:r>
    </w:p>
    <w:p w:rsidR="00C839A9" w:rsidP="00C839A9">
      <w:pPr>
        <w:pStyle w:val="DraftingNotesAgency"/>
      </w:pPr>
      <w:r w:rsidRPr="007E2A8C">
        <w:t>Any measure identified as a condition needs to be well motivated in the CHMP AR, notably the need for a condition should be explained in the context of a positive benefit/risk balance</w:t>
      </w:r>
      <w:bookmarkStart w:id="3" w:name="_Toc404930418"/>
      <w:bookmarkStart w:id="4" w:name="_Toc404930426"/>
      <w:bookmarkStart w:id="5" w:name="_Toc382923233"/>
      <w:bookmarkStart w:id="6" w:name="_Toc382923535"/>
      <w:bookmarkStart w:id="7" w:name="_Toc382923837"/>
      <w:bookmarkStart w:id="8" w:name="_Toc382924143"/>
      <w:bookmarkStart w:id="9" w:name="_Toc382924442"/>
      <w:bookmarkStart w:id="10" w:name="_Toc382924742"/>
      <w:bookmarkStart w:id="11" w:name="_Toc382925039"/>
      <w:bookmarkStart w:id="12" w:name="_Toc382923234"/>
      <w:bookmarkStart w:id="13" w:name="_Toc382923536"/>
      <w:bookmarkStart w:id="14" w:name="_Toc382923838"/>
      <w:bookmarkStart w:id="15" w:name="_Toc382924144"/>
      <w:bookmarkStart w:id="16" w:name="_Toc382924443"/>
      <w:bookmarkStart w:id="17" w:name="_Toc382924743"/>
      <w:bookmarkStart w:id="18" w:name="_Toc382925040"/>
      <w:bookmarkStart w:id="19" w:name="_Toc382923250"/>
      <w:bookmarkStart w:id="20" w:name="_Toc382923552"/>
      <w:bookmarkStart w:id="21" w:name="_Toc382923854"/>
      <w:bookmarkStart w:id="22" w:name="_Toc382924160"/>
      <w:bookmarkStart w:id="23" w:name="_Toc382924459"/>
      <w:bookmarkStart w:id="24" w:name="_Toc382924759"/>
      <w:bookmarkStart w:id="25" w:name="_Toc382925056"/>
      <w:bookmarkStart w:id="26" w:name="_Toc382923260"/>
      <w:bookmarkStart w:id="27" w:name="_Toc382923562"/>
      <w:bookmarkStart w:id="28" w:name="_Toc382923864"/>
      <w:bookmarkStart w:id="29" w:name="_Toc382924170"/>
      <w:bookmarkStart w:id="30" w:name="_Toc382924469"/>
      <w:bookmarkStart w:id="31" w:name="_Toc382924769"/>
      <w:bookmarkStart w:id="32" w:name="_Toc382925066"/>
      <w:bookmarkStart w:id="33" w:name="_Toc382923263"/>
      <w:bookmarkStart w:id="34" w:name="_Toc382923565"/>
      <w:bookmarkStart w:id="35" w:name="_Toc382923867"/>
      <w:bookmarkStart w:id="36" w:name="_Toc382924173"/>
      <w:bookmarkStart w:id="37" w:name="_Toc382924472"/>
      <w:bookmarkStart w:id="38" w:name="_Toc382924772"/>
      <w:bookmarkStart w:id="39" w:name="_Toc382925069"/>
      <w:bookmarkStart w:id="40" w:name="_Toc382923265"/>
      <w:bookmarkStart w:id="41" w:name="_Toc382923567"/>
      <w:bookmarkStart w:id="42" w:name="_Toc382923869"/>
      <w:bookmarkStart w:id="43" w:name="_Toc382924175"/>
      <w:bookmarkStart w:id="44" w:name="_Toc382924474"/>
      <w:bookmarkStart w:id="45" w:name="_Toc382924774"/>
      <w:bookmarkStart w:id="46" w:name="_Toc382925071"/>
      <w:bookmarkStart w:id="47" w:name="_Toc382923267"/>
      <w:bookmarkStart w:id="48" w:name="_Toc382923569"/>
      <w:bookmarkStart w:id="49" w:name="_Toc382923871"/>
      <w:bookmarkStart w:id="50" w:name="_Toc382924177"/>
      <w:bookmarkStart w:id="51" w:name="_Toc382924476"/>
      <w:bookmarkStart w:id="52" w:name="_Toc382924776"/>
      <w:bookmarkStart w:id="53" w:name="_Toc382925073"/>
      <w:bookmarkStart w:id="54" w:name="_Toc382923270"/>
      <w:bookmarkStart w:id="55" w:name="_Toc382923572"/>
      <w:bookmarkStart w:id="56" w:name="_Toc382923874"/>
      <w:bookmarkStart w:id="57" w:name="_Toc382924180"/>
      <w:bookmarkStart w:id="58" w:name="_Toc382924479"/>
      <w:bookmarkStart w:id="59" w:name="_Toc382924779"/>
      <w:bookmarkStart w:id="60" w:name="_Toc382925076"/>
      <w:bookmarkStart w:id="61" w:name="_Toc382923275"/>
      <w:bookmarkStart w:id="62" w:name="_Toc382923577"/>
      <w:bookmarkStart w:id="63" w:name="_Toc382923879"/>
      <w:bookmarkStart w:id="64" w:name="_Toc382924185"/>
      <w:bookmarkStart w:id="65" w:name="_Toc382924484"/>
      <w:bookmarkStart w:id="66" w:name="_Toc382924784"/>
      <w:bookmarkStart w:id="67" w:name="_Toc382925081"/>
      <w:bookmarkStart w:id="68" w:name="_Toc382923276"/>
      <w:bookmarkStart w:id="69" w:name="_Toc382923578"/>
      <w:bookmarkStart w:id="70" w:name="_Toc382923880"/>
      <w:bookmarkStart w:id="71" w:name="_Toc382924186"/>
      <w:bookmarkStart w:id="72" w:name="_Toc382924485"/>
      <w:bookmarkStart w:id="73" w:name="_Toc382924785"/>
      <w:bookmarkStart w:id="74" w:name="_Toc382925082"/>
      <w:bookmarkStart w:id="75" w:name="_Toc382923277"/>
      <w:bookmarkStart w:id="76" w:name="_Toc382923579"/>
      <w:bookmarkStart w:id="77" w:name="_Toc382923881"/>
      <w:bookmarkStart w:id="78" w:name="_Toc382924187"/>
      <w:bookmarkStart w:id="79" w:name="_Toc382924486"/>
      <w:bookmarkStart w:id="80" w:name="_Toc382924786"/>
      <w:bookmarkStart w:id="81" w:name="_Toc382925083"/>
      <w:bookmarkStart w:id="82" w:name="_Toc382923278"/>
      <w:bookmarkStart w:id="83" w:name="_Toc382923580"/>
      <w:bookmarkStart w:id="84" w:name="_Toc382923882"/>
      <w:bookmarkStart w:id="85" w:name="_Toc382924188"/>
      <w:bookmarkStart w:id="86" w:name="_Toc382924487"/>
      <w:bookmarkStart w:id="87" w:name="_Toc382924787"/>
      <w:bookmarkStart w:id="88" w:name="_Toc382925084"/>
      <w:bookmarkStart w:id="89" w:name="_Toc382923280"/>
      <w:bookmarkStart w:id="90" w:name="_Toc382923582"/>
      <w:bookmarkStart w:id="91" w:name="_Toc382923884"/>
      <w:bookmarkStart w:id="92" w:name="_Toc382924190"/>
      <w:bookmarkStart w:id="93" w:name="_Toc382924489"/>
      <w:bookmarkStart w:id="94" w:name="_Toc382924789"/>
      <w:bookmarkStart w:id="95" w:name="_Toc382925086"/>
      <w:bookmarkStart w:id="96" w:name="_Toc382923318"/>
      <w:bookmarkStart w:id="97" w:name="_Toc382923620"/>
      <w:bookmarkStart w:id="98" w:name="_Toc382923922"/>
      <w:bookmarkStart w:id="99" w:name="_Toc382924228"/>
      <w:bookmarkStart w:id="100" w:name="_Toc382924527"/>
      <w:bookmarkStart w:id="101" w:name="_Toc382924827"/>
      <w:bookmarkStart w:id="102" w:name="_Toc382925124"/>
      <w:bookmarkStart w:id="103" w:name="_Toc382923342"/>
      <w:bookmarkStart w:id="104" w:name="_Toc382923644"/>
      <w:bookmarkStart w:id="105" w:name="_Toc382923946"/>
      <w:bookmarkStart w:id="106" w:name="_Toc382924251"/>
      <w:bookmarkStart w:id="107" w:name="_Toc382924550"/>
      <w:bookmarkStart w:id="108" w:name="_Toc382924850"/>
      <w:bookmarkStart w:id="109" w:name="_Toc382925147"/>
      <w:bookmarkStart w:id="110" w:name="BodyBlank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r>
        <w:t>.</w:t>
      </w:r>
    </w:p>
    <w:p w:rsidR="00C839A9" w:rsidRPr="00C839A9" w:rsidP="00C839A9"/>
    <w:sectPr w:rsidSect="00CF216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39" w:code="9"/>
      <w:pgMar w:top="1417" w:right="1247" w:bottom="1417" w:left="1247" w:header="284" w:footer="68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A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Look w:val="01E0"/>
    </w:tblPr>
    <w:tblGrid>
      <w:gridCol w:w="6196"/>
      <w:gridCol w:w="3217"/>
    </w:tblGrid>
    <w:tr w:rsidTr="00825F15">
      <w:tblPrEx>
        <w:tblW w:w="5000" w:type="pct"/>
        <w:tblLook w:val="01E0"/>
      </w:tblPrEx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left w:w="0" w:type="dxa"/>
            <w:right w:w="0" w:type="dxa"/>
          </w:tcMar>
        </w:tcPr>
        <w:p w:rsidR="00F32898" w:rsidRPr="00A44B87">
          <w:pPr>
            <w:pStyle w:val="FooterAgency"/>
          </w:pPr>
        </w:p>
      </w:tc>
    </w:tr>
    <w:tr w:rsidTr="00825F15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F32898" w:rsidRPr="00825F15">
          <w:pPr>
            <w:pStyle w:val="FooterAgency"/>
            <w:rPr>
              <w:szCs w:val="15"/>
            </w:rPr>
          </w:pPr>
          <w:r w:rsidRPr="00825F15">
            <w:rPr>
              <w:szCs w:val="15"/>
            </w:rPr>
            <w:fldChar w:fldCharType="begin"/>
          </w:r>
          <w:r w:rsidRPr="00825F15">
            <w:rPr>
              <w:szCs w:val="15"/>
            </w:rPr>
            <w:instrText xml:space="preserve"> IF </w:instrText>
          </w:r>
          <w:r>
            <w:fldChar w:fldCharType="begin"/>
          </w:r>
          <w:r>
            <w:instrText xml:space="preserve"> STYLEREF  "Doc title (Agency)"  \* MERGEFORMAT </w:instrText>
          </w:r>
          <w:r>
            <w:fldChar w:fldCharType="separate"/>
          </w:r>
          <w:r w:rsidRPr="00B840C3" w:rsidR="00B840C3">
            <w:rPr>
              <w:b/>
              <w:bCs/>
              <w:noProof/>
              <w:lang w:val="en-US"/>
            </w:rPr>
            <w:instrText>PAES assessment report sub-template for type II variations</w:instrText>
          </w:r>
          <w:r w:rsidRPr="00B840C3" w:rsidR="00B840C3">
            <w:rPr>
              <w:b/>
              <w:bCs/>
              <w:noProof/>
              <w:lang w:val="en-US"/>
            </w:rPr>
            <w:fldChar w:fldCharType="end"/>
          </w:r>
          <w:r w:rsidRPr="00825F15">
            <w:rPr>
              <w:szCs w:val="15"/>
            </w:rPr>
            <w:instrText xml:space="preserve"> &lt;&gt; "Error*"</w:instrText>
          </w:r>
          <w:r w:rsidR="00B840C3">
            <w:fldChar w:fldCharType="begin"/>
          </w:r>
          <w:r w:rsidR="00B840C3">
            <w:instrText xml:space="preserve"> STYLEREF  "Doc title (Agency)"  \* MERGEFORMAT </w:instrText>
          </w:r>
          <w:r w:rsidR="00B840C3">
            <w:fldChar w:fldCharType="separate"/>
          </w:r>
          <w:r w:rsidR="00B840C3">
            <w:rPr>
              <w:noProof/>
            </w:rPr>
            <w:instrText>PAES assessment report sub-template for type II variations</w:instrText>
          </w:r>
          <w:r w:rsidR="00B840C3">
            <w:rPr>
              <w:noProof/>
            </w:rPr>
            <w:fldChar w:fldCharType="end"/>
          </w:r>
          <w:r w:rsidRPr="00825F15">
            <w:rPr>
              <w:szCs w:val="15"/>
            </w:rPr>
            <w:instrText xml:space="preserve"> \* MERGEFORMAT </w:instrText>
          </w:r>
          <w:r w:rsidRPr="00825F15">
            <w:rPr>
              <w:szCs w:val="15"/>
            </w:rPr>
            <w:fldChar w:fldCharType="separate"/>
          </w:r>
          <w:r w:rsidR="00B840C3">
            <w:rPr>
              <w:noProof/>
            </w:rPr>
            <w:t>PAES assessment report sub-template for type II variations</w:t>
          </w:r>
          <w:r w:rsidRPr="00825F15">
            <w:rPr>
              <w:szCs w:val="15"/>
            </w:rPr>
            <w:fldChar w:fldCharType="end"/>
          </w:r>
          <w:r w:rsidRPr="00825F15">
            <w:rPr>
              <w:szCs w:val="15"/>
            </w:rPr>
            <w:t xml:space="preserve"> </w:t>
          </w:r>
        </w:p>
        <w:p w:rsidR="00F32898" w:rsidRPr="00A44B87">
          <w:pPr>
            <w:pStyle w:val="FooterAgency"/>
          </w:pPr>
          <w:r w:rsidRPr="00825F15">
            <w:rPr>
              <w:szCs w:val="15"/>
            </w:rPr>
            <w:t>&lt;product name&gt;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F32898" w:rsidRPr="00A44B87">
          <w:pPr>
            <w:pStyle w:val="FooterAgency"/>
          </w:pPr>
        </w:p>
      </w:tc>
    </w:tr>
    <w:tr w:rsidTr="00825F15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F32898" w:rsidRPr="00825F15">
          <w:pPr>
            <w:pStyle w:val="FooterAgency"/>
            <w:rPr>
              <w:szCs w:val="15"/>
            </w:rPr>
          </w:pPr>
          <w:r w:rsidRPr="00825F15">
            <w:rPr>
              <w:szCs w:val="15"/>
            </w:rPr>
            <w:t>EMA doc ref</w:t>
          </w:r>
        </w:p>
        <w:p w:rsidR="00F32898" w:rsidRPr="00A44B87" w:rsidP="007258B9">
          <w:pPr>
            <w:pStyle w:val="FooterAgency"/>
          </w:pPr>
          <w:r w:rsidRPr="00825F15">
            <w:rPr>
              <w:szCs w:val="15"/>
            </w:rPr>
            <w:t>Rev</w:t>
          </w:r>
          <w:r w:rsidR="00E17FAC">
            <w:rPr>
              <w:szCs w:val="15"/>
            </w:rPr>
            <w:t>05</w:t>
          </w:r>
          <w:r w:rsidRPr="00825F15">
            <w:rPr>
              <w:szCs w:val="15"/>
            </w:rPr>
            <w:t>.1</w:t>
          </w:r>
          <w:r w:rsidR="00E17FAC">
            <w:rPr>
              <w:szCs w:val="15"/>
            </w:rPr>
            <w:t>7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F32898" w:rsidRPr="00A44B87">
          <w:pPr>
            <w:pStyle w:val="PagenumberAgency"/>
          </w:pPr>
          <w:r w:rsidRPr="006E62FC">
            <w:t xml:space="preserve">Page </w:t>
          </w:r>
          <w:r w:rsidRPr="006E62FC">
            <w:fldChar w:fldCharType="begin"/>
          </w:r>
          <w:r w:rsidRPr="006E62FC">
            <w:instrText xml:space="preserve"> PAGE </w:instrText>
          </w:r>
          <w:r w:rsidRPr="006E62FC">
            <w:fldChar w:fldCharType="separate"/>
          </w:r>
          <w:r w:rsidR="00B840C3">
            <w:rPr>
              <w:noProof/>
            </w:rPr>
            <w:t>3</w:t>
          </w:r>
          <w:r w:rsidRPr="006E62FC">
            <w:fldChar w:fldCharType="end"/>
          </w:r>
          <w:r>
            <w:t>/</w:t>
          </w:r>
          <w:r w:rsidR="00B840C3">
            <w:fldChar w:fldCharType="begin"/>
          </w:r>
          <w:r w:rsidR="00B840C3">
            <w:instrText xml:space="preserve"> NUMPAGES </w:instrText>
          </w:r>
          <w:r w:rsidR="00B840C3">
            <w:fldChar w:fldCharType="separate"/>
          </w:r>
          <w:r w:rsidR="00B840C3">
            <w:rPr>
              <w:noProof/>
            </w:rPr>
            <w:t>3</w:t>
          </w:r>
          <w:r w:rsidR="00B840C3">
            <w:rPr>
              <w:noProof/>
            </w:rPr>
            <w:fldChar w:fldCharType="end"/>
          </w:r>
        </w:p>
      </w:tc>
    </w:tr>
  </w:tbl>
  <w:p w:rsidR="00F32898" w:rsidP="002D7502">
    <w:pPr>
      <w:pStyle w:val="FooterAgenc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Layout w:type="fixed"/>
      <w:tblLook w:val="01E0"/>
    </w:tblPr>
    <w:tblGrid>
      <w:gridCol w:w="6206"/>
      <w:gridCol w:w="3207"/>
    </w:tblGrid>
    <w:tr w:rsidTr="00DA0BDC">
      <w:tblPrEx>
        <w:tblW w:w="5000" w:type="pct"/>
        <w:tblLayout w:type="fixed"/>
        <w:tblLook w:val="01E0"/>
      </w:tblPrEx>
      <w:trPr>
        <w:trHeight w:hRule="exact" w:val="198"/>
      </w:trPr>
      <w:tc>
        <w:tcPr>
          <w:tcW w:w="6206" w:type="dxa"/>
          <w:shd w:val="clear" w:color="auto" w:fill="auto"/>
          <w:tcMar>
            <w:left w:w="0" w:type="dxa"/>
            <w:right w:w="0" w:type="dxa"/>
          </w:tcMar>
          <w:vAlign w:val="bottom"/>
        </w:tcPr>
        <w:p w:rsidR="00B840C3" w:rsidRPr="003A07BE" w:rsidP="00DA0BDC">
          <w:pPr>
            <w:pStyle w:val="FooterAgency"/>
          </w:pPr>
          <w:r>
            <w:t>30 Churchill Place</w:t>
          </w:r>
          <w:r w:rsidRPr="003A07BE">
            <w:t xml:space="preserve"> </w:t>
          </w:r>
          <w:r w:rsidRPr="00696743">
            <w:rPr>
              <w:rStyle w:val="FooterblueAgencyCharChar"/>
            </w:rPr>
            <w:t>●</w:t>
          </w:r>
          <w:r w:rsidRPr="003A07BE">
            <w:t xml:space="preserve"> Canary Wharf </w:t>
          </w:r>
          <w:r w:rsidRPr="00696743">
            <w:rPr>
              <w:rStyle w:val="FooterblueAgencyCharChar"/>
            </w:rPr>
            <w:t>●</w:t>
          </w:r>
          <w:r w:rsidRPr="003A07BE">
            <w:t xml:space="preserve"> London E14 </w:t>
          </w:r>
          <w:r>
            <w:t>5EU</w:t>
          </w:r>
          <w:r w:rsidRPr="003A07BE">
            <w:t xml:space="preserve"> </w:t>
          </w:r>
          <w:r w:rsidRPr="00696743">
            <w:rPr>
              <w:rStyle w:val="FooterblueAgencyCharChar"/>
            </w:rPr>
            <w:t>●</w:t>
          </w:r>
          <w:r w:rsidRPr="003A07BE">
            <w:t xml:space="preserve"> United Kingdom</w:t>
          </w:r>
        </w:p>
      </w:tc>
      <w:tc>
        <w:tcPr>
          <w:tcW w:w="3207" w:type="dxa"/>
          <w:vMerge w:val="restart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/>
          </w:tblPr>
          <w:tblGrid>
            <w:gridCol w:w="2478"/>
            <w:gridCol w:w="709"/>
          </w:tblGrid>
          <w:tr w:rsidTr="00DA0BDC">
            <w:tblPrEx>
              <w:tblW w:w="0" w:type="auto"/>
              <w:jc w:val="right"/>
              <w:tblLayout w:type="fixed"/>
              <w:tblLook w:val="01E0"/>
            </w:tblPrEx>
            <w:trPr>
              <w:trHeight w:val="180"/>
              <w:tblHeader/>
              <w:jc w:val="right"/>
            </w:trPr>
            <w:tc>
              <w:tcPr>
                <w:tcW w:w="2478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shd w:val="clear" w:color="auto" w:fill="auto"/>
                <w:vAlign w:val="bottom"/>
              </w:tcPr>
              <w:p w:rsidR="00B840C3" w:rsidRPr="00A44B87" w:rsidP="00DA0BDC">
                <w:pPr>
                  <w:pStyle w:val="FooterAgency"/>
                  <w:jc w:val="right"/>
                </w:pPr>
                <w:r w:rsidRPr="00390AC0">
                  <w:rPr>
                    <w:sz w:val="11"/>
                    <w:szCs w:val="11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shd w:val="clear" w:color="auto" w:fill="auto"/>
                <w:tcMar>
                  <w:right w:w="6" w:type="dxa"/>
                </w:tcMar>
                <w:vAlign w:val="bottom"/>
              </w:tcPr>
              <w:p w:rsidR="00B840C3" w:rsidRPr="00A44B87" w:rsidP="00DA0BDC">
                <w:pPr>
                  <w:pStyle w:val="FooterAgency"/>
                  <w:jc w:val="right"/>
                </w:pPr>
                <w:r>
                  <w:rPr>
                    <w:noProof/>
                  </w:rPr>
                  <w:drawing>
                    <wp:inline distT="0" distB="0" distL="0" distR="0">
                      <wp:extent cx="390525" cy="266700"/>
                      <wp:effectExtent l="0" t="0" r="9525" b="0"/>
                      <wp:docPr id="3" name="Picture 3" descr="EU Logo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87289964" name="Picture 1" descr="EU Logo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Tr="00DA0BDC">
            <w:tblPrEx>
              <w:tblW w:w="0" w:type="auto"/>
              <w:jc w:val="right"/>
              <w:tblLayout w:type="fixed"/>
              <w:tblLook w:val="01E0"/>
            </w:tblPrEx>
            <w:trPr>
              <w:trHeight w:val="390"/>
              <w:jc w:val="right"/>
            </w:trPr>
            <w:tc>
              <w:tcPr>
                <w:tcW w:w="2478" w:type="dxa"/>
                <w:vMerge/>
                <w:shd w:val="clear" w:color="auto" w:fill="auto"/>
              </w:tcPr>
              <w:p w:rsidR="00B840C3" w:rsidRPr="00A44B87" w:rsidP="00DA0BDC">
                <w:pPr>
                  <w:pStyle w:val="FooterAgency"/>
                </w:pPr>
              </w:p>
            </w:tc>
            <w:tc>
              <w:tcPr>
                <w:tcW w:w="709" w:type="dxa"/>
                <w:vMerge/>
                <w:shd w:val="clear" w:color="auto" w:fill="auto"/>
              </w:tcPr>
              <w:p w:rsidR="00B840C3" w:rsidRPr="00A44B87" w:rsidP="00DA0BDC">
                <w:pPr>
                  <w:pStyle w:val="FooterAgency"/>
                </w:pPr>
              </w:p>
            </w:tc>
          </w:tr>
        </w:tbl>
        <w:p w:rsidR="00B840C3" w:rsidRPr="00A44B87" w:rsidP="00DA0BDC">
          <w:pPr>
            <w:pStyle w:val="FooterAgency"/>
            <w:widowControl w:val="0"/>
            <w:adjustRightInd w:val="0"/>
            <w:jc w:val="right"/>
          </w:pPr>
        </w:p>
      </w:tc>
    </w:tr>
    <w:tr w:rsidTr="00DA0BDC">
      <w:tblPrEx>
        <w:tblW w:w="5000" w:type="pct"/>
        <w:tblLayout w:type="fixed"/>
        <w:tblLook w:val="01E0"/>
      </w:tblPrEx>
      <w:trPr>
        <w:trHeight w:val="390"/>
      </w:trPr>
      <w:tc>
        <w:tcPr>
          <w:tcW w:w="6206" w:type="dxa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1E0"/>
          </w:tblPr>
          <w:tblGrid>
            <w:gridCol w:w="840"/>
            <w:gridCol w:w="1648"/>
            <w:gridCol w:w="726"/>
            <w:gridCol w:w="2767"/>
          </w:tblGrid>
          <w:tr w:rsidTr="00DA0BDC">
            <w:tblPrEx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/>
            </w:tblPrEx>
            <w:trPr>
              <w:trHeight w:hRule="exact" w:val="198"/>
            </w:trPr>
            <w:tc>
              <w:tcPr>
                <w:tcW w:w="840" w:type="dxa"/>
                <w:vAlign w:val="bottom"/>
              </w:tcPr>
              <w:p w:rsidR="00B840C3" w:rsidRPr="003A07BE" w:rsidP="00DA0BDC">
                <w:pPr>
                  <w:pStyle w:val="FooterblueAgency"/>
                </w:pPr>
                <w:r w:rsidRPr="003A07BE">
                  <w:t>Telephone</w:t>
                </w:r>
              </w:p>
            </w:tc>
            <w:tc>
              <w:tcPr>
                <w:tcW w:w="1648" w:type="dxa"/>
                <w:vAlign w:val="bottom"/>
              </w:tcPr>
              <w:p w:rsidR="00B840C3" w:rsidRPr="003A07BE" w:rsidP="00DA0BDC">
                <w:pPr>
                  <w:pStyle w:val="FooterAgency"/>
                </w:pPr>
                <w:r w:rsidRPr="003A07BE">
                  <w:t xml:space="preserve">+44 (0)20 </w:t>
                </w:r>
                <w:r>
                  <w:t>3660</w:t>
                </w:r>
                <w:r w:rsidRPr="003A07BE">
                  <w:t xml:space="preserve"> </w:t>
                </w:r>
                <w:r>
                  <w:t>6000</w:t>
                </w:r>
              </w:p>
            </w:tc>
            <w:tc>
              <w:tcPr>
                <w:tcW w:w="726" w:type="dxa"/>
                <w:vAlign w:val="bottom"/>
              </w:tcPr>
              <w:p w:rsidR="00B840C3" w:rsidRPr="003A07BE" w:rsidP="00DA0BDC">
                <w:pPr>
                  <w:pStyle w:val="FooterblueAgency"/>
                </w:pPr>
                <w:r w:rsidRPr="003A07BE">
                  <w:t>Facsimile</w:t>
                </w:r>
              </w:p>
            </w:tc>
            <w:tc>
              <w:tcPr>
                <w:tcW w:w="2767" w:type="dxa"/>
                <w:vAlign w:val="bottom"/>
              </w:tcPr>
              <w:p w:rsidR="00B840C3" w:rsidRPr="003A07BE" w:rsidP="00DA0BDC">
                <w:pPr>
                  <w:pStyle w:val="FooterAgency"/>
                </w:pPr>
                <w:r w:rsidRPr="003A07BE">
                  <w:t xml:space="preserve">+44 (0)20 </w:t>
                </w:r>
                <w:bookmarkStart w:id="111" w:name="Foot"/>
                <w:r>
                  <w:t>3660 5505</w:t>
                </w:r>
                <w:bookmarkEnd w:id="111"/>
              </w:p>
            </w:tc>
          </w:tr>
          <w:tr w:rsidTr="00DA0BDC">
            <w:tblPrEx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/>
            </w:tblPrEx>
            <w:trPr>
              <w:trHeight w:hRule="exact" w:val="198"/>
            </w:trPr>
            <w:tc>
              <w:tcPr>
                <w:tcW w:w="5981" w:type="dxa"/>
                <w:gridSpan w:val="4"/>
                <w:vAlign w:val="bottom"/>
              </w:tcPr>
              <w:p w:rsidR="00B840C3" w:rsidRPr="00584092" w:rsidP="00DA0BDC">
                <w:pPr>
                  <w:pStyle w:val="FooterAgency"/>
                </w:pPr>
                <w:r w:rsidRPr="00584092">
                  <w:rPr>
                    <w:rStyle w:val="FooterblueAgencyCharChar"/>
                  </w:rPr>
                  <w:t>Send a question via our website</w:t>
                </w:r>
                <w:r w:rsidRPr="00584092">
                  <w:t xml:space="preserve"> www.ema.europa.eu/contact</w:t>
                </w:r>
              </w:p>
            </w:tc>
          </w:tr>
        </w:tbl>
        <w:p w:rsidR="00B840C3" w:rsidRPr="003A07BE" w:rsidP="00DA0BDC">
          <w:pPr>
            <w:pStyle w:val="FooterAgency"/>
          </w:pPr>
        </w:p>
      </w:tc>
      <w:tc>
        <w:tcPr>
          <w:tcW w:w="3207" w:type="dxa"/>
          <w:vMerge/>
          <w:shd w:val="clear" w:color="auto" w:fill="auto"/>
          <w:tcMar>
            <w:left w:w="0" w:type="dxa"/>
            <w:right w:w="0" w:type="dxa"/>
          </w:tcMar>
          <w:vAlign w:val="bottom"/>
        </w:tcPr>
        <w:p w:rsidR="00B840C3" w:rsidRPr="00A44B87" w:rsidP="00DA0BDC">
          <w:pPr>
            <w:pStyle w:val="FooterAgency"/>
          </w:pPr>
        </w:p>
      </w:tc>
    </w:tr>
    <w:tr w:rsidTr="00DA0BDC">
      <w:tblPrEx>
        <w:tblW w:w="5000" w:type="pct"/>
        <w:tblLayout w:type="fixed"/>
        <w:tblLook w:val="01E0"/>
      </w:tblPrEx>
      <w:tc>
        <w:tcPr>
          <w:tcW w:w="9413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:rsidR="00B840C3" w:rsidRPr="00A44B87" w:rsidP="00DA0BDC">
          <w:pPr>
            <w:pStyle w:val="FooterAgency"/>
          </w:pPr>
        </w:p>
      </w:tc>
    </w:tr>
    <w:tr w:rsidTr="00DA0BDC">
      <w:tblPrEx>
        <w:tblW w:w="5000" w:type="pct"/>
        <w:tblLayout w:type="fixed"/>
        <w:tblLook w:val="01E0"/>
      </w:tblPrEx>
      <w:tc>
        <w:tcPr>
          <w:tcW w:w="9413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:rsidR="00B840C3" w:rsidRPr="00CE789B" w:rsidP="00DA0BDC">
          <w:pPr>
            <w:pStyle w:val="FooterAgency"/>
            <w:jc w:val="center"/>
          </w:pPr>
          <w:r w:rsidRPr="00CE789B">
            <w:t xml:space="preserve">© European Medicines Agency, </w:t>
          </w:r>
          <w:r>
            <w:fldChar w:fldCharType="begin"/>
          </w:r>
          <w:r>
            <w:instrText xml:space="preserve"> DATE  \@ "yyyy"  \* MERGEFORMAT </w:instrText>
          </w:r>
          <w:r>
            <w:fldChar w:fldCharType="separate"/>
          </w:r>
          <w:r>
            <w:rPr>
              <w:noProof/>
            </w:rPr>
            <w:t>2018</w:t>
          </w:r>
          <w:r>
            <w:fldChar w:fldCharType="end"/>
          </w:r>
          <w:r w:rsidRPr="00CE789B">
            <w:t>. Reproduction is authorised provided the source is acknowledged.</w:t>
          </w:r>
        </w:p>
      </w:tc>
    </w:tr>
  </w:tbl>
  <w:p w:rsidR="00B840C3" w:rsidP="00B840C3">
    <w:pPr>
      <w:pStyle w:val="FooterAgency"/>
    </w:pPr>
    <w:bookmarkStart w:id="112" w:name="_GoBack"/>
    <w:bookmarkEnd w:id="11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A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A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2898" w:rsidRPr="00C839A9" w:rsidP="00B636AF">
    <w:pPr>
      <w:pStyle w:val="HeaderAgency"/>
      <w:jc w:val="center"/>
      <w:rPr>
        <w:b/>
      </w:rPr>
    </w:pPr>
    <w:r>
      <w:rPr>
        <w:noProof/>
      </w:rPr>
      <w:drawing>
        <wp:inline distT="0" distB="0" distL="0" distR="0">
          <wp:extent cx="3562350" cy="1800225"/>
          <wp:effectExtent l="0" t="0" r="0" b="9525"/>
          <wp:docPr id="1" name="Picture 1" descr="Logo MS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298364" name="Picture 1" descr="Logo MSWord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7A7A01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EF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626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6D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B8AB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84C1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D42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E2C1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1AC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B2C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>
    <w:nsid w:val="0AE355F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141053BB"/>
    <w:multiLevelType w:val="multilevel"/>
    <w:tmpl w:val="7614763A"/>
    <w:numStyleLink w:val="NumberlistAgenc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6">
    <w:nsid w:val="2DC220E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8">
    <w:nsid w:val="5CA6115B"/>
    <w:multiLevelType w:val="multilevel"/>
    <w:tmpl w:val="76147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cs="Times New Roman" w:hint="default"/>
      </w:rPr>
    </w:lvl>
  </w:abstractNum>
  <w:abstractNum w:abstractNumId="19">
    <w:nsid w:val="607A7A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61B17DBA"/>
    <w:multiLevelType w:val="multilevel"/>
    <w:tmpl w:val="A02E932A"/>
    <w:numStyleLink w:val="BulletsAgenc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1">
    <w:nsid w:val="6EBE4A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17"/>
  </w:num>
  <w:num w:numId="10">
    <w:abstractNumId w:val="17"/>
  </w:num>
  <w:num w:numId="11">
    <w:abstractNumId w:val="17"/>
  </w:num>
  <w:num w:numId="12">
    <w:abstractNumId w:val="15"/>
  </w:num>
  <w:num w:numId="13">
    <w:abstractNumId w:val="11"/>
  </w:num>
  <w:num w:numId="14">
    <w:abstractNumId w:val="21"/>
  </w:num>
  <w:num w:numId="15">
    <w:abstractNumId w:val="19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  <w:num w:numId="28">
    <w:abstractNumId w:val="13"/>
  </w:num>
  <w:num w:numId="29">
    <w:abstractNumId w:val="17"/>
  </w:num>
  <w:num w:numId="30">
    <w:abstractNumId w:val="17"/>
  </w:num>
  <w:num w:numId="31">
    <w:abstractNumId w:val="17"/>
  </w:num>
  <w:num w:numId="32">
    <w:abstractNumId w:val="17"/>
  </w:num>
  <w:num w:numId="33">
    <w:abstractNumId w:val="17"/>
  </w:num>
  <w:num w:numId="34">
    <w:abstractNumId w:val="17"/>
  </w:num>
  <w:num w:numId="35">
    <w:abstractNumId w:val="17"/>
  </w:num>
  <w:num w:numId="36">
    <w:abstractNumId w:val="17"/>
  </w:num>
  <w:num w:numId="37">
    <w:abstractNumId w:val="17"/>
  </w:num>
  <w:num w:numId="38">
    <w:abstractNumId w:val="15"/>
  </w:num>
  <w:num w:numId="39">
    <w:abstractNumId w:val="11"/>
  </w:num>
  <w:num w:numId="40">
    <w:abstractNumId w:val="14"/>
  </w:num>
  <w:num w:numId="41">
    <w:abstractNumId w:val="20"/>
  </w:num>
  <w:num w:numId="42">
    <w:abstractNumId w:val="18"/>
  </w:num>
  <w:num w:numId="43">
    <w:abstractNumId w:val="16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02" w:allStyles="0" w:alternateStyleNames="0" w:clearFormatting="1" w:customStyles="1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20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9"/>
    <w:rsid w:val="00040E57"/>
    <w:rsid w:val="0005265E"/>
    <w:rsid w:val="00061966"/>
    <w:rsid w:val="00061C16"/>
    <w:rsid w:val="00095ED0"/>
    <w:rsid w:val="000B7976"/>
    <w:rsid w:val="000D1CD4"/>
    <w:rsid w:val="000D67D0"/>
    <w:rsid w:val="001114E5"/>
    <w:rsid w:val="001177DF"/>
    <w:rsid w:val="00126A1F"/>
    <w:rsid w:val="0013552B"/>
    <w:rsid w:val="00144208"/>
    <w:rsid w:val="00161C0F"/>
    <w:rsid w:val="00172652"/>
    <w:rsid w:val="0017699A"/>
    <w:rsid w:val="001921FA"/>
    <w:rsid w:val="001B1E3F"/>
    <w:rsid w:val="001B36A3"/>
    <w:rsid w:val="001C73B6"/>
    <w:rsid w:val="001C74D6"/>
    <w:rsid w:val="001D5CA1"/>
    <w:rsid w:val="001F28C1"/>
    <w:rsid w:val="001F31B6"/>
    <w:rsid w:val="00206017"/>
    <w:rsid w:val="0021571D"/>
    <w:rsid w:val="00221B07"/>
    <w:rsid w:val="0023409C"/>
    <w:rsid w:val="00235F86"/>
    <w:rsid w:val="00236984"/>
    <w:rsid w:val="00253003"/>
    <w:rsid w:val="002642A0"/>
    <w:rsid w:val="00267C9F"/>
    <w:rsid w:val="00291894"/>
    <w:rsid w:val="002D6CCD"/>
    <w:rsid w:val="002D7502"/>
    <w:rsid w:val="002E7ADC"/>
    <w:rsid w:val="002E7E40"/>
    <w:rsid w:val="002F5A9A"/>
    <w:rsid w:val="00317857"/>
    <w:rsid w:val="00334963"/>
    <w:rsid w:val="00355C22"/>
    <w:rsid w:val="00390AC0"/>
    <w:rsid w:val="003921AB"/>
    <w:rsid w:val="00395133"/>
    <w:rsid w:val="003960DB"/>
    <w:rsid w:val="00397B58"/>
    <w:rsid w:val="003A07BE"/>
    <w:rsid w:val="003B40EC"/>
    <w:rsid w:val="003D2280"/>
    <w:rsid w:val="003D5D68"/>
    <w:rsid w:val="003F18A7"/>
    <w:rsid w:val="004261EA"/>
    <w:rsid w:val="0046394E"/>
    <w:rsid w:val="00477B9E"/>
    <w:rsid w:val="00485A03"/>
    <w:rsid w:val="004A44D9"/>
    <w:rsid w:val="004B099C"/>
    <w:rsid w:val="004C2511"/>
    <w:rsid w:val="004E1076"/>
    <w:rsid w:val="004E658D"/>
    <w:rsid w:val="005015A0"/>
    <w:rsid w:val="00526BE3"/>
    <w:rsid w:val="00547B66"/>
    <w:rsid w:val="00567669"/>
    <w:rsid w:val="00574E06"/>
    <w:rsid w:val="00577DAF"/>
    <w:rsid w:val="005837A4"/>
    <w:rsid w:val="00584092"/>
    <w:rsid w:val="00585874"/>
    <w:rsid w:val="005B3B01"/>
    <w:rsid w:val="005B6350"/>
    <w:rsid w:val="005B6B08"/>
    <w:rsid w:val="005F06FE"/>
    <w:rsid w:val="00606B64"/>
    <w:rsid w:val="00607BDB"/>
    <w:rsid w:val="0063181B"/>
    <w:rsid w:val="00633D01"/>
    <w:rsid w:val="006633BB"/>
    <w:rsid w:val="006659C2"/>
    <w:rsid w:val="00696743"/>
    <w:rsid w:val="006A1F40"/>
    <w:rsid w:val="006D103F"/>
    <w:rsid w:val="006E62FC"/>
    <w:rsid w:val="00706991"/>
    <w:rsid w:val="00707193"/>
    <w:rsid w:val="007258B9"/>
    <w:rsid w:val="00727FB2"/>
    <w:rsid w:val="007338C8"/>
    <w:rsid w:val="00755CAC"/>
    <w:rsid w:val="00784282"/>
    <w:rsid w:val="00796BF6"/>
    <w:rsid w:val="007A2DA4"/>
    <w:rsid w:val="007A67E8"/>
    <w:rsid w:val="007A6B96"/>
    <w:rsid w:val="007A7443"/>
    <w:rsid w:val="007C7A16"/>
    <w:rsid w:val="007D4361"/>
    <w:rsid w:val="007D74D9"/>
    <w:rsid w:val="007E2A8C"/>
    <w:rsid w:val="007E5D9B"/>
    <w:rsid w:val="00803E5E"/>
    <w:rsid w:val="00820E72"/>
    <w:rsid w:val="00825F15"/>
    <w:rsid w:val="00835590"/>
    <w:rsid w:val="00836039"/>
    <w:rsid w:val="00844E72"/>
    <w:rsid w:val="00894E6B"/>
    <w:rsid w:val="00903FAB"/>
    <w:rsid w:val="00906EB3"/>
    <w:rsid w:val="009338C2"/>
    <w:rsid w:val="00936869"/>
    <w:rsid w:val="009663A3"/>
    <w:rsid w:val="00971D06"/>
    <w:rsid w:val="009758B4"/>
    <w:rsid w:val="00986272"/>
    <w:rsid w:val="009A39FF"/>
    <w:rsid w:val="009A64B9"/>
    <w:rsid w:val="009C6E7A"/>
    <w:rsid w:val="009C7F8B"/>
    <w:rsid w:val="00A2603E"/>
    <w:rsid w:val="00A30B18"/>
    <w:rsid w:val="00A33280"/>
    <w:rsid w:val="00A44B87"/>
    <w:rsid w:val="00A50710"/>
    <w:rsid w:val="00A50A89"/>
    <w:rsid w:val="00A71EBE"/>
    <w:rsid w:val="00A80039"/>
    <w:rsid w:val="00A93E7B"/>
    <w:rsid w:val="00AA3C00"/>
    <w:rsid w:val="00B050F9"/>
    <w:rsid w:val="00B225F1"/>
    <w:rsid w:val="00B405D2"/>
    <w:rsid w:val="00B50056"/>
    <w:rsid w:val="00B533CB"/>
    <w:rsid w:val="00B60034"/>
    <w:rsid w:val="00B636AF"/>
    <w:rsid w:val="00B71726"/>
    <w:rsid w:val="00B73D36"/>
    <w:rsid w:val="00B840C3"/>
    <w:rsid w:val="00B91AA1"/>
    <w:rsid w:val="00BA4CDA"/>
    <w:rsid w:val="00BD54A2"/>
    <w:rsid w:val="00C01139"/>
    <w:rsid w:val="00C82C24"/>
    <w:rsid w:val="00C839A9"/>
    <w:rsid w:val="00CB03A8"/>
    <w:rsid w:val="00CB0B58"/>
    <w:rsid w:val="00CB13F5"/>
    <w:rsid w:val="00CB4200"/>
    <w:rsid w:val="00CD7ACF"/>
    <w:rsid w:val="00CE789B"/>
    <w:rsid w:val="00CF2167"/>
    <w:rsid w:val="00D12DCE"/>
    <w:rsid w:val="00D217CB"/>
    <w:rsid w:val="00D21965"/>
    <w:rsid w:val="00D243B3"/>
    <w:rsid w:val="00D26B68"/>
    <w:rsid w:val="00D31737"/>
    <w:rsid w:val="00D326A5"/>
    <w:rsid w:val="00D47339"/>
    <w:rsid w:val="00D521B7"/>
    <w:rsid w:val="00D56D81"/>
    <w:rsid w:val="00D6762B"/>
    <w:rsid w:val="00D7406A"/>
    <w:rsid w:val="00D87325"/>
    <w:rsid w:val="00DA0BDC"/>
    <w:rsid w:val="00DB3E34"/>
    <w:rsid w:val="00DC7F6D"/>
    <w:rsid w:val="00E141D7"/>
    <w:rsid w:val="00E17FAC"/>
    <w:rsid w:val="00E27CE7"/>
    <w:rsid w:val="00E51159"/>
    <w:rsid w:val="00E629E9"/>
    <w:rsid w:val="00E72EDE"/>
    <w:rsid w:val="00E94BD7"/>
    <w:rsid w:val="00E96814"/>
    <w:rsid w:val="00EB0F4D"/>
    <w:rsid w:val="00EB593D"/>
    <w:rsid w:val="00EC5EB0"/>
    <w:rsid w:val="00ED3DC2"/>
    <w:rsid w:val="00F23B61"/>
    <w:rsid w:val="00F24686"/>
    <w:rsid w:val="00F32898"/>
    <w:rsid w:val="00F46790"/>
    <w:rsid w:val="00FA611F"/>
    <w:rsid w:val="00FB529B"/>
    <w:rsid w:val="00FD50F8"/>
    <w:rsid w:val="00FE0335"/>
    <w:rsid w:val="00FF0510"/>
  </w:rsids>
  <w:docVars>
    <w:docVar w:name="TemplateVersion" w:val="February201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1159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sid w:val="00E51159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E51159"/>
    <w:pPr>
      <w:outlineLvl w:val="1"/>
    </w:pPr>
  </w:style>
  <w:style w:type="paragraph" w:styleId="Heading3">
    <w:name w:val="heading 3"/>
    <w:basedOn w:val="No-numheading3Agency"/>
    <w:next w:val="BodytextAgency"/>
    <w:qFormat/>
    <w:rsid w:val="00E51159"/>
    <w:pPr>
      <w:outlineLvl w:val="2"/>
    </w:pPr>
  </w:style>
  <w:style w:type="paragraph" w:styleId="Heading4">
    <w:name w:val="heading 4"/>
    <w:basedOn w:val="No-numheading4Agency"/>
    <w:next w:val="BodytextAgency"/>
    <w:qFormat/>
    <w:rsid w:val="00E51159"/>
    <w:pPr>
      <w:outlineLvl w:val="3"/>
    </w:pPr>
  </w:style>
  <w:style w:type="paragraph" w:styleId="Heading5">
    <w:name w:val="heading 5"/>
    <w:basedOn w:val="Normal"/>
    <w:next w:val="Normal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rsid w:val="00E51159"/>
    <w:pPr>
      <w:outlineLvl w:val="5"/>
    </w:pPr>
  </w:style>
  <w:style w:type="paragraph" w:styleId="Heading7">
    <w:name w:val="heading 7"/>
    <w:basedOn w:val="No-numheading7Agency"/>
    <w:next w:val="BodytextAgency"/>
    <w:rsid w:val="00E51159"/>
    <w:pPr>
      <w:outlineLvl w:val="6"/>
    </w:pPr>
  </w:style>
  <w:style w:type="paragraph" w:styleId="Heading8">
    <w:name w:val="heading 8"/>
    <w:basedOn w:val="No-numheading8Agency"/>
    <w:next w:val="BodytextAgency"/>
    <w:rsid w:val="00E51159"/>
    <w:pPr>
      <w:outlineLvl w:val="7"/>
    </w:pPr>
  </w:style>
  <w:style w:type="paragraph" w:styleId="Heading9">
    <w:name w:val="heading 9"/>
    <w:basedOn w:val="No-numheading9Agency"/>
    <w:next w:val="BodytextAgency"/>
    <w:rsid w:val="00E511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2D7502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semiHidden/>
    <w:rsid w:val="002D7502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Tahoma" w:hAnsi="Tahom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E51159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character" w:customStyle="1" w:styleId="FooterblueAgencyCharChar">
    <w:name w:val="Footer blue (Agency) Char Char"/>
    <w:link w:val="FooterblueAgency"/>
    <w:semiHidden/>
    <w:rsid w:val="00E51159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styleId="BodyText">
    <w:name w:val="Body Text"/>
    <w:basedOn w:val="Normal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E51159"/>
    <w:pPr>
      <w:keepNext/>
      <w:numPr>
        <w:numId w:val="28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rsid w:val="00E51159"/>
    <w:pPr>
      <w:keepNext/>
      <w:numPr>
        <w:numId w:val="3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E51159"/>
    <w:pPr>
      <w:keepNext/>
      <w:numPr>
        <w:ilvl w:val="1"/>
        <w:numId w:val="3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link w:val="Heading3AgencyChar"/>
    <w:qFormat/>
    <w:rsid w:val="00E51159"/>
    <w:pPr>
      <w:keepNext/>
      <w:numPr>
        <w:ilvl w:val="2"/>
        <w:numId w:val="3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rsid w:val="00E51159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E51159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qFormat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rsid w:val="00E51159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E51159"/>
    <w:pPr>
      <w:numPr>
        <w:numId w:val="12"/>
      </w:numPr>
    </w:pPr>
  </w:style>
  <w:style w:type="paragraph" w:customStyle="1" w:styleId="RefAgency">
    <w:name w:val="Ref. (Agency)"/>
    <w:basedOn w:val="Normal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ahoma" w:hAnsi="Tahom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rsid w:val="00E51159"/>
    <w:pPr>
      <w:keepNext/>
      <w:numPr>
        <w:numId w:val="39"/>
      </w:numPr>
      <w:spacing w:before="240" w:after="120"/>
    </w:pPr>
  </w:style>
  <w:style w:type="paragraph" w:customStyle="1" w:styleId="TableheadingrowsAgency">
    <w:name w:val="Table heading rows (Agency)"/>
    <w:basedOn w:val="BodytextAgency"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Header">
    <w:name w:val="header"/>
    <w:basedOn w:val="Normal"/>
    <w:rsid w:val="00B636AF"/>
    <w:pPr>
      <w:tabs>
        <w:tab w:val="center" w:pos="4320"/>
        <w:tab w:val="right" w:pos="8640"/>
      </w:tabs>
    </w:pPr>
  </w:style>
  <w:style w:type="character" w:customStyle="1" w:styleId="DraftingNotesAgencyChar">
    <w:name w:val="Drafting Notes (Agency) Char"/>
    <w:link w:val="DraftingNotesAgency"/>
    <w:rsid w:val="00CB13F5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styleId="BalloonText">
    <w:name w:val="Balloon Text"/>
    <w:basedOn w:val="Normal"/>
    <w:link w:val="BalloonTextChar"/>
    <w:rsid w:val="00291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1894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rsid w:val="002530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3003"/>
    <w:rPr>
      <w:sz w:val="20"/>
      <w:szCs w:val="20"/>
    </w:rPr>
  </w:style>
  <w:style w:type="character" w:customStyle="1" w:styleId="CommentTextChar">
    <w:name w:val="Comment Text Char"/>
    <w:link w:val="CommentText"/>
    <w:rsid w:val="00253003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rsid w:val="00253003"/>
    <w:rPr>
      <w:b/>
      <w:bCs/>
    </w:rPr>
  </w:style>
  <w:style w:type="character" w:customStyle="1" w:styleId="CommentSubjectChar">
    <w:name w:val="Comment Subject Char"/>
    <w:link w:val="CommentSubject"/>
    <w:rsid w:val="00253003"/>
    <w:rPr>
      <w:rFonts w:ascii="Verdana" w:hAnsi="Verdana" w:cs="Verdana"/>
      <w:b/>
      <w:bCs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rsid w:val="00E51159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rsid w:val="00E51159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Heading3AgencyChar">
    <w:name w:val="Heading 3 (Agency) Char"/>
    <w:link w:val="Heading3Agency"/>
    <w:locked/>
    <w:rsid w:val="00C839A9"/>
    <w:rPr>
      <w:rFonts w:ascii="Verdana" w:eastAsia="Verdana" w:hAnsi="Verdana" w:cs="Arial"/>
      <w:b/>
      <w:bCs/>
      <w:kern w:val="32"/>
      <w:sz w:val="22"/>
      <w:szCs w:val="22"/>
    </w:rPr>
  </w:style>
  <w:style w:type="character" w:customStyle="1" w:styleId="BodytextAgencyChar">
    <w:name w:val="Body text (Agency) Char"/>
    <w:link w:val="BodytextAgency"/>
    <w:locked/>
    <w:rsid w:val="00C839A9"/>
    <w:rPr>
      <w:rFonts w:ascii="Verdana" w:eastAsia="Verdana" w:hAnsi="Verdana" w:cs="Verdana"/>
      <w:sz w:val="18"/>
      <w:szCs w:val="18"/>
    </w:rPr>
  </w:style>
  <w:style w:type="paragraph" w:styleId="ListParagraph">
    <w:name w:val="List Paragraph"/>
    <w:basedOn w:val="Normal"/>
    <w:uiPriority w:val="34"/>
    <w:rsid w:val="00C839A9"/>
    <w:pPr>
      <w:ind w:left="720"/>
    </w:pPr>
  </w:style>
  <w:style w:type="paragraph" w:customStyle="1" w:styleId="DoctitleAgency">
    <w:name w:val="Doc title (Agency)"/>
    <w:basedOn w:val="Normal"/>
    <w:next w:val="Normal"/>
    <w:rsid w:val="00E17FAC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ocsubtitleAgency">
    <w:name w:val="Doc subtitle (Agency)"/>
    <w:basedOn w:val="Normal"/>
    <w:next w:val="Normal"/>
    <w:rsid w:val="00E17FAC"/>
    <w:pPr>
      <w:spacing w:after="640" w:line="360" w:lineRule="atLeast"/>
    </w:pPr>
    <w:rPr>
      <w:rFonts w:eastAsia="Verdana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413197E3.dotm</Template>
  <TotalTime>0</TotalTime>
  <Pages>3</Pages>
  <Words>268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PAES</vt:lpstr>
    </vt:vector>
  </TitlesOfParts>
  <Company>European Medicines Agency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PAES assessment report sub-template for type II variations</dc:title>
  <dc:creator>Gravanis Iordanis</dc:creator>
  <dc:description>Template developed for European Medicines Agency by Fiona Lewis and Vanessa Crookes December 2009</dc:description>
  <cp:lastModifiedBy>Thisen Hanne</cp:lastModifiedBy>
  <cp:revision>4</cp:revision>
  <cp:lastPrinted>2011-10-25T15:14:00Z</cp:lastPrinted>
  <dcterms:created xsi:type="dcterms:W3CDTF">2017-05-07T09:57:00Z</dcterms:created>
  <dcterms:modified xsi:type="dcterms:W3CDTF">2018-09-14T11:52:00Z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14/09/2018 13:00:17</vt:lpwstr>
  </property>
  <property fmtid="{D5CDD505-2E9C-101B-9397-08002B2CF9AE}" pid="5" name="DM_Creator_Name">
    <vt:lpwstr>Thisen Hanne</vt:lpwstr>
  </property>
  <property fmtid="{D5CDD505-2E9C-101B-9397-08002B2CF9AE}" pid="6" name="DM_DocRefId">
    <vt:lpwstr>EMA/682655/2016</vt:lpwstr>
  </property>
  <property fmtid="{D5CDD505-2E9C-101B-9397-08002B2CF9AE}" pid="7" name="DM_emea_doc_ref_id">
    <vt:lpwstr>EMA/682655/2016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Thisen Hanne</vt:lpwstr>
  </property>
  <property fmtid="{D5CDD505-2E9C-101B-9397-08002B2CF9AE}" pid="12" name="DM_Modified_Date">
    <vt:lpwstr>14/09/2018 13:00:17</vt:lpwstr>
  </property>
  <property fmtid="{D5CDD505-2E9C-101B-9397-08002B2CF9AE}" pid="13" name="DM_Modifier_Name">
    <vt:lpwstr>Thisen Hanne</vt:lpwstr>
  </property>
  <property fmtid="{D5CDD505-2E9C-101B-9397-08002B2CF9AE}" pid="14" name="DM_Modify_Date">
    <vt:lpwstr>14/09/2018 13:00:17</vt:lpwstr>
  </property>
  <property fmtid="{D5CDD505-2E9C-101B-9397-08002B2CF9AE}" pid="15" name="DM_Name">
    <vt:lpwstr>PAES assessment report sub-template for type II variations</vt:lpwstr>
  </property>
  <property fmtid="{D5CDD505-2E9C-101B-9397-08002B2CF9AE}" pid="16" name="DM_Path">
    <vt:lpwstr>/06. Corporate governance/06.2 Integrated Management System/7. Process improvement/01 Review and Reconnect/02. DESIGN AND IMPLEMENTATION PHASE/02. To-Be E2E Processes/02 Type II Variation Workshop Materials/Implementation/Templates/Subtemplates for TII variation AR template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1.4,CURRENT</vt:lpwstr>
  </property>
</Properties>
</file>