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38A62" w14:textId="77777777" w:rsidR="006E3229" w:rsidRDefault="006E3229">
      <w:pPr>
        <w:suppressAutoHyphens/>
        <w:spacing w:line="240" w:lineRule="auto"/>
        <w:ind w:left="567" w:hanging="567"/>
        <w:rPr>
          <w:b/>
          <w:szCs w:val="22"/>
        </w:rPr>
      </w:pPr>
    </w:p>
    <w:p w14:paraId="51D09244" w14:textId="77777777" w:rsidR="006E3229" w:rsidRDefault="006E3229">
      <w:pPr>
        <w:suppressAutoHyphens/>
        <w:spacing w:line="240" w:lineRule="auto"/>
        <w:ind w:left="567" w:hanging="567"/>
        <w:rPr>
          <w:b/>
          <w:szCs w:val="22"/>
        </w:rPr>
      </w:pPr>
    </w:p>
    <w:p w14:paraId="49880B2D" w14:textId="77777777" w:rsidR="006E3229" w:rsidRDefault="006E3229">
      <w:pPr>
        <w:suppressAutoHyphens/>
        <w:spacing w:line="240" w:lineRule="auto"/>
        <w:ind w:left="567" w:hanging="567"/>
        <w:rPr>
          <w:b/>
          <w:szCs w:val="22"/>
        </w:rPr>
      </w:pPr>
    </w:p>
    <w:p w14:paraId="03219A56" w14:textId="77777777" w:rsidR="006E3229" w:rsidRDefault="006E3229">
      <w:pPr>
        <w:suppressAutoHyphens/>
        <w:spacing w:line="240" w:lineRule="auto"/>
        <w:ind w:left="567" w:hanging="567"/>
        <w:rPr>
          <w:b/>
          <w:szCs w:val="22"/>
        </w:rPr>
      </w:pPr>
    </w:p>
    <w:p w14:paraId="3B2A98AE" w14:textId="77777777" w:rsidR="006E3229" w:rsidRDefault="006E3229">
      <w:pPr>
        <w:suppressAutoHyphens/>
        <w:spacing w:line="240" w:lineRule="auto"/>
        <w:ind w:left="567" w:hanging="567"/>
        <w:rPr>
          <w:b/>
          <w:szCs w:val="22"/>
        </w:rPr>
      </w:pPr>
    </w:p>
    <w:p w14:paraId="6C3010F8" w14:textId="77777777" w:rsidR="006E3229" w:rsidRDefault="006E3229">
      <w:pPr>
        <w:suppressAutoHyphens/>
        <w:spacing w:line="240" w:lineRule="auto"/>
        <w:ind w:left="567" w:hanging="567"/>
        <w:rPr>
          <w:b/>
          <w:szCs w:val="22"/>
        </w:rPr>
      </w:pPr>
    </w:p>
    <w:p w14:paraId="0B07EF0F" w14:textId="77777777" w:rsidR="006E3229" w:rsidRDefault="006E3229">
      <w:pPr>
        <w:suppressAutoHyphens/>
        <w:spacing w:line="240" w:lineRule="auto"/>
        <w:ind w:left="567" w:hanging="567"/>
        <w:rPr>
          <w:b/>
          <w:szCs w:val="22"/>
        </w:rPr>
      </w:pPr>
    </w:p>
    <w:p w14:paraId="4A6ADAC1" w14:textId="77777777" w:rsidR="006E3229" w:rsidRDefault="006E3229">
      <w:pPr>
        <w:suppressAutoHyphens/>
        <w:spacing w:line="240" w:lineRule="auto"/>
        <w:ind w:left="567" w:hanging="567"/>
        <w:rPr>
          <w:b/>
          <w:szCs w:val="22"/>
        </w:rPr>
      </w:pPr>
    </w:p>
    <w:p w14:paraId="005702D2" w14:textId="77777777" w:rsidR="006E3229" w:rsidRDefault="006E3229">
      <w:pPr>
        <w:suppressAutoHyphens/>
        <w:spacing w:line="240" w:lineRule="auto"/>
        <w:ind w:left="567" w:hanging="567"/>
        <w:rPr>
          <w:b/>
          <w:szCs w:val="22"/>
        </w:rPr>
      </w:pPr>
    </w:p>
    <w:p w14:paraId="2513EA90" w14:textId="7AC868BD" w:rsidR="006E3229" w:rsidRDefault="006E3229">
      <w:pPr>
        <w:suppressAutoHyphens/>
        <w:spacing w:line="240" w:lineRule="auto"/>
        <w:ind w:left="567" w:hanging="567"/>
        <w:rPr>
          <w:b/>
          <w:szCs w:val="22"/>
        </w:rPr>
      </w:pPr>
    </w:p>
    <w:p w14:paraId="75672340" w14:textId="10C0538D" w:rsidR="00E4619E" w:rsidRDefault="00E4619E">
      <w:pPr>
        <w:suppressAutoHyphens/>
        <w:spacing w:line="240" w:lineRule="auto"/>
        <w:ind w:left="567" w:hanging="567"/>
        <w:rPr>
          <w:b/>
          <w:szCs w:val="22"/>
        </w:rPr>
      </w:pPr>
    </w:p>
    <w:p w14:paraId="3D520118" w14:textId="77777777" w:rsidR="00E4619E" w:rsidRDefault="00E4619E">
      <w:pPr>
        <w:suppressAutoHyphens/>
        <w:spacing w:line="240" w:lineRule="auto"/>
        <w:ind w:left="567" w:hanging="567"/>
        <w:rPr>
          <w:b/>
          <w:szCs w:val="22"/>
        </w:rPr>
      </w:pPr>
    </w:p>
    <w:p w14:paraId="081A599A" w14:textId="77777777" w:rsidR="006E3229" w:rsidRDefault="006E3229">
      <w:pPr>
        <w:suppressAutoHyphens/>
        <w:spacing w:line="240" w:lineRule="auto"/>
        <w:ind w:left="567" w:hanging="567"/>
        <w:rPr>
          <w:b/>
          <w:szCs w:val="22"/>
        </w:rPr>
      </w:pPr>
    </w:p>
    <w:p w14:paraId="75EC2F26" w14:textId="77777777" w:rsidR="006E3229" w:rsidRDefault="006E3229">
      <w:pPr>
        <w:suppressAutoHyphens/>
        <w:spacing w:line="240" w:lineRule="auto"/>
        <w:ind w:left="567" w:hanging="567"/>
        <w:rPr>
          <w:b/>
          <w:szCs w:val="22"/>
        </w:rPr>
      </w:pPr>
    </w:p>
    <w:p w14:paraId="00D9CC94" w14:textId="77777777" w:rsidR="006E3229" w:rsidRDefault="006E3229">
      <w:pPr>
        <w:suppressAutoHyphens/>
        <w:spacing w:line="240" w:lineRule="auto"/>
        <w:ind w:left="567" w:hanging="567"/>
        <w:rPr>
          <w:b/>
          <w:szCs w:val="22"/>
        </w:rPr>
      </w:pPr>
    </w:p>
    <w:p w14:paraId="3E8A0256" w14:textId="77777777" w:rsidR="006E3229" w:rsidRDefault="006E3229">
      <w:pPr>
        <w:suppressAutoHyphens/>
        <w:spacing w:line="240" w:lineRule="auto"/>
        <w:ind w:left="567" w:hanging="567"/>
        <w:rPr>
          <w:b/>
          <w:szCs w:val="22"/>
        </w:rPr>
      </w:pPr>
    </w:p>
    <w:p w14:paraId="4F887C67" w14:textId="77777777" w:rsidR="006E3229" w:rsidRDefault="006E3229">
      <w:pPr>
        <w:suppressAutoHyphens/>
        <w:spacing w:line="240" w:lineRule="auto"/>
        <w:ind w:left="567" w:hanging="567"/>
        <w:rPr>
          <w:b/>
          <w:szCs w:val="22"/>
        </w:rPr>
      </w:pPr>
    </w:p>
    <w:p w14:paraId="42195495" w14:textId="77777777" w:rsidR="006E3229" w:rsidRDefault="006E3229">
      <w:pPr>
        <w:suppressAutoHyphens/>
        <w:spacing w:line="240" w:lineRule="auto"/>
        <w:ind w:left="567" w:hanging="567"/>
        <w:rPr>
          <w:b/>
          <w:szCs w:val="22"/>
        </w:rPr>
      </w:pPr>
    </w:p>
    <w:p w14:paraId="60CEB7D0" w14:textId="77777777" w:rsidR="006E3229" w:rsidRDefault="006E3229">
      <w:pPr>
        <w:suppressAutoHyphens/>
        <w:spacing w:line="240" w:lineRule="auto"/>
        <w:ind w:left="567" w:hanging="567"/>
        <w:rPr>
          <w:b/>
          <w:szCs w:val="22"/>
        </w:rPr>
      </w:pPr>
    </w:p>
    <w:p w14:paraId="756E7EAD" w14:textId="77777777" w:rsidR="006E3229" w:rsidRDefault="006E3229">
      <w:pPr>
        <w:suppressAutoHyphens/>
        <w:spacing w:line="240" w:lineRule="auto"/>
        <w:ind w:left="567" w:hanging="567"/>
        <w:rPr>
          <w:b/>
          <w:szCs w:val="22"/>
        </w:rPr>
      </w:pPr>
    </w:p>
    <w:p w14:paraId="2AFEA411" w14:textId="77777777" w:rsidR="006E3229" w:rsidRDefault="006E3229">
      <w:pPr>
        <w:suppressAutoHyphens/>
        <w:spacing w:line="240" w:lineRule="auto"/>
        <w:ind w:left="567" w:hanging="567"/>
        <w:rPr>
          <w:b/>
          <w:szCs w:val="22"/>
        </w:rPr>
      </w:pPr>
    </w:p>
    <w:p w14:paraId="05E8E557" w14:textId="77777777" w:rsidR="006E3229" w:rsidRDefault="006E3229">
      <w:pPr>
        <w:suppressAutoHyphens/>
        <w:spacing w:line="240" w:lineRule="auto"/>
        <w:ind w:left="567" w:hanging="567"/>
        <w:rPr>
          <w:b/>
          <w:szCs w:val="22"/>
        </w:rPr>
      </w:pPr>
    </w:p>
    <w:p w14:paraId="52B2E0D1" w14:textId="77777777" w:rsidR="006E3229" w:rsidRDefault="00B43C9C">
      <w:pPr>
        <w:spacing w:line="240" w:lineRule="auto"/>
        <w:jc w:val="center"/>
        <w:outlineLvl w:val="0"/>
      </w:pPr>
      <w:r>
        <w:rPr>
          <w:b/>
        </w:rPr>
        <w:t>ANEXO I</w:t>
      </w:r>
    </w:p>
    <w:p w14:paraId="3367A431" w14:textId="77777777" w:rsidR="006E3229" w:rsidRDefault="006E3229">
      <w:pPr>
        <w:suppressAutoHyphens/>
        <w:spacing w:line="240" w:lineRule="auto"/>
        <w:ind w:left="567" w:hanging="567"/>
        <w:jc w:val="center"/>
        <w:rPr>
          <w:b/>
          <w:szCs w:val="22"/>
        </w:rPr>
      </w:pPr>
    </w:p>
    <w:p w14:paraId="2A12C5B7" w14:textId="7336AE27" w:rsidR="006E3229" w:rsidRDefault="00B43C9C" w:rsidP="003D46BA">
      <w:pPr>
        <w:pStyle w:val="TitleA"/>
      </w:pPr>
      <w:r>
        <w:t>FICHA TÉCNICA O RESUMEN DE LAS CARACTERÍSTICAS DEL PRODUCTO</w:t>
      </w:r>
    </w:p>
    <w:p w14:paraId="2D37D61F" w14:textId="77777777" w:rsidR="006E3229" w:rsidRDefault="00B43C9C">
      <w:pPr>
        <w:spacing w:line="240" w:lineRule="auto"/>
        <w:rPr>
          <w:szCs w:val="22"/>
        </w:rPr>
      </w:pPr>
      <w:r>
        <w:br w:type="page"/>
      </w:r>
    </w:p>
    <w:p w14:paraId="521E3888" w14:textId="77777777" w:rsidR="006E3229" w:rsidRDefault="00B43C9C">
      <w:pPr>
        <w:tabs>
          <w:tab w:val="clear" w:pos="567"/>
          <w:tab w:val="left" w:pos="0"/>
        </w:tabs>
        <w:suppressAutoHyphens/>
        <w:spacing w:line="240" w:lineRule="auto"/>
        <w:rPr>
          <w:szCs w:val="22"/>
        </w:rPr>
      </w:pPr>
      <w:r>
        <w:rPr>
          <w:rStyle w:val="DNEx1"/>
        </w:rPr>
        <w:lastRenderedPageBreak/>
        <w:t>▼</w:t>
      </w:r>
      <w:r>
        <w:t>Este medicamento está sujeto a seguimiento adicional, lo que agilizará la detección de nueva información sobre su seguridad. Se invita a los profesionales sanitarios a notificar las sospechas de reacciones adversas. Ver la sección 4.8, en la que se incluye información sobre cómo notificarlas.</w:t>
      </w:r>
    </w:p>
    <w:p w14:paraId="6C6B8801" w14:textId="77777777" w:rsidR="006E3229" w:rsidRDefault="006E3229">
      <w:pPr>
        <w:suppressAutoHyphens/>
        <w:spacing w:line="240" w:lineRule="auto"/>
        <w:ind w:left="567" w:hanging="567"/>
        <w:rPr>
          <w:b/>
          <w:szCs w:val="22"/>
        </w:rPr>
      </w:pPr>
    </w:p>
    <w:p w14:paraId="744D7CF4" w14:textId="77777777" w:rsidR="006E3229" w:rsidRDefault="006E3229">
      <w:pPr>
        <w:suppressAutoHyphens/>
        <w:spacing w:line="240" w:lineRule="auto"/>
        <w:ind w:left="567" w:hanging="567"/>
        <w:rPr>
          <w:b/>
          <w:szCs w:val="22"/>
        </w:rPr>
      </w:pPr>
    </w:p>
    <w:p w14:paraId="5BBFA0BD" w14:textId="77777777" w:rsidR="006E3229" w:rsidRDefault="00B43C9C">
      <w:pPr>
        <w:keepNext/>
        <w:suppressAutoHyphens/>
        <w:spacing w:line="240" w:lineRule="auto"/>
        <w:ind w:left="567" w:hanging="567"/>
        <w:rPr>
          <w:szCs w:val="22"/>
        </w:rPr>
      </w:pPr>
      <w:r>
        <w:rPr>
          <w:rStyle w:val="DNEx2"/>
        </w:rPr>
        <w:t>1.</w:t>
      </w:r>
      <w:r>
        <w:rPr>
          <w:rStyle w:val="DNEx2"/>
        </w:rPr>
        <w:tab/>
      </w:r>
      <w:r>
        <w:rPr>
          <w:b/>
        </w:rPr>
        <w:t>NOMBRE DEL MEDICAMENTO</w:t>
      </w:r>
    </w:p>
    <w:p w14:paraId="6186557D" w14:textId="77777777" w:rsidR="006E3229" w:rsidRDefault="006E3229">
      <w:pPr>
        <w:keepNext/>
        <w:spacing w:line="240" w:lineRule="auto"/>
        <w:rPr>
          <w:iCs/>
          <w:szCs w:val="22"/>
        </w:rPr>
      </w:pPr>
    </w:p>
    <w:p w14:paraId="798A8CA6" w14:textId="77777777" w:rsidR="006E3229" w:rsidRDefault="00B43C9C">
      <w:pPr>
        <w:spacing w:line="240" w:lineRule="auto"/>
      </w:pPr>
      <w:r>
        <w:t>AGAMREE 40 mg/ml suspensión oral</w:t>
      </w:r>
    </w:p>
    <w:p w14:paraId="5342C041" w14:textId="77777777" w:rsidR="006E3229" w:rsidRDefault="006E3229">
      <w:pPr>
        <w:spacing w:line="240" w:lineRule="auto"/>
        <w:rPr>
          <w:iCs/>
          <w:szCs w:val="22"/>
        </w:rPr>
      </w:pPr>
    </w:p>
    <w:p w14:paraId="42D65282" w14:textId="77777777" w:rsidR="006E3229" w:rsidRDefault="006E3229">
      <w:pPr>
        <w:spacing w:line="240" w:lineRule="auto"/>
        <w:rPr>
          <w:iCs/>
          <w:szCs w:val="22"/>
        </w:rPr>
      </w:pPr>
    </w:p>
    <w:p w14:paraId="33281759" w14:textId="77777777" w:rsidR="006E3229" w:rsidRDefault="00B43C9C">
      <w:pPr>
        <w:keepNext/>
        <w:suppressAutoHyphens/>
        <w:spacing w:line="240" w:lineRule="auto"/>
        <w:ind w:left="567" w:hanging="567"/>
        <w:rPr>
          <w:szCs w:val="22"/>
        </w:rPr>
      </w:pPr>
      <w:r>
        <w:rPr>
          <w:rStyle w:val="DNEx2"/>
        </w:rPr>
        <w:t>2.</w:t>
      </w:r>
      <w:r>
        <w:rPr>
          <w:rStyle w:val="DNEx2"/>
        </w:rPr>
        <w:tab/>
      </w:r>
      <w:r>
        <w:rPr>
          <w:b/>
        </w:rPr>
        <w:t>COMPOSICIÓN CUALITATIVA Y CUANTITATIVA</w:t>
      </w:r>
    </w:p>
    <w:p w14:paraId="24148E2C" w14:textId="77777777" w:rsidR="006E3229" w:rsidRDefault="006E3229">
      <w:pPr>
        <w:keepNext/>
        <w:spacing w:line="240" w:lineRule="auto"/>
        <w:rPr>
          <w:iCs/>
          <w:szCs w:val="22"/>
        </w:rPr>
      </w:pPr>
    </w:p>
    <w:p w14:paraId="439EE37C" w14:textId="77777777" w:rsidR="006E3229" w:rsidRDefault="00B43C9C">
      <w:pPr>
        <w:spacing w:line="240" w:lineRule="auto"/>
      </w:pPr>
      <w:r>
        <w:t xml:space="preserve">Cada ml de suspensión contiene 40 mg de </w:t>
      </w:r>
      <w:proofErr w:type="spellStart"/>
      <w:r>
        <w:t>vamorolona</w:t>
      </w:r>
      <w:proofErr w:type="spellEnd"/>
      <w:r>
        <w:t>.</w:t>
      </w:r>
    </w:p>
    <w:p w14:paraId="4189DA0C" w14:textId="77777777" w:rsidR="006E3229" w:rsidRDefault="006E3229">
      <w:pPr>
        <w:spacing w:line="240" w:lineRule="auto"/>
      </w:pPr>
    </w:p>
    <w:p w14:paraId="607EDB92" w14:textId="77777777" w:rsidR="006E3229" w:rsidRDefault="00B43C9C">
      <w:pPr>
        <w:pStyle w:val="EMEAEnBodyText"/>
        <w:autoSpaceDE w:val="0"/>
        <w:autoSpaceDN w:val="0"/>
        <w:adjustRightInd w:val="0"/>
        <w:spacing w:before="0" w:after="0"/>
        <w:jc w:val="left"/>
      </w:pPr>
      <w:r>
        <w:rPr>
          <w:u w:val="single"/>
        </w:rPr>
        <w:t>Excipiente con efecto conocido</w:t>
      </w:r>
    </w:p>
    <w:p w14:paraId="7DBA4860" w14:textId="77777777" w:rsidR="006E3229" w:rsidRDefault="006E3229">
      <w:pPr>
        <w:spacing w:line="240" w:lineRule="auto"/>
      </w:pPr>
    </w:p>
    <w:p w14:paraId="6E7790FF" w14:textId="77777777" w:rsidR="006E3229" w:rsidRDefault="00B43C9C">
      <w:pPr>
        <w:spacing w:line="240" w:lineRule="auto"/>
        <w:outlineLvl w:val="0"/>
      </w:pPr>
      <w:r>
        <w:t>La suspensión contiene 1 mg de benzoato de sodio (E 211) en cada ml.</w:t>
      </w:r>
    </w:p>
    <w:p w14:paraId="7C0265DE" w14:textId="77777777" w:rsidR="006E3229" w:rsidRDefault="006E3229">
      <w:pPr>
        <w:spacing w:line="240" w:lineRule="auto"/>
      </w:pPr>
    </w:p>
    <w:p w14:paraId="030AF0C2" w14:textId="77777777" w:rsidR="006E3229" w:rsidRDefault="00B43C9C">
      <w:pPr>
        <w:spacing w:line="240" w:lineRule="auto"/>
        <w:outlineLvl w:val="0"/>
        <w:rPr>
          <w:szCs w:val="22"/>
        </w:rPr>
      </w:pPr>
      <w:r>
        <w:t>Para consultar la lista completa de excipientes, ver sección 6.1.</w:t>
      </w:r>
    </w:p>
    <w:p w14:paraId="55C306BC" w14:textId="77777777" w:rsidR="006E3229" w:rsidRDefault="006E3229">
      <w:pPr>
        <w:spacing w:line="240" w:lineRule="auto"/>
        <w:rPr>
          <w:szCs w:val="22"/>
        </w:rPr>
      </w:pPr>
    </w:p>
    <w:p w14:paraId="35E64659" w14:textId="77777777" w:rsidR="006E3229" w:rsidRDefault="006E3229">
      <w:pPr>
        <w:spacing w:line="240" w:lineRule="auto"/>
        <w:rPr>
          <w:szCs w:val="22"/>
        </w:rPr>
      </w:pPr>
    </w:p>
    <w:p w14:paraId="5E258BF6" w14:textId="77777777" w:rsidR="006E3229" w:rsidRDefault="00B43C9C">
      <w:pPr>
        <w:keepNext/>
        <w:suppressAutoHyphens/>
        <w:spacing w:line="240" w:lineRule="auto"/>
        <w:ind w:left="567" w:hanging="567"/>
        <w:rPr>
          <w:caps/>
          <w:szCs w:val="22"/>
        </w:rPr>
      </w:pPr>
      <w:r>
        <w:rPr>
          <w:rStyle w:val="DNEx2"/>
        </w:rPr>
        <w:t>3.</w:t>
      </w:r>
      <w:r>
        <w:rPr>
          <w:rStyle w:val="DNEx2"/>
        </w:rPr>
        <w:tab/>
      </w:r>
      <w:r>
        <w:rPr>
          <w:b/>
        </w:rPr>
        <w:t>FORMA FARMACÉUTICA</w:t>
      </w:r>
    </w:p>
    <w:p w14:paraId="61774F15" w14:textId="77777777" w:rsidR="006E3229" w:rsidRDefault="006E3229">
      <w:pPr>
        <w:keepNext/>
        <w:spacing w:line="240" w:lineRule="auto"/>
        <w:rPr>
          <w:szCs w:val="22"/>
        </w:rPr>
      </w:pPr>
    </w:p>
    <w:p w14:paraId="3921B5FE" w14:textId="77777777" w:rsidR="006E3229" w:rsidRDefault="00B43C9C">
      <w:pPr>
        <w:spacing w:line="240" w:lineRule="auto"/>
        <w:rPr>
          <w:szCs w:val="22"/>
        </w:rPr>
      </w:pPr>
      <w:r>
        <w:t>Suspensión oral.</w:t>
      </w:r>
    </w:p>
    <w:p w14:paraId="5D4F9130" w14:textId="77777777" w:rsidR="006E3229" w:rsidRDefault="006E3229">
      <w:pPr>
        <w:spacing w:line="240" w:lineRule="auto"/>
        <w:rPr>
          <w:szCs w:val="24"/>
        </w:rPr>
      </w:pPr>
    </w:p>
    <w:p w14:paraId="5081B5F4" w14:textId="77777777" w:rsidR="006E3229" w:rsidRDefault="00B43C9C">
      <w:pPr>
        <w:spacing w:line="240" w:lineRule="auto"/>
        <w:rPr>
          <w:szCs w:val="24"/>
        </w:rPr>
      </w:pPr>
      <w:r>
        <w:t>Suspensión de color blanco a blanquecino.</w:t>
      </w:r>
    </w:p>
    <w:p w14:paraId="1B2E317A" w14:textId="77777777" w:rsidR="006E3229" w:rsidRDefault="006E3229">
      <w:pPr>
        <w:spacing w:line="240" w:lineRule="auto"/>
      </w:pPr>
    </w:p>
    <w:p w14:paraId="562CD502" w14:textId="77777777" w:rsidR="006E3229" w:rsidRDefault="006E3229">
      <w:pPr>
        <w:spacing w:line="240" w:lineRule="auto"/>
      </w:pPr>
    </w:p>
    <w:p w14:paraId="10F496B4" w14:textId="77777777" w:rsidR="006E3229" w:rsidRDefault="00B43C9C">
      <w:pPr>
        <w:keepNext/>
        <w:suppressAutoHyphens/>
        <w:spacing w:line="240" w:lineRule="auto"/>
        <w:ind w:left="567" w:hanging="567"/>
        <w:rPr>
          <w:caps/>
          <w:szCs w:val="22"/>
        </w:rPr>
      </w:pPr>
      <w:r>
        <w:rPr>
          <w:rStyle w:val="DNEx2"/>
        </w:rPr>
        <w:t>4.</w:t>
      </w:r>
      <w:r>
        <w:rPr>
          <w:rStyle w:val="DNEx2"/>
        </w:rPr>
        <w:tab/>
      </w:r>
      <w:r>
        <w:rPr>
          <w:b/>
        </w:rPr>
        <w:t>DATOS CLÍNICOS</w:t>
      </w:r>
    </w:p>
    <w:p w14:paraId="12463D3A" w14:textId="77777777" w:rsidR="006E3229" w:rsidRDefault="006E3229">
      <w:pPr>
        <w:keepNext/>
        <w:spacing w:line="240" w:lineRule="auto"/>
        <w:rPr>
          <w:szCs w:val="22"/>
        </w:rPr>
      </w:pPr>
    </w:p>
    <w:p w14:paraId="2BA798A3" w14:textId="77777777" w:rsidR="006E3229" w:rsidRDefault="00B43C9C">
      <w:pPr>
        <w:keepNext/>
        <w:spacing w:line="240" w:lineRule="auto"/>
        <w:ind w:left="567" w:hanging="567"/>
        <w:outlineLvl w:val="0"/>
        <w:rPr>
          <w:szCs w:val="22"/>
        </w:rPr>
      </w:pPr>
      <w:r>
        <w:rPr>
          <w:rStyle w:val="DNEx2"/>
        </w:rPr>
        <w:t>4.1</w:t>
      </w:r>
      <w:r>
        <w:rPr>
          <w:rStyle w:val="DNEx2"/>
        </w:rPr>
        <w:tab/>
      </w:r>
      <w:r>
        <w:rPr>
          <w:b/>
        </w:rPr>
        <w:t>Indicaciones terapéuticas</w:t>
      </w:r>
    </w:p>
    <w:p w14:paraId="57977264" w14:textId="77777777" w:rsidR="006E3229" w:rsidRDefault="006E3229">
      <w:pPr>
        <w:keepNext/>
        <w:spacing w:line="240" w:lineRule="auto"/>
        <w:rPr>
          <w:szCs w:val="22"/>
        </w:rPr>
      </w:pPr>
    </w:p>
    <w:p w14:paraId="680C439D" w14:textId="77777777" w:rsidR="006E3229" w:rsidRDefault="00B43C9C">
      <w:r>
        <w:t>AGAMREE está indicado para el tratamiento de la distrofia muscular de Duchenne (DMD) en pacientes a partir de 4 años de edad.</w:t>
      </w:r>
    </w:p>
    <w:p w14:paraId="398ABD58" w14:textId="77777777" w:rsidR="006E3229" w:rsidRDefault="006E3229">
      <w:pPr>
        <w:spacing w:line="240" w:lineRule="auto"/>
      </w:pPr>
    </w:p>
    <w:p w14:paraId="1A8EB49C" w14:textId="77777777" w:rsidR="006E3229" w:rsidRDefault="00B43C9C">
      <w:pPr>
        <w:keepNext/>
        <w:spacing w:line="240" w:lineRule="auto"/>
        <w:outlineLvl w:val="0"/>
        <w:rPr>
          <w:b/>
          <w:szCs w:val="22"/>
        </w:rPr>
      </w:pPr>
      <w:r>
        <w:rPr>
          <w:rStyle w:val="DNEx2"/>
        </w:rPr>
        <w:t>4.2</w:t>
      </w:r>
      <w:r>
        <w:rPr>
          <w:rStyle w:val="DNEx2"/>
        </w:rPr>
        <w:tab/>
      </w:r>
      <w:r>
        <w:rPr>
          <w:b/>
        </w:rPr>
        <w:t>Posología y forma de administración</w:t>
      </w:r>
    </w:p>
    <w:p w14:paraId="6FB37DC4" w14:textId="77777777" w:rsidR="006E3229" w:rsidRDefault="006E3229">
      <w:pPr>
        <w:keepNext/>
        <w:spacing w:line="240" w:lineRule="auto"/>
        <w:rPr>
          <w:szCs w:val="22"/>
        </w:rPr>
      </w:pPr>
    </w:p>
    <w:p w14:paraId="53ECB1C7" w14:textId="77777777" w:rsidR="006E3229" w:rsidRDefault="00B43C9C">
      <w:pPr>
        <w:tabs>
          <w:tab w:val="clear" w:pos="567"/>
        </w:tabs>
        <w:autoSpaceDE w:val="0"/>
        <w:autoSpaceDN w:val="0"/>
        <w:adjustRightInd w:val="0"/>
        <w:spacing w:line="240" w:lineRule="auto"/>
        <w:rPr>
          <w:rFonts w:eastAsia="SimSun"/>
          <w:szCs w:val="22"/>
        </w:rPr>
      </w:pPr>
      <w:r>
        <w:t>El tratamiento con AGAMREE solo deben iniciarlo médicos especialistas con experiencia en el</w:t>
      </w:r>
    </w:p>
    <w:p w14:paraId="3A6CF696" w14:textId="77777777" w:rsidR="006E3229" w:rsidRDefault="00B43C9C">
      <w:pPr>
        <w:spacing w:line="240" w:lineRule="auto"/>
        <w:rPr>
          <w:rFonts w:eastAsia="SimSun"/>
          <w:szCs w:val="22"/>
        </w:rPr>
      </w:pPr>
      <w:r>
        <w:t>el tratamiento de la distrofia muscular de Duchenne.</w:t>
      </w:r>
    </w:p>
    <w:p w14:paraId="013CA36D" w14:textId="77777777" w:rsidR="006E3229" w:rsidRDefault="006E3229">
      <w:pPr>
        <w:spacing w:line="240" w:lineRule="auto"/>
        <w:rPr>
          <w:szCs w:val="22"/>
          <w:u w:val="single"/>
        </w:rPr>
      </w:pPr>
    </w:p>
    <w:p w14:paraId="0E56324A" w14:textId="77777777" w:rsidR="006E3229" w:rsidRDefault="00B43C9C">
      <w:pPr>
        <w:keepNext/>
        <w:spacing w:line="240" w:lineRule="auto"/>
        <w:rPr>
          <w:u w:val="single"/>
        </w:rPr>
      </w:pPr>
      <w:r>
        <w:rPr>
          <w:u w:val="single"/>
        </w:rPr>
        <w:t>Posología</w:t>
      </w:r>
    </w:p>
    <w:p w14:paraId="1BD40260" w14:textId="77777777" w:rsidR="006E3229" w:rsidRDefault="006E3229">
      <w:pPr>
        <w:keepNext/>
        <w:spacing w:line="240" w:lineRule="auto"/>
        <w:rPr>
          <w:u w:val="single"/>
        </w:rPr>
      </w:pPr>
    </w:p>
    <w:p w14:paraId="2F6BD26A" w14:textId="77777777" w:rsidR="006E3229" w:rsidRDefault="00B43C9C">
      <w:pPr>
        <w:spacing w:line="240" w:lineRule="auto"/>
      </w:pPr>
      <w:r>
        <w:t xml:space="preserve">La dosis recomendada de </w:t>
      </w:r>
      <w:proofErr w:type="spellStart"/>
      <w:r>
        <w:t>vamorolona</w:t>
      </w:r>
      <w:proofErr w:type="spellEnd"/>
      <w:r>
        <w:t xml:space="preserve"> es de 6 mg/kg una vez al día en pacientes con un peso inferior a 40 kg.</w:t>
      </w:r>
    </w:p>
    <w:p w14:paraId="5673EACF" w14:textId="77777777" w:rsidR="006E3229" w:rsidRDefault="006E3229">
      <w:pPr>
        <w:spacing w:line="240" w:lineRule="auto"/>
      </w:pPr>
    </w:p>
    <w:p w14:paraId="3803F588" w14:textId="77777777" w:rsidR="006E3229" w:rsidRDefault="00B43C9C">
      <w:pPr>
        <w:spacing w:line="240" w:lineRule="auto"/>
      </w:pPr>
      <w:r>
        <w:t xml:space="preserve">En pacientes que pesen 40 kg o más, la dosis recomendada de </w:t>
      </w:r>
      <w:proofErr w:type="spellStart"/>
      <w:r>
        <w:t>vamorolona</w:t>
      </w:r>
      <w:proofErr w:type="spellEnd"/>
      <w:r>
        <w:t xml:space="preserve"> es de 240 mg (equivalente a 6 ml) una vez al día.</w:t>
      </w:r>
    </w:p>
    <w:p w14:paraId="0AEF3AFA" w14:textId="77777777" w:rsidR="006E3229" w:rsidRDefault="006E3229">
      <w:pPr>
        <w:spacing w:line="240" w:lineRule="auto"/>
        <w:rPr>
          <w:szCs w:val="22"/>
        </w:rPr>
      </w:pPr>
    </w:p>
    <w:p w14:paraId="16B630C3" w14:textId="77777777" w:rsidR="006E3229" w:rsidRDefault="00B43C9C">
      <w:pPr>
        <w:spacing w:line="240" w:lineRule="auto"/>
      </w:pPr>
      <w:r>
        <w:t>La dosis diaria puede rebajarse hasta 4 mg/kg/día o 2 mg/kg/día en función de la tolerancia individual. Los pacientes deben mantenerse en la dosis máxima tolerada dentro del intervalo posológico.</w:t>
      </w:r>
    </w:p>
    <w:p w14:paraId="66795532" w14:textId="77777777" w:rsidR="006E3229" w:rsidRDefault="00B43C9C">
      <w:pPr>
        <w:pStyle w:val="Caption"/>
      </w:pPr>
      <w:r>
        <w:t>Tabla </w:t>
      </w:r>
      <w:r>
        <w:fldChar w:fldCharType="begin"/>
      </w:r>
      <w:r>
        <w:instrText>SEQ Table \* ARABIC</w:instrText>
      </w:r>
      <w:r>
        <w:fldChar w:fldCharType="separate"/>
      </w:r>
      <w:r>
        <w:t>1</w:t>
      </w:r>
      <w:r>
        <w:fldChar w:fldCharType="end"/>
      </w:r>
      <w:r>
        <w:t>:</w:t>
      </w:r>
      <w:r>
        <w:rPr>
          <w:rStyle w:val="DNEx2"/>
        </w:rPr>
        <w:tab/>
      </w:r>
      <w:r>
        <w:t>Tabla de dosificación</w:t>
      </w:r>
    </w:p>
    <w:tbl>
      <w:tblPr>
        <w:tblW w:w="0" w:type="auto"/>
        <w:tblLook w:val="04A0" w:firstRow="1" w:lastRow="0" w:firstColumn="1" w:lastColumn="0" w:noHBand="0" w:noVBand="1"/>
      </w:tblPr>
      <w:tblGrid>
        <w:gridCol w:w="1293"/>
        <w:gridCol w:w="1293"/>
        <w:gridCol w:w="1293"/>
        <w:gridCol w:w="1293"/>
        <w:gridCol w:w="1293"/>
        <w:gridCol w:w="1293"/>
        <w:gridCol w:w="1293"/>
      </w:tblGrid>
      <w:tr w:rsidR="006E3229" w14:paraId="4D9FF3C0" w14:textId="77777777">
        <w:trPr>
          <w:trHeight w:val="285"/>
          <w:tblHeader/>
        </w:trPr>
        <w:tc>
          <w:tcPr>
            <w:tcW w:w="1294" w:type="dxa"/>
            <w:tcBorders>
              <w:top w:val="single" w:sz="8" w:space="0" w:color="auto"/>
              <w:left w:val="single" w:sz="8" w:space="0" w:color="auto"/>
              <w:bottom w:val="single" w:sz="4" w:space="0" w:color="auto"/>
              <w:right w:val="nil"/>
            </w:tcBorders>
            <w:tcMar>
              <w:top w:w="15" w:type="dxa"/>
              <w:left w:w="15" w:type="dxa"/>
              <w:right w:w="15" w:type="dxa"/>
            </w:tcMar>
            <w:vAlign w:val="bottom"/>
          </w:tcPr>
          <w:p w14:paraId="57C64D62" w14:textId="77777777" w:rsidR="006E3229" w:rsidRDefault="006E3229">
            <w:pPr>
              <w:keepNext/>
              <w:rPr>
                <w:rFonts w:eastAsia="Calibri"/>
                <w:b/>
                <w:bCs/>
                <w:color w:val="000000" w:themeColor="text1"/>
                <w:sz w:val="20"/>
              </w:rPr>
            </w:pPr>
          </w:p>
        </w:tc>
        <w:tc>
          <w:tcPr>
            <w:tcW w:w="2588" w:type="dxa"/>
            <w:gridSpan w:val="2"/>
            <w:tcBorders>
              <w:top w:val="single" w:sz="8" w:space="0" w:color="auto"/>
              <w:left w:val="single" w:sz="8" w:space="0" w:color="auto"/>
              <w:bottom w:val="single" w:sz="4" w:space="0" w:color="auto"/>
              <w:right w:val="single" w:sz="8" w:space="0" w:color="000000" w:themeColor="text1"/>
            </w:tcBorders>
            <w:tcMar>
              <w:top w:w="15" w:type="dxa"/>
              <w:left w:w="15" w:type="dxa"/>
              <w:right w:w="15" w:type="dxa"/>
            </w:tcMar>
            <w:vAlign w:val="bottom"/>
          </w:tcPr>
          <w:p w14:paraId="6D9389DB" w14:textId="77777777" w:rsidR="006E3229" w:rsidRDefault="00B43C9C">
            <w:pPr>
              <w:keepNext/>
              <w:jc w:val="center"/>
              <w:rPr>
                <w:rFonts w:eastAsia="Calibri"/>
                <w:b/>
                <w:bCs/>
                <w:color w:val="000000" w:themeColor="text1"/>
                <w:sz w:val="20"/>
              </w:rPr>
            </w:pPr>
            <w:r>
              <w:rPr>
                <w:b/>
                <w:color w:val="000000" w:themeColor="text1"/>
                <w:sz w:val="20"/>
              </w:rPr>
              <w:t>6 mg/kg/día</w:t>
            </w:r>
          </w:p>
        </w:tc>
        <w:tc>
          <w:tcPr>
            <w:tcW w:w="2588" w:type="dxa"/>
            <w:gridSpan w:val="2"/>
            <w:tcBorders>
              <w:top w:val="single" w:sz="8" w:space="0" w:color="auto"/>
              <w:left w:val="nil"/>
              <w:bottom w:val="single" w:sz="4" w:space="0" w:color="auto"/>
              <w:right w:val="single" w:sz="4" w:space="0" w:color="auto"/>
            </w:tcBorders>
            <w:tcMar>
              <w:top w:w="15" w:type="dxa"/>
              <w:left w:w="15" w:type="dxa"/>
              <w:right w:w="15" w:type="dxa"/>
            </w:tcMar>
            <w:vAlign w:val="bottom"/>
          </w:tcPr>
          <w:p w14:paraId="501C8DEB" w14:textId="77777777" w:rsidR="006E3229" w:rsidRDefault="00B43C9C">
            <w:pPr>
              <w:keepNext/>
              <w:jc w:val="center"/>
              <w:rPr>
                <w:rFonts w:eastAsia="Calibri"/>
                <w:b/>
                <w:bCs/>
                <w:color w:val="000000" w:themeColor="text1"/>
                <w:sz w:val="20"/>
              </w:rPr>
            </w:pPr>
            <w:r>
              <w:rPr>
                <w:b/>
                <w:color w:val="000000" w:themeColor="text1"/>
                <w:sz w:val="20"/>
              </w:rPr>
              <w:t>4 mg/kg/día</w:t>
            </w:r>
          </w:p>
        </w:tc>
        <w:tc>
          <w:tcPr>
            <w:tcW w:w="2588" w:type="dxa"/>
            <w:gridSpan w:val="2"/>
            <w:tcBorders>
              <w:top w:val="single" w:sz="8" w:space="0" w:color="auto"/>
              <w:left w:val="single" w:sz="8" w:space="0" w:color="auto"/>
              <w:bottom w:val="single" w:sz="4" w:space="0" w:color="auto"/>
              <w:right w:val="single" w:sz="8" w:space="0" w:color="000000" w:themeColor="text1"/>
            </w:tcBorders>
            <w:tcMar>
              <w:top w:w="15" w:type="dxa"/>
              <w:left w:w="15" w:type="dxa"/>
              <w:right w:w="15" w:type="dxa"/>
            </w:tcMar>
            <w:vAlign w:val="bottom"/>
          </w:tcPr>
          <w:p w14:paraId="727D57D8" w14:textId="77777777" w:rsidR="006E3229" w:rsidRDefault="00B43C9C">
            <w:pPr>
              <w:keepNext/>
              <w:jc w:val="center"/>
              <w:rPr>
                <w:rFonts w:eastAsia="Calibri"/>
                <w:b/>
                <w:bCs/>
                <w:color w:val="000000" w:themeColor="text1"/>
                <w:sz w:val="20"/>
              </w:rPr>
            </w:pPr>
            <w:r>
              <w:rPr>
                <w:b/>
                <w:color w:val="000000" w:themeColor="text1"/>
                <w:sz w:val="20"/>
              </w:rPr>
              <w:t>2 mg/kg/día</w:t>
            </w:r>
          </w:p>
        </w:tc>
      </w:tr>
      <w:tr w:rsidR="006E3229" w14:paraId="5D11D716" w14:textId="77777777">
        <w:trPr>
          <w:trHeight w:val="585"/>
          <w:tblHeader/>
        </w:trPr>
        <w:tc>
          <w:tcPr>
            <w:tcW w:w="1294" w:type="dxa"/>
            <w:tcBorders>
              <w:top w:val="single" w:sz="4" w:space="0" w:color="auto"/>
              <w:left w:val="single" w:sz="8" w:space="0" w:color="auto"/>
              <w:bottom w:val="single" w:sz="8" w:space="0" w:color="auto"/>
              <w:right w:val="nil"/>
            </w:tcBorders>
            <w:tcMar>
              <w:top w:w="15" w:type="dxa"/>
              <w:left w:w="15" w:type="dxa"/>
              <w:right w:w="15" w:type="dxa"/>
            </w:tcMar>
            <w:vAlign w:val="center"/>
          </w:tcPr>
          <w:p w14:paraId="0C56F760" w14:textId="77777777" w:rsidR="006E3229" w:rsidRDefault="00B43C9C">
            <w:pPr>
              <w:keepNext/>
              <w:jc w:val="center"/>
              <w:rPr>
                <w:rFonts w:eastAsia="Calibri"/>
                <w:b/>
                <w:bCs/>
                <w:color w:val="000000" w:themeColor="text1"/>
                <w:sz w:val="20"/>
              </w:rPr>
            </w:pPr>
            <w:r>
              <w:rPr>
                <w:b/>
                <w:color w:val="000000" w:themeColor="text1"/>
                <w:sz w:val="20"/>
              </w:rPr>
              <w:t>Peso (kg)</w:t>
            </w:r>
          </w:p>
        </w:tc>
        <w:tc>
          <w:tcPr>
            <w:tcW w:w="1294" w:type="dxa"/>
            <w:tcBorders>
              <w:top w:val="single" w:sz="4" w:space="0" w:color="auto"/>
              <w:left w:val="single" w:sz="8" w:space="0" w:color="auto"/>
              <w:bottom w:val="single" w:sz="8" w:space="0" w:color="auto"/>
              <w:right w:val="single" w:sz="4" w:space="0" w:color="000000" w:themeColor="text1"/>
            </w:tcBorders>
            <w:tcMar>
              <w:top w:w="15" w:type="dxa"/>
              <w:left w:w="15" w:type="dxa"/>
              <w:right w:w="15" w:type="dxa"/>
            </w:tcMar>
            <w:vAlign w:val="center"/>
          </w:tcPr>
          <w:p w14:paraId="7F5CE38E" w14:textId="77777777" w:rsidR="006E3229" w:rsidRDefault="00B43C9C">
            <w:pPr>
              <w:keepNext/>
              <w:jc w:val="center"/>
              <w:rPr>
                <w:rFonts w:eastAsia="Calibri"/>
                <w:b/>
                <w:bCs/>
                <w:color w:val="000000" w:themeColor="text1"/>
                <w:sz w:val="20"/>
              </w:rPr>
            </w:pPr>
            <w:r>
              <w:rPr>
                <w:b/>
                <w:color w:val="000000" w:themeColor="text1"/>
                <w:sz w:val="20"/>
              </w:rPr>
              <w:t>Dosis en mg</w:t>
            </w:r>
          </w:p>
        </w:tc>
        <w:tc>
          <w:tcPr>
            <w:tcW w:w="1294" w:type="dxa"/>
            <w:tcBorders>
              <w:top w:val="nil"/>
              <w:left w:val="single" w:sz="4" w:space="0" w:color="auto"/>
              <w:bottom w:val="single" w:sz="8" w:space="0" w:color="auto"/>
              <w:right w:val="single" w:sz="8" w:space="0" w:color="000000" w:themeColor="text1"/>
            </w:tcBorders>
            <w:tcMar>
              <w:top w:w="15" w:type="dxa"/>
              <w:left w:w="15" w:type="dxa"/>
              <w:right w:w="15" w:type="dxa"/>
            </w:tcMar>
            <w:vAlign w:val="center"/>
          </w:tcPr>
          <w:p w14:paraId="2992BBF1" w14:textId="77777777" w:rsidR="006E3229" w:rsidRDefault="00B43C9C">
            <w:pPr>
              <w:keepNext/>
              <w:jc w:val="center"/>
              <w:rPr>
                <w:rFonts w:eastAsia="Calibri"/>
                <w:b/>
                <w:bCs/>
                <w:color w:val="000000" w:themeColor="text1"/>
                <w:sz w:val="20"/>
              </w:rPr>
            </w:pPr>
            <w:r>
              <w:rPr>
                <w:b/>
                <w:color w:val="000000" w:themeColor="text1"/>
                <w:sz w:val="20"/>
              </w:rPr>
              <w:t>Dosis en ml</w:t>
            </w:r>
          </w:p>
        </w:tc>
        <w:tc>
          <w:tcPr>
            <w:tcW w:w="1294" w:type="dxa"/>
            <w:tcBorders>
              <w:top w:val="single" w:sz="4" w:space="0" w:color="auto"/>
              <w:left w:val="single" w:sz="8" w:space="0" w:color="auto"/>
              <w:bottom w:val="single" w:sz="8" w:space="0" w:color="auto"/>
              <w:right w:val="single" w:sz="4" w:space="0" w:color="auto"/>
            </w:tcBorders>
            <w:tcMar>
              <w:top w:w="15" w:type="dxa"/>
              <w:left w:w="15" w:type="dxa"/>
              <w:right w:w="15" w:type="dxa"/>
            </w:tcMar>
            <w:vAlign w:val="center"/>
          </w:tcPr>
          <w:p w14:paraId="7D40E20A" w14:textId="77777777" w:rsidR="006E3229" w:rsidRDefault="00B43C9C">
            <w:pPr>
              <w:keepNext/>
              <w:jc w:val="center"/>
              <w:rPr>
                <w:rFonts w:eastAsia="Calibri"/>
                <w:b/>
                <w:bCs/>
                <w:color w:val="000000" w:themeColor="text1"/>
                <w:sz w:val="20"/>
              </w:rPr>
            </w:pPr>
            <w:r>
              <w:rPr>
                <w:b/>
                <w:color w:val="000000" w:themeColor="text1"/>
                <w:sz w:val="20"/>
              </w:rPr>
              <w:t>Dosis en mg</w:t>
            </w:r>
          </w:p>
        </w:tc>
        <w:tc>
          <w:tcPr>
            <w:tcW w:w="1294" w:type="dxa"/>
            <w:tcBorders>
              <w:top w:val="nil"/>
              <w:left w:val="single" w:sz="4" w:space="0" w:color="auto"/>
              <w:bottom w:val="single" w:sz="8" w:space="0" w:color="auto"/>
              <w:right w:val="nil"/>
            </w:tcBorders>
            <w:tcMar>
              <w:top w:w="15" w:type="dxa"/>
              <w:left w:w="15" w:type="dxa"/>
              <w:right w:w="15" w:type="dxa"/>
            </w:tcMar>
            <w:vAlign w:val="center"/>
          </w:tcPr>
          <w:p w14:paraId="3D2CA380" w14:textId="77777777" w:rsidR="006E3229" w:rsidRDefault="00B43C9C">
            <w:pPr>
              <w:keepNext/>
              <w:jc w:val="center"/>
              <w:rPr>
                <w:rFonts w:eastAsia="Calibri"/>
                <w:b/>
                <w:bCs/>
                <w:color w:val="000000" w:themeColor="text1"/>
                <w:sz w:val="20"/>
              </w:rPr>
            </w:pPr>
            <w:r>
              <w:rPr>
                <w:b/>
                <w:color w:val="000000" w:themeColor="text1"/>
                <w:sz w:val="20"/>
              </w:rPr>
              <w:t>Dosis en ml</w:t>
            </w:r>
          </w:p>
        </w:tc>
        <w:tc>
          <w:tcPr>
            <w:tcW w:w="1294" w:type="dxa"/>
            <w:tcBorders>
              <w:top w:val="single" w:sz="4" w:space="0" w:color="auto"/>
              <w:left w:val="single" w:sz="8" w:space="0" w:color="auto"/>
              <w:bottom w:val="single" w:sz="8" w:space="0" w:color="auto"/>
              <w:right w:val="single" w:sz="4" w:space="0" w:color="000000" w:themeColor="text1"/>
            </w:tcBorders>
            <w:tcMar>
              <w:top w:w="15" w:type="dxa"/>
              <w:left w:w="15" w:type="dxa"/>
              <w:right w:w="15" w:type="dxa"/>
            </w:tcMar>
            <w:vAlign w:val="center"/>
          </w:tcPr>
          <w:p w14:paraId="748947BA" w14:textId="77777777" w:rsidR="006E3229" w:rsidRDefault="00B43C9C">
            <w:pPr>
              <w:keepNext/>
              <w:jc w:val="center"/>
              <w:rPr>
                <w:rFonts w:eastAsia="Calibri"/>
                <w:b/>
                <w:bCs/>
                <w:color w:val="000000" w:themeColor="text1"/>
                <w:sz w:val="20"/>
              </w:rPr>
            </w:pPr>
            <w:r>
              <w:rPr>
                <w:b/>
                <w:color w:val="000000" w:themeColor="text1"/>
                <w:sz w:val="20"/>
              </w:rPr>
              <w:t>Dosis en mg</w:t>
            </w:r>
          </w:p>
        </w:tc>
        <w:tc>
          <w:tcPr>
            <w:tcW w:w="1294" w:type="dxa"/>
            <w:tcBorders>
              <w:top w:val="nil"/>
              <w:left w:val="single" w:sz="4" w:space="0" w:color="auto"/>
              <w:bottom w:val="single" w:sz="8" w:space="0" w:color="auto"/>
              <w:right w:val="single" w:sz="8" w:space="0" w:color="000000" w:themeColor="text1"/>
            </w:tcBorders>
            <w:tcMar>
              <w:top w:w="15" w:type="dxa"/>
              <w:left w:w="15" w:type="dxa"/>
              <w:right w:w="15" w:type="dxa"/>
            </w:tcMar>
            <w:vAlign w:val="center"/>
          </w:tcPr>
          <w:p w14:paraId="5191AFCB" w14:textId="77777777" w:rsidR="006E3229" w:rsidRDefault="00B43C9C">
            <w:pPr>
              <w:keepNext/>
              <w:jc w:val="center"/>
              <w:rPr>
                <w:rFonts w:eastAsia="Calibri"/>
                <w:b/>
                <w:bCs/>
                <w:color w:val="000000" w:themeColor="text1"/>
                <w:sz w:val="20"/>
              </w:rPr>
            </w:pPr>
            <w:r>
              <w:rPr>
                <w:b/>
                <w:color w:val="000000" w:themeColor="text1"/>
                <w:sz w:val="20"/>
              </w:rPr>
              <w:t>Dosis en ml</w:t>
            </w:r>
          </w:p>
        </w:tc>
      </w:tr>
      <w:tr w:rsidR="006E3229" w14:paraId="13E696CF" w14:textId="77777777">
        <w:trPr>
          <w:trHeight w:val="285"/>
        </w:trPr>
        <w:tc>
          <w:tcPr>
            <w:tcW w:w="1294" w:type="dxa"/>
            <w:tcBorders>
              <w:top w:val="single" w:sz="8" w:space="0" w:color="auto"/>
              <w:left w:val="single" w:sz="8" w:space="0" w:color="auto"/>
              <w:bottom w:val="single" w:sz="4" w:space="0" w:color="auto"/>
              <w:right w:val="single" w:sz="8" w:space="0" w:color="auto"/>
            </w:tcBorders>
            <w:tcMar>
              <w:top w:w="15" w:type="dxa"/>
              <w:left w:w="15" w:type="dxa"/>
              <w:right w:w="15" w:type="dxa"/>
            </w:tcMar>
            <w:vAlign w:val="bottom"/>
          </w:tcPr>
          <w:p w14:paraId="107546C1" w14:textId="77777777" w:rsidR="006E3229" w:rsidRDefault="00B43C9C">
            <w:pPr>
              <w:jc w:val="center"/>
              <w:rPr>
                <w:rFonts w:eastAsia="Calibri"/>
                <w:b/>
                <w:bCs/>
                <w:color w:val="000000" w:themeColor="text1"/>
                <w:sz w:val="20"/>
              </w:rPr>
            </w:pPr>
            <w:r>
              <w:rPr>
                <w:b/>
                <w:color w:val="000000" w:themeColor="text1"/>
                <w:sz w:val="20"/>
              </w:rPr>
              <w:t>12-13</w:t>
            </w:r>
          </w:p>
        </w:tc>
        <w:tc>
          <w:tcPr>
            <w:tcW w:w="1294" w:type="dxa"/>
            <w:tcBorders>
              <w:top w:val="single" w:sz="8" w:space="0" w:color="auto"/>
              <w:left w:val="single" w:sz="8" w:space="0" w:color="auto"/>
              <w:bottom w:val="single" w:sz="4" w:space="0" w:color="auto"/>
              <w:right w:val="single" w:sz="4" w:space="0" w:color="auto"/>
            </w:tcBorders>
            <w:tcMar>
              <w:top w:w="15" w:type="dxa"/>
              <w:left w:w="15" w:type="dxa"/>
              <w:right w:w="15" w:type="dxa"/>
            </w:tcMar>
            <w:vAlign w:val="bottom"/>
          </w:tcPr>
          <w:p w14:paraId="7E2812D5" w14:textId="77777777" w:rsidR="006E3229" w:rsidRDefault="00B43C9C">
            <w:pPr>
              <w:jc w:val="center"/>
              <w:rPr>
                <w:rFonts w:eastAsia="Calibri"/>
                <w:color w:val="000000" w:themeColor="text1"/>
                <w:sz w:val="20"/>
              </w:rPr>
            </w:pPr>
            <w:r>
              <w:rPr>
                <w:color w:val="000000" w:themeColor="text1"/>
                <w:sz w:val="20"/>
              </w:rPr>
              <w:t>72</w:t>
            </w:r>
          </w:p>
        </w:tc>
        <w:tc>
          <w:tcPr>
            <w:tcW w:w="1294" w:type="dxa"/>
            <w:tcBorders>
              <w:top w:val="single" w:sz="8" w:space="0" w:color="auto"/>
              <w:left w:val="single" w:sz="4" w:space="0" w:color="auto"/>
              <w:bottom w:val="single" w:sz="4" w:space="0" w:color="auto"/>
              <w:right w:val="nil"/>
            </w:tcBorders>
            <w:tcMar>
              <w:top w:w="15" w:type="dxa"/>
              <w:left w:w="15" w:type="dxa"/>
              <w:right w:w="15" w:type="dxa"/>
            </w:tcMar>
            <w:vAlign w:val="bottom"/>
          </w:tcPr>
          <w:p w14:paraId="62676279" w14:textId="77777777" w:rsidR="006E3229" w:rsidRDefault="00B43C9C">
            <w:pPr>
              <w:jc w:val="center"/>
              <w:rPr>
                <w:rFonts w:eastAsia="Calibri"/>
                <w:color w:val="000000" w:themeColor="text1"/>
                <w:sz w:val="20"/>
              </w:rPr>
            </w:pPr>
            <w:r>
              <w:rPr>
                <w:color w:val="000000" w:themeColor="text1"/>
                <w:sz w:val="20"/>
              </w:rPr>
              <w:t>1,8</w:t>
            </w:r>
          </w:p>
        </w:tc>
        <w:tc>
          <w:tcPr>
            <w:tcW w:w="1294" w:type="dxa"/>
            <w:tcBorders>
              <w:top w:val="single" w:sz="8" w:space="0" w:color="auto"/>
              <w:left w:val="single" w:sz="8" w:space="0" w:color="auto"/>
              <w:bottom w:val="single" w:sz="4" w:space="0" w:color="auto"/>
              <w:right w:val="single" w:sz="4" w:space="0" w:color="auto"/>
            </w:tcBorders>
            <w:tcMar>
              <w:top w:w="15" w:type="dxa"/>
              <w:left w:w="15" w:type="dxa"/>
              <w:right w:w="15" w:type="dxa"/>
            </w:tcMar>
            <w:vAlign w:val="bottom"/>
          </w:tcPr>
          <w:p w14:paraId="3339A7C8" w14:textId="77777777" w:rsidR="006E3229" w:rsidRDefault="00B43C9C">
            <w:pPr>
              <w:jc w:val="center"/>
              <w:rPr>
                <w:rFonts w:eastAsia="Calibri"/>
                <w:color w:val="000000" w:themeColor="text1"/>
                <w:sz w:val="20"/>
              </w:rPr>
            </w:pPr>
            <w:r>
              <w:rPr>
                <w:color w:val="000000" w:themeColor="text1"/>
                <w:sz w:val="20"/>
              </w:rPr>
              <w:t>48</w:t>
            </w:r>
          </w:p>
        </w:tc>
        <w:tc>
          <w:tcPr>
            <w:tcW w:w="1294" w:type="dxa"/>
            <w:tcBorders>
              <w:top w:val="single" w:sz="8" w:space="0" w:color="auto"/>
              <w:left w:val="single" w:sz="4" w:space="0" w:color="auto"/>
              <w:bottom w:val="single" w:sz="4" w:space="0" w:color="auto"/>
              <w:right w:val="single" w:sz="8" w:space="0" w:color="auto"/>
            </w:tcBorders>
            <w:tcMar>
              <w:top w:w="15" w:type="dxa"/>
              <w:left w:w="15" w:type="dxa"/>
              <w:right w:w="15" w:type="dxa"/>
            </w:tcMar>
            <w:vAlign w:val="bottom"/>
          </w:tcPr>
          <w:p w14:paraId="45E665BE" w14:textId="77777777" w:rsidR="006E3229" w:rsidRDefault="00B43C9C">
            <w:pPr>
              <w:jc w:val="center"/>
              <w:rPr>
                <w:rFonts w:eastAsia="Calibri"/>
                <w:color w:val="000000" w:themeColor="text1"/>
                <w:sz w:val="20"/>
              </w:rPr>
            </w:pPr>
            <w:r>
              <w:rPr>
                <w:color w:val="000000" w:themeColor="text1"/>
                <w:sz w:val="20"/>
              </w:rPr>
              <w:t>1,2</w:t>
            </w:r>
          </w:p>
        </w:tc>
        <w:tc>
          <w:tcPr>
            <w:tcW w:w="1294" w:type="dxa"/>
            <w:tcBorders>
              <w:top w:val="single" w:sz="8" w:space="0" w:color="auto"/>
              <w:left w:val="single" w:sz="8" w:space="0" w:color="auto"/>
              <w:bottom w:val="single" w:sz="4" w:space="0" w:color="auto"/>
              <w:right w:val="single" w:sz="4" w:space="0" w:color="auto"/>
            </w:tcBorders>
            <w:tcMar>
              <w:top w:w="15" w:type="dxa"/>
              <w:left w:w="15" w:type="dxa"/>
              <w:right w:w="15" w:type="dxa"/>
            </w:tcMar>
            <w:vAlign w:val="bottom"/>
          </w:tcPr>
          <w:p w14:paraId="32DA0BCE" w14:textId="77777777" w:rsidR="006E3229" w:rsidRDefault="00B43C9C">
            <w:pPr>
              <w:jc w:val="center"/>
              <w:rPr>
                <w:rFonts w:eastAsia="Calibri"/>
                <w:color w:val="000000" w:themeColor="text1"/>
                <w:sz w:val="20"/>
              </w:rPr>
            </w:pPr>
            <w:r>
              <w:rPr>
                <w:color w:val="000000" w:themeColor="text1"/>
                <w:sz w:val="20"/>
              </w:rPr>
              <w:t>24</w:t>
            </w:r>
          </w:p>
        </w:tc>
        <w:tc>
          <w:tcPr>
            <w:tcW w:w="1294" w:type="dxa"/>
            <w:tcBorders>
              <w:top w:val="single" w:sz="8" w:space="0" w:color="auto"/>
              <w:left w:val="single" w:sz="4" w:space="0" w:color="auto"/>
              <w:bottom w:val="single" w:sz="4" w:space="0" w:color="auto"/>
              <w:right w:val="single" w:sz="8" w:space="0" w:color="auto"/>
            </w:tcBorders>
            <w:tcMar>
              <w:top w:w="15" w:type="dxa"/>
              <w:left w:w="15" w:type="dxa"/>
              <w:right w:w="15" w:type="dxa"/>
            </w:tcMar>
            <w:vAlign w:val="bottom"/>
          </w:tcPr>
          <w:p w14:paraId="7203B93F" w14:textId="77777777" w:rsidR="006E3229" w:rsidRDefault="00B43C9C">
            <w:pPr>
              <w:jc w:val="center"/>
              <w:rPr>
                <w:rFonts w:eastAsia="Calibri"/>
                <w:color w:val="000000" w:themeColor="text1"/>
                <w:sz w:val="20"/>
              </w:rPr>
            </w:pPr>
            <w:r>
              <w:rPr>
                <w:color w:val="000000" w:themeColor="text1"/>
                <w:sz w:val="20"/>
              </w:rPr>
              <w:t>0,6</w:t>
            </w:r>
          </w:p>
        </w:tc>
      </w:tr>
      <w:tr w:rsidR="006E3229" w14:paraId="76442F0D" w14:textId="7777777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10342C7D" w14:textId="77777777" w:rsidR="006E3229" w:rsidRDefault="00B43C9C">
            <w:pPr>
              <w:jc w:val="center"/>
              <w:rPr>
                <w:rFonts w:eastAsia="Calibri"/>
                <w:b/>
                <w:bCs/>
                <w:color w:val="000000" w:themeColor="text1"/>
                <w:sz w:val="20"/>
              </w:rPr>
            </w:pPr>
            <w:r>
              <w:rPr>
                <w:b/>
                <w:color w:val="000000" w:themeColor="text1"/>
                <w:sz w:val="20"/>
              </w:rPr>
              <w:lastRenderedPageBreak/>
              <w:t>14-15</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3C9B6E1C" w14:textId="77777777" w:rsidR="006E3229" w:rsidRDefault="00B43C9C">
            <w:pPr>
              <w:jc w:val="center"/>
              <w:rPr>
                <w:rFonts w:eastAsia="Calibri"/>
                <w:color w:val="000000" w:themeColor="text1"/>
                <w:sz w:val="20"/>
              </w:rPr>
            </w:pPr>
            <w:r>
              <w:rPr>
                <w:color w:val="000000" w:themeColor="text1"/>
                <w:sz w:val="20"/>
              </w:rPr>
              <w:t>84</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31DBF294" w14:textId="77777777" w:rsidR="006E3229" w:rsidRDefault="00B43C9C">
            <w:pPr>
              <w:jc w:val="center"/>
              <w:rPr>
                <w:rFonts w:eastAsia="Calibri"/>
                <w:color w:val="000000" w:themeColor="text1"/>
                <w:sz w:val="20"/>
              </w:rPr>
            </w:pPr>
            <w:r>
              <w:rPr>
                <w:color w:val="000000" w:themeColor="text1"/>
                <w:sz w:val="20"/>
              </w:rPr>
              <w:t>2,1</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5DF5D967" w14:textId="77777777" w:rsidR="006E3229" w:rsidRDefault="00B43C9C">
            <w:pPr>
              <w:jc w:val="center"/>
              <w:rPr>
                <w:rFonts w:eastAsia="Calibri"/>
                <w:color w:val="000000" w:themeColor="text1"/>
                <w:sz w:val="20"/>
              </w:rPr>
            </w:pPr>
            <w:r>
              <w:rPr>
                <w:color w:val="000000" w:themeColor="text1"/>
                <w:sz w:val="20"/>
              </w:rPr>
              <w:t>56</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3BA222C1" w14:textId="77777777" w:rsidR="006E3229" w:rsidRDefault="00B43C9C">
            <w:pPr>
              <w:jc w:val="center"/>
              <w:rPr>
                <w:rFonts w:eastAsia="Calibri"/>
                <w:color w:val="000000" w:themeColor="text1"/>
                <w:sz w:val="20"/>
              </w:rPr>
            </w:pPr>
            <w:r>
              <w:rPr>
                <w:color w:val="000000" w:themeColor="text1"/>
                <w:sz w:val="20"/>
              </w:rPr>
              <w:t>1,4</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561C13E3" w14:textId="77777777" w:rsidR="006E3229" w:rsidRDefault="00B43C9C">
            <w:pPr>
              <w:jc w:val="center"/>
              <w:rPr>
                <w:rFonts w:eastAsia="Calibri"/>
                <w:color w:val="000000" w:themeColor="text1"/>
                <w:sz w:val="20"/>
              </w:rPr>
            </w:pPr>
            <w:r>
              <w:rPr>
                <w:color w:val="000000" w:themeColor="text1"/>
                <w:sz w:val="20"/>
              </w:rPr>
              <w:t>28</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0E33DA23" w14:textId="77777777" w:rsidR="006E3229" w:rsidRDefault="00B43C9C">
            <w:pPr>
              <w:jc w:val="center"/>
              <w:rPr>
                <w:rFonts w:eastAsia="Calibri"/>
                <w:color w:val="000000" w:themeColor="text1"/>
                <w:sz w:val="20"/>
              </w:rPr>
            </w:pPr>
            <w:r>
              <w:rPr>
                <w:color w:val="000000" w:themeColor="text1"/>
                <w:sz w:val="20"/>
              </w:rPr>
              <w:t>0,7</w:t>
            </w:r>
          </w:p>
        </w:tc>
      </w:tr>
      <w:tr w:rsidR="006E3229" w14:paraId="02FC2A79" w14:textId="7777777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30CE0AB9" w14:textId="77777777" w:rsidR="006E3229" w:rsidRDefault="00B43C9C">
            <w:pPr>
              <w:jc w:val="center"/>
              <w:rPr>
                <w:rFonts w:eastAsia="Calibri"/>
                <w:b/>
                <w:bCs/>
                <w:color w:val="000000" w:themeColor="text1"/>
                <w:sz w:val="20"/>
              </w:rPr>
            </w:pPr>
            <w:r>
              <w:rPr>
                <w:b/>
                <w:color w:val="000000" w:themeColor="text1"/>
                <w:sz w:val="20"/>
              </w:rPr>
              <w:t>16-17</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6B7E1E91" w14:textId="77777777" w:rsidR="006E3229" w:rsidRDefault="00B43C9C">
            <w:pPr>
              <w:jc w:val="center"/>
              <w:rPr>
                <w:rFonts w:eastAsia="Calibri"/>
                <w:color w:val="000000" w:themeColor="text1"/>
                <w:sz w:val="20"/>
              </w:rPr>
            </w:pPr>
            <w:r>
              <w:rPr>
                <w:color w:val="000000" w:themeColor="text1"/>
                <w:sz w:val="20"/>
              </w:rPr>
              <w:t>96</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606785D4" w14:textId="77777777" w:rsidR="006E3229" w:rsidRDefault="00B43C9C">
            <w:pPr>
              <w:jc w:val="center"/>
              <w:rPr>
                <w:rFonts w:eastAsia="Calibri"/>
                <w:color w:val="000000" w:themeColor="text1"/>
                <w:sz w:val="20"/>
              </w:rPr>
            </w:pPr>
            <w:r>
              <w:rPr>
                <w:color w:val="000000" w:themeColor="text1"/>
                <w:sz w:val="20"/>
              </w:rPr>
              <w:t>2,4</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7E85F83E" w14:textId="77777777" w:rsidR="006E3229" w:rsidRDefault="00B43C9C">
            <w:pPr>
              <w:jc w:val="center"/>
              <w:rPr>
                <w:rFonts w:eastAsia="Calibri"/>
                <w:color w:val="000000" w:themeColor="text1"/>
                <w:sz w:val="20"/>
              </w:rPr>
            </w:pPr>
            <w:r>
              <w:rPr>
                <w:color w:val="000000" w:themeColor="text1"/>
                <w:sz w:val="20"/>
              </w:rPr>
              <w:t>64</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749167BE" w14:textId="77777777" w:rsidR="006E3229" w:rsidRDefault="00B43C9C">
            <w:pPr>
              <w:jc w:val="center"/>
              <w:rPr>
                <w:rFonts w:eastAsia="Calibri"/>
                <w:color w:val="000000" w:themeColor="text1"/>
                <w:sz w:val="20"/>
              </w:rPr>
            </w:pPr>
            <w:r>
              <w:rPr>
                <w:color w:val="000000" w:themeColor="text1"/>
                <w:sz w:val="20"/>
              </w:rPr>
              <w:t>1,6</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0945E2BB" w14:textId="77777777" w:rsidR="006E3229" w:rsidRDefault="00B43C9C">
            <w:pPr>
              <w:jc w:val="center"/>
              <w:rPr>
                <w:rFonts w:eastAsia="Calibri"/>
                <w:color w:val="000000" w:themeColor="text1"/>
                <w:sz w:val="20"/>
              </w:rPr>
            </w:pPr>
            <w:r>
              <w:rPr>
                <w:color w:val="000000" w:themeColor="text1"/>
                <w:sz w:val="20"/>
              </w:rPr>
              <w:t>32</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5917D967" w14:textId="77777777" w:rsidR="006E3229" w:rsidRDefault="00B43C9C">
            <w:pPr>
              <w:jc w:val="center"/>
              <w:rPr>
                <w:rFonts w:eastAsia="Calibri"/>
                <w:color w:val="000000" w:themeColor="text1"/>
                <w:sz w:val="20"/>
              </w:rPr>
            </w:pPr>
            <w:r>
              <w:rPr>
                <w:color w:val="000000" w:themeColor="text1"/>
                <w:sz w:val="20"/>
              </w:rPr>
              <w:t>0,8</w:t>
            </w:r>
          </w:p>
        </w:tc>
      </w:tr>
      <w:tr w:rsidR="006E3229" w14:paraId="64285988" w14:textId="7777777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1EF62692" w14:textId="77777777" w:rsidR="006E3229" w:rsidRDefault="00B43C9C">
            <w:pPr>
              <w:jc w:val="center"/>
              <w:rPr>
                <w:rFonts w:eastAsia="Calibri"/>
                <w:b/>
                <w:bCs/>
                <w:color w:val="000000" w:themeColor="text1"/>
                <w:sz w:val="20"/>
              </w:rPr>
            </w:pPr>
            <w:r>
              <w:rPr>
                <w:b/>
                <w:color w:val="000000" w:themeColor="text1"/>
                <w:sz w:val="20"/>
              </w:rPr>
              <w:t>18-19</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643274DF" w14:textId="77777777" w:rsidR="006E3229" w:rsidRDefault="00B43C9C">
            <w:pPr>
              <w:jc w:val="center"/>
              <w:rPr>
                <w:rFonts w:eastAsia="Calibri"/>
                <w:color w:val="000000" w:themeColor="text1"/>
                <w:sz w:val="20"/>
              </w:rPr>
            </w:pPr>
            <w:r>
              <w:rPr>
                <w:color w:val="000000" w:themeColor="text1"/>
                <w:sz w:val="20"/>
              </w:rPr>
              <w:t>108</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7EBA8AF1" w14:textId="77777777" w:rsidR="006E3229" w:rsidRDefault="00B43C9C">
            <w:pPr>
              <w:jc w:val="center"/>
              <w:rPr>
                <w:rFonts w:eastAsia="Calibri"/>
                <w:color w:val="000000" w:themeColor="text1"/>
                <w:sz w:val="20"/>
              </w:rPr>
            </w:pPr>
            <w:r>
              <w:rPr>
                <w:color w:val="000000" w:themeColor="text1"/>
                <w:sz w:val="20"/>
              </w:rPr>
              <w:t>2,7</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55712A06" w14:textId="77777777" w:rsidR="006E3229" w:rsidRDefault="00B43C9C">
            <w:pPr>
              <w:jc w:val="center"/>
              <w:rPr>
                <w:rFonts w:eastAsia="Calibri"/>
                <w:color w:val="000000" w:themeColor="text1"/>
                <w:sz w:val="20"/>
              </w:rPr>
            </w:pPr>
            <w:r>
              <w:rPr>
                <w:color w:val="000000" w:themeColor="text1"/>
                <w:sz w:val="20"/>
              </w:rPr>
              <w:t>72</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7166065D" w14:textId="77777777" w:rsidR="006E3229" w:rsidRDefault="00B43C9C">
            <w:pPr>
              <w:jc w:val="center"/>
              <w:rPr>
                <w:rFonts w:eastAsia="Calibri"/>
                <w:color w:val="000000" w:themeColor="text1"/>
                <w:sz w:val="20"/>
              </w:rPr>
            </w:pPr>
            <w:r>
              <w:rPr>
                <w:color w:val="000000" w:themeColor="text1"/>
                <w:sz w:val="20"/>
              </w:rPr>
              <w:t>1,8</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720F03FC" w14:textId="77777777" w:rsidR="006E3229" w:rsidRDefault="00B43C9C">
            <w:pPr>
              <w:jc w:val="center"/>
              <w:rPr>
                <w:rFonts w:eastAsia="Calibri"/>
                <w:color w:val="000000" w:themeColor="text1"/>
                <w:sz w:val="20"/>
              </w:rPr>
            </w:pPr>
            <w:r>
              <w:rPr>
                <w:color w:val="000000" w:themeColor="text1"/>
                <w:sz w:val="20"/>
              </w:rPr>
              <w:t>36</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4518D175" w14:textId="77777777" w:rsidR="006E3229" w:rsidRDefault="00B43C9C">
            <w:pPr>
              <w:jc w:val="center"/>
              <w:rPr>
                <w:rFonts w:eastAsia="Calibri"/>
                <w:color w:val="000000" w:themeColor="text1"/>
                <w:sz w:val="20"/>
              </w:rPr>
            </w:pPr>
            <w:r>
              <w:rPr>
                <w:color w:val="000000" w:themeColor="text1"/>
                <w:sz w:val="20"/>
              </w:rPr>
              <w:t>0,9</w:t>
            </w:r>
          </w:p>
        </w:tc>
      </w:tr>
      <w:tr w:rsidR="006E3229" w14:paraId="53F5AC38" w14:textId="7777777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7AFFA30D" w14:textId="77777777" w:rsidR="006E3229" w:rsidRDefault="00B43C9C">
            <w:pPr>
              <w:jc w:val="center"/>
              <w:rPr>
                <w:rFonts w:eastAsia="Calibri"/>
                <w:b/>
                <w:bCs/>
                <w:color w:val="000000" w:themeColor="text1"/>
                <w:sz w:val="20"/>
              </w:rPr>
            </w:pPr>
            <w:r>
              <w:rPr>
                <w:b/>
                <w:color w:val="000000" w:themeColor="text1"/>
                <w:sz w:val="20"/>
              </w:rPr>
              <w:t>20-21</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3C1F1219" w14:textId="77777777" w:rsidR="006E3229" w:rsidRDefault="00B43C9C">
            <w:pPr>
              <w:jc w:val="center"/>
              <w:rPr>
                <w:rFonts w:eastAsia="Calibri"/>
                <w:color w:val="000000" w:themeColor="text1"/>
                <w:sz w:val="20"/>
              </w:rPr>
            </w:pPr>
            <w:r>
              <w:rPr>
                <w:color w:val="000000" w:themeColor="text1"/>
                <w:sz w:val="20"/>
              </w:rPr>
              <w:t>120</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0F0623F9" w14:textId="77777777" w:rsidR="006E3229" w:rsidRDefault="00B43C9C">
            <w:pPr>
              <w:jc w:val="center"/>
              <w:rPr>
                <w:rFonts w:eastAsia="Calibri"/>
                <w:color w:val="000000" w:themeColor="text1"/>
                <w:sz w:val="20"/>
              </w:rPr>
            </w:pPr>
            <w:r>
              <w:rPr>
                <w:color w:val="000000" w:themeColor="text1"/>
                <w:sz w:val="20"/>
              </w:rPr>
              <w:t>3</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799EC798" w14:textId="77777777" w:rsidR="006E3229" w:rsidRDefault="00B43C9C">
            <w:pPr>
              <w:jc w:val="center"/>
              <w:rPr>
                <w:rFonts w:eastAsia="Calibri"/>
                <w:color w:val="000000" w:themeColor="text1"/>
                <w:sz w:val="20"/>
              </w:rPr>
            </w:pPr>
            <w:r>
              <w:rPr>
                <w:color w:val="000000" w:themeColor="text1"/>
                <w:sz w:val="20"/>
              </w:rPr>
              <w:t>80</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5B5BFEA3" w14:textId="77777777" w:rsidR="006E3229" w:rsidRDefault="00B43C9C">
            <w:pPr>
              <w:jc w:val="center"/>
              <w:rPr>
                <w:rFonts w:eastAsia="Calibri"/>
                <w:color w:val="000000" w:themeColor="text1"/>
                <w:sz w:val="20"/>
              </w:rPr>
            </w:pPr>
            <w:r>
              <w:rPr>
                <w:color w:val="000000" w:themeColor="text1"/>
                <w:sz w:val="20"/>
              </w:rPr>
              <w:t>2</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7344AD1F" w14:textId="77777777" w:rsidR="006E3229" w:rsidRDefault="00B43C9C">
            <w:pPr>
              <w:jc w:val="center"/>
              <w:rPr>
                <w:rFonts w:eastAsia="Calibri"/>
                <w:color w:val="000000" w:themeColor="text1"/>
                <w:sz w:val="20"/>
              </w:rPr>
            </w:pPr>
            <w:r>
              <w:rPr>
                <w:color w:val="000000" w:themeColor="text1"/>
                <w:sz w:val="20"/>
              </w:rPr>
              <w:t>40</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2CB26C68" w14:textId="77777777" w:rsidR="006E3229" w:rsidRDefault="00B43C9C">
            <w:pPr>
              <w:jc w:val="center"/>
              <w:rPr>
                <w:rFonts w:eastAsia="Calibri"/>
                <w:color w:val="000000" w:themeColor="text1"/>
                <w:sz w:val="20"/>
              </w:rPr>
            </w:pPr>
            <w:r>
              <w:rPr>
                <w:color w:val="000000" w:themeColor="text1"/>
                <w:sz w:val="20"/>
              </w:rPr>
              <w:t>1</w:t>
            </w:r>
          </w:p>
        </w:tc>
      </w:tr>
      <w:tr w:rsidR="006E3229" w14:paraId="328809CE" w14:textId="7777777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12DCC367" w14:textId="77777777" w:rsidR="006E3229" w:rsidRDefault="00B43C9C">
            <w:pPr>
              <w:jc w:val="center"/>
              <w:rPr>
                <w:rFonts w:eastAsia="Calibri"/>
                <w:b/>
                <w:bCs/>
                <w:color w:val="000000" w:themeColor="text1"/>
                <w:sz w:val="20"/>
              </w:rPr>
            </w:pPr>
            <w:r>
              <w:rPr>
                <w:b/>
                <w:color w:val="000000" w:themeColor="text1"/>
                <w:sz w:val="20"/>
              </w:rPr>
              <w:t>22-23</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3A40FED7" w14:textId="77777777" w:rsidR="006E3229" w:rsidRDefault="00B43C9C">
            <w:pPr>
              <w:jc w:val="center"/>
              <w:rPr>
                <w:rFonts w:eastAsia="Calibri"/>
                <w:color w:val="000000" w:themeColor="text1"/>
                <w:sz w:val="20"/>
              </w:rPr>
            </w:pPr>
            <w:r>
              <w:rPr>
                <w:color w:val="000000" w:themeColor="text1"/>
                <w:sz w:val="20"/>
              </w:rPr>
              <w:t>132</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6A7D4F53" w14:textId="77777777" w:rsidR="006E3229" w:rsidRDefault="00B43C9C">
            <w:pPr>
              <w:jc w:val="center"/>
              <w:rPr>
                <w:rFonts w:eastAsia="Calibri"/>
                <w:color w:val="000000" w:themeColor="text1"/>
                <w:sz w:val="20"/>
              </w:rPr>
            </w:pPr>
            <w:r>
              <w:rPr>
                <w:color w:val="000000" w:themeColor="text1"/>
                <w:sz w:val="20"/>
              </w:rPr>
              <w:t>3,3</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64591F75" w14:textId="77777777" w:rsidR="006E3229" w:rsidRDefault="00B43C9C">
            <w:pPr>
              <w:jc w:val="center"/>
              <w:rPr>
                <w:rFonts w:eastAsia="Calibri"/>
                <w:color w:val="000000" w:themeColor="text1"/>
                <w:sz w:val="20"/>
              </w:rPr>
            </w:pPr>
            <w:r>
              <w:rPr>
                <w:color w:val="000000" w:themeColor="text1"/>
                <w:sz w:val="20"/>
              </w:rPr>
              <w:t>88</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4A18B275" w14:textId="77777777" w:rsidR="006E3229" w:rsidRDefault="00B43C9C">
            <w:pPr>
              <w:jc w:val="center"/>
              <w:rPr>
                <w:rFonts w:eastAsia="Calibri"/>
                <w:color w:val="000000" w:themeColor="text1"/>
                <w:sz w:val="20"/>
              </w:rPr>
            </w:pPr>
            <w:r>
              <w:rPr>
                <w:color w:val="000000" w:themeColor="text1"/>
                <w:sz w:val="20"/>
              </w:rPr>
              <w:t>2,2</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3082FC03" w14:textId="77777777" w:rsidR="006E3229" w:rsidRDefault="00B43C9C">
            <w:pPr>
              <w:jc w:val="center"/>
              <w:rPr>
                <w:rFonts w:eastAsia="Calibri"/>
                <w:color w:val="000000" w:themeColor="text1"/>
                <w:sz w:val="20"/>
              </w:rPr>
            </w:pPr>
            <w:r>
              <w:rPr>
                <w:color w:val="000000" w:themeColor="text1"/>
                <w:sz w:val="20"/>
              </w:rPr>
              <w:t>44</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2C0AB9D6" w14:textId="77777777" w:rsidR="006E3229" w:rsidRDefault="00B43C9C">
            <w:pPr>
              <w:jc w:val="center"/>
              <w:rPr>
                <w:rFonts w:eastAsia="Calibri"/>
                <w:color w:val="000000" w:themeColor="text1"/>
                <w:sz w:val="20"/>
              </w:rPr>
            </w:pPr>
            <w:r>
              <w:rPr>
                <w:color w:val="000000" w:themeColor="text1"/>
                <w:sz w:val="20"/>
              </w:rPr>
              <w:t>1.1</w:t>
            </w:r>
          </w:p>
        </w:tc>
      </w:tr>
      <w:tr w:rsidR="006E3229" w14:paraId="01A11798" w14:textId="7777777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27ECED1E" w14:textId="77777777" w:rsidR="006E3229" w:rsidRDefault="00B43C9C">
            <w:pPr>
              <w:jc w:val="center"/>
              <w:rPr>
                <w:rFonts w:eastAsia="Calibri"/>
                <w:b/>
                <w:bCs/>
                <w:color w:val="000000" w:themeColor="text1"/>
                <w:sz w:val="20"/>
              </w:rPr>
            </w:pPr>
            <w:r>
              <w:rPr>
                <w:b/>
                <w:color w:val="000000" w:themeColor="text1"/>
                <w:sz w:val="20"/>
              </w:rPr>
              <w:t>24-25</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4751641A" w14:textId="77777777" w:rsidR="006E3229" w:rsidRDefault="00B43C9C">
            <w:pPr>
              <w:jc w:val="center"/>
              <w:rPr>
                <w:rFonts w:eastAsia="Calibri"/>
                <w:color w:val="000000" w:themeColor="text1"/>
                <w:sz w:val="20"/>
              </w:rPr>
            </w:pPr>
            <w:r>
              <w:rPr>
                <w:color w:val="000000" w:themeColor="text1"/>
                <w:sz w:val="20"/>
              </w:rPr>
              <w:t>144</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187A08DF" w14:textId="77777777" w:rsidR="006E3229" w:rsidRDefault="00B43C9C">
            <w:pPr>
              <w:jc w:val="center"/>
              <w:rPr>
                <w:rFonts w:eastAsia="Calibri"/>
                <w:color w:val="000000" w:themeColor="text1"/>
                <w:sz w:val="20"/>
              </w:rPr>
            </w:pPr>
            <w:r>
              <w:rPr>
                <w:color w:val="000000" w:themeColor="text1"/>
                <w:sz w:val="20"/>
              </w:rPr>
              <w:t>3,6</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1CB31B2C" w14:textId="77777777" w:rsidR="006E3229" w:rsidRDefault="00B43C9C">
            <w:pPr>
              <w:jc w:val="center"/>
              <w:rPr>
                <w:rFonts w:eastAsia="Calibri"/>
                <w:color w:val="000000" w:themeColor="text1"/>
                <w:sz w:val="20"/>
              </w:rPr>
            </w:pPr>
            <w:r>
              <w:rPr>
                <w:color w:val="000000" w:themeColor="text1"/>
                <w:sz w:val="20"/>
              </w:rPr>
              <w:t>96</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1E261764" w14:textId="77777777" w:rsidR="006E3229" w:rsidRDefault="00B43C9C">
            <w:pPr>
              <w:jc w:val="center"/>
              <w:rPr>
                <w:rFonts w:eastAsia="Calibri"/>
                <w:color w:val="000000" w:themeColor="text1"/>
                <w:sz w:val="20"/>
              </w:rPr>
            </w:pPr>
            <w:r>
              <w:rPr>
                <w:color w:val="000000" w:themeColor="text1"/>
                <w:sz w:val="20"/>
              </w:rPr>
              <w:t>2,4</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365C17D8" w14:textId="77777777" w:rsidR="006E3229" w:rsidRDefault="00B43C9C">
            <w:pPr>
              <w:jc w:val="center"/>
              <w:rPr>
                <w:rFonts w:eastAsia="Calibri"/>
                <w:color w:val="000000" w:themeColor="text1"/>
                <w:sz w:val="20"/>
              </w:rPr>
            </w:pPr>
            <w:r>
              <w:rPr>
                <w:color w:val="000000" w:themeColor="text1"/>
                <w:sz w:val="20"/>
              </w:rPr>
              <w:t>48</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060B7C02" w14:textId="77777777" w:rsidR="006E3229" w:rsidRDefault="00B43C9C">
            <w:pPr>
              <w:jc w:val="center"/>
              <w:rPr>
                <w:rFonts w:eastAsia="Calibri"/>
                <w:color w:val="000000" w:themeColor="text1"/>
                <w:sz w:val="20"/>
              </w:rPr>
            </w:pPr>
            <w:r>
              <w:rPr>
                <w:color w:val="000000" w:themeColor="text1"/>
                <w:sz w:val="20"/>
              </w:rPr>
              <w:t>1,2</w:t>
            </w:r>
          </w:p>
        </w:tc>
      </w:tr>
      <w:tr w:rsidR="006E3229" w14:paraId="412E5079" w14:textId="7777777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1C12E4E8" w14:textId="77777777" w:rsidR="006E3229" w:rsidRDefault="00B43C9C">
            <w:pPr>
              <w:jc w:val="center"/>
              <w:rPr>
                <w:rFonts w:eastAsia="Calibri"/>
                <w:b/>
                <w:bCs/>
                <w:color w:val="000000" w:themeColor="text1"/>
                <w:sz w:val="20"/>
              </w:rPr>
            </w:pPr>
            <w:r>
              <w:rPr>
                <w:b/>
                <w:color w:val="000000" w:themeColor="text1"/>
                <w:sz w:val="20"/>
              </w:rPr>
              <w:t>26-27</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1BE46516" w14:textId="77777777" w:rsidR="006E3229" w:rsidRDefault="00B43C9C">
            <w:pPr>
              <w:jc w:val="center"/>
              <w:rPr>
                <w:rFonts w:eastAsia="Calibri"/>
                <w:color w:val="000000" w:themeColor="text1"/>
                <w:sz w:val="20"/>
              </w:rPr>
            </w:pPr>
            <w:r>
              <w:rPr>
                <w:color w:val="000000" w:themeColor="text1"/>
                <w:sz w:val="20"/>
              </w:rPr>
              <w:t>156</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2406C2F1" w14:textId="77777777" w:rsidR="006E3229" w:rsidRDefault="00B43C9C">
            <w:pPr>
              <w:jc w:val="center"/>
              <w:rPr>
                <w:rFonts w:eastAsia="Calibri"/>
                <w:color w:val="000000" w:themeColor="text1"/>
                <w:sz w:val="20"/>
              </w:rPr>
            </w:pPr>
            <w:r>
              <w:rPr>
                <w:color w:val="000000" w:themeColor="text1"/>
                <w:sz w:val="20"/>
              </w:rPr>
              <w:t>3,9</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32714D63" w14:textId="77777777" w:rsidR="006E3229" w:rsidRDefault="00B43C9C">
            <w:pPr>
              <w:jc w:val="center"/>
              <w:rPr>
                <w:rFonts w:eastAsia="Calibri"/>
                <w:color w:val="000000" w:themeColor="text1"/>
                <w:sz w:val="20"/>
              </w:rPr>
            </w:pPr>
            <w:r>
              <w:rPr>
                <w:color w:val="000000" w:themeColor="text1"/>
                <w:sz w:val="20"/>
              </w:rPr>
              <w:t>104</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3FB2A924" w14:textId="77777777" w:rsidR="006E3229" w:rsidRDefault="00B43C9C">
            <w:pPr>
              <w:jc w:val="center"/>
              <w:rPr>
                <w:rFonts w:eastAsia="Calibri"/>
                <w:color w:val="000000" w:themeColor="text1"/>
                <w:sz w:val="20"/>
              </w:rPr>
            </w:pPr>
            <w:r>
              <w:rPr>
                <w:color w:val="000000" w:themeColor="text1"/>
                <w:sz w:val="20"/>
              </w:rPr>
              <w:t>2,6</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440FA7ED" w14:textId="77777777" w:rsidR="006E3229" w:rsidRDefault="00B43C9C">
            <w:pPr>
              <w:jc w:val="center"/>
              <w:rPr>
                <w:rFonts w:eastAsia="Calibri"/>
                <w:color w:val="000000" w:themeColor="text1"/>
                <w:sz w:val="20"/>
              </w:rPr>
            </w:pPr>
            <w:r>
              <w:rPr>
                <w:color w:val="000000" w:themeColor="text1"/>
                <w:sz w:val="20"/>
              </w:rPr>
              <w:t>52</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27AA092A" w14:textId="77777777" w:rsidR="006E3229" w:rsidRDefault="00B43C9C">
            <w:pPr>
              <w:jc w:val="center"/>
              <w:rPr>
                <w:rFonts w:eastAsia="Calibri"/>
                <w:color w:val="000000" w:themeColor="text1"/>
                <w:sz w:val="20"/>
              </w:rPr>
            </w:pPr>
            <w:r>
              <w:rPr>
                <w:color w:val="000000" w:themeColor="text1"/>
                <w:sz w:val="20"/>
              </w:rPr>
              <w:t>1,3</w:t>
            </w:r>
          </w:p>
        </w:tc>
      </w:tr>
      <w:tr w:rsidR="006E3229" w14:paraId="73569749" w14:textId="7777777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28D1FEFC" w14:textId="77777777" w:rsidR="006E3229" w:rsidRDefault="00B43C9C">
            <w:pPr>
              <w:jc w:val="center"/>
              <w:rPr>
                <w:rFonts w:eastAsia="Calibri"/>
                <w:b/>
                <w:bCs/>
                <w:color w:val="000000" w:themeColor="text1"/>
                <w:sz w:val="20"/>
              </w:rPr>
            </w:pPr>
            <w:r>
              <w:rPr>
                <w:b/>
                <w:color w:val="000000" w:themeColor="text1"/>
                <w:sz w:val="20"/>
              </w:rPr>
              <w:t>28-29</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1B2FD8E6" w14:textId="77777777" w:rsidR="006E3229" w:rsidRDefault="00B43C9C">
            <w:pPr>
              <w:jc w:val="center"/>
              <w:rPr>
                <w:rFonts w:eastAsia="Calibri"/>
                <w:color w:val="000000" w:themeColor="text1"/>
                <w:sz w:val="20"/>
              </w:rPr>
            </w:pPr>
            <w:r>
              <w:rPr>
                <w:color w:val="000000" w:themeColor="text1"/>
                <w:sz w:val="20"/>
              </w:rPr>
              <w:t>168</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15A0B0BF" w14:textId="77777777" w:rsidR="006E3229" w:rsidRDefault="00B43C9C">
            <w:pPr>
              <w:jc w:val="center"/>
              <w:rPr>
                <w:rFonts w:eastAsia="Calibri"/>
                <w:color w:val="000000" w:themeColor="text1"/>
                <w:sz w:val="20"/>
              </w:rPr>
            </w:pPr>
            <w:r>
              <w:rPr>
                <w:color w:val="000000" w:themeColor="text1"/>
                <w:sz w:val="20"/>
              </w:rPr>
              <w:t>4,2</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50A943E9" w14:textId="77777777" w:rsidR="006E3229" w:rsidRDefault="00B43C9C">
            <w:pPr>
              <w:jc w:val="center"/>
              <w:rPr>
                <w:rFonts w:eastAsia="Calibri"/>
                <w:color w:val="000000" w:themeColor="text1"/>
                <w:sz w:val="20"/>
              </w:rPr>
            </w:pPr>
            <w:r>
              <w:rPr>
                <w:color w:val="000000" w:themeColor="text1"/>
                <w:sz w:val="20"/>
              </w:rPr>
              <w:t>112</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089F2826" w14:textId="77777777" w:rsidR="006E3229" w:rsidRDefault="00B43C9C">
            <w:pPr>
              <w:jc w:val="center"/>
              <w:rPr>
                <w:rFonts w:eastAsia="Calibri"/>
                <w:color w:val="000000" w:themeColor="text1"/>
                <w:sz w:val="20"/>
              </w:rPr>
            </w:pPr>
            <w:r>
              <w:rPr>
                <w:color w:val="000000" w:themeColor="text1"/>
                <w:sz w:val="20"/>
              </w:rPr>
              <w:t>2,8</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5CD3FFDC" w14:textId="77777777" w:rsidR="006E3229" w:rsidRDefault="00B43C9C">
            <w:pPr>
              <w:jc w:val="center"/>
              <w:rPr>
                <w:rFonts w:eastAsia="Calibri"/>
                <w:color w:val="000000" w:themeColor="text1"/>
                <w:sz w:val="20"/>
              </w:rPr>
            </w:pPr>
            <w:r>
              <w:rPr>
                <w:color w:val="000000" w:themeColor="text1"/>
                <w:sz w:val="20"/>
              </w:rPr>
              <w:t>56</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4C0B94C1" w14:textId="77777777" w:rsidR="006E3229" w:rsidRDefault="00B43C9C">
            <w:pPr>
              <w:jc w:val="center"/>
              <w:rPr>
                <w:rFonts w:eastAsia="Calibri"/>
                <w:color w:val="000000" w:themeColor="text1"/>
                <w:sz w:val="20"/>
              </w:rPr>
            </w:pPr>
            <w:r>
              <w:rPr>
                <w:color w:val="000000" w:themeColor="text1"/>
                <w:sz w:val="20"/>
              </w:rPr>
              <w:t>1,4</w:t>
            </w:r>
          </w:p>
        </w:tc>
      </w:tr>
      <w:tr w:rsidR="006E3229" w14:paraId="6E492F0A" w14:textId="7777777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5BF6D04B" w14:textId="77777777" w:rsidR="006E3229" w:rsidRDefault="00B43C9C">
            <w:pPr>
              <w:jc w:val="center"/>
              <w:rPr>
                <w:rFonts w:eastAsia="Calibri"/>
                <w:b/>
                <w:bCs/>
                <w:color w:val="000000" w:themeColor="text1"/>
                <w:sz w:val="20"/>
              </w:rPr>
            </w:pPr>
            <w:r>
              <w:rPr>
                <w:b/>
                <w:color w:val="000000" w:themeColor="text1"/>
                <w:sz w:val="20"/>
              </w:rPr>
              <w:t>30-31</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26A1A1FE" w14:textId="77777777" w:rsidR="006E3229" w:rsidRDefault="00B43C9C">
            <w:pPr>
              <w:jc w:val="center"/>
              <w:rPr>
                <w:rFonts w:eastAsia="Calibri"/>
                <w:color w:val="000000" w:themeColor="text1"/>
                <w:sz w:val="20"/>
              </w:rPr>
            </w:pPr>
            <w:r>
              <w:rPr>
                <w:color w:val="000000" w:themeColor="text1"/>
                <w:sz w:val="20"/>
              </w:rPr>
              <w:t>180</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21D05176" w14:textId="77777777" w:rsidR="006E3229" w:rsidRDefault="00B43C9C">
            <w:pPr>
              <w:jc w:val="center"/>
              <w:rPr>
                <w:rFonts w:eastAsia="Calibri"/>
                <w:color w:val="000000" w:themeColor="text1"/>
                <w:sz w:val="20"/>
              </w:rPr>
            </w:pPr>
            <w:r>
              <w:rPr>
                <w:color w:val="000000" w:themeColor="text1"/>
                <w:sz w:val="20"/>
              </w:rPr>
              <w:t>4,5</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4FD1DA95" w14:textId="77777777" w:rsidR="006E3229" w:rsidRDefault="00B43C9C">
            <w:pPr>
              <w:jc w:val="center"/>
              <w:rPr>
                <w:rFonts w:eastAsia="Calibri"/>
                <w:color w:val="000000" w:themeColor="text1"/>
                <w:sz w:val="20"/>
              </w:rPr>
            </w:pPr>
            <w:r>
              <w:rPr>
                <w:color w:val="000000" w:themeColor="text1"/>
                <w:sz w:val="20"/>
              </w:rPr>
              <w:t>120</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40BB613E" w14:textId="77777777" w:rsidR="006E3229" w:rsidRDefault="00B43C9C">
            <w:pPr>
              <w:jc w:val="center"/>
              <w:rPr>
                <w:rFonts w:eastAsia="Calibri"/>
                <w:color w:val="000000" w:themeColor="text1"/>
                <w:sz w:val="20"/>
              </w:rPr>
            </w:pPr>
            <w:r>
              <w:rPr>
                <w:color w:val="000000" w:themeColor="text1"/>
                <w:sz w:val="20"/>
              </w:rPr>
              <w:t>3</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6F8E5C91" w14:textId="77777777" w:rsidR="006E3229" w:rsidRDefault="00B43C9C">
            <w:pPr>
              <w:jc w:val="center"/>
              <w:rPr>
                <w:rFonts w:eastAsia="Calibri"/>
                <w:color w:val="000000" w:themeColor="text1"/>
                <w:sz w:val="20"/>
              </w:rPr>
            </w:pPr>
            <w:r>
              <w:rPr>
                <w:color w:val="000000" w:themeColor="text1"/>
                <w:sz w:val="20"/>
              </w:rPr>
              <w:t>60</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438206BC" w14:textId="77777777" w:rsidR="006E3229" w:rsidRDefault="00B43C9C">
            <w:pPr>
              <w:jc w:val="center"/>
              <w:rPr>
                <w:rFonts w:eastAsia="Calibri"/>
                <w:color w:val="000000" w:themeColor="text1"/>
                <w:sz w:val="20"/>
              </w:rPr>
            </w:pPr>
            <w:r>
              <w:rPr>
                <w:color w:val="000000" w:themeColor="text1"/>
                <w:sz w:val="20"/>
              </w:rPr>
              <w:t>1,5</w:t>
            </w:r>
          </w:p>
        </w:tc>
      </w:tr>
      <w:tr w:rsidR="006E3229" w14:paraId="6C05DCB1" w14:textId="7777777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089E7D2F" w14:textId="77777777" w:rsidR="006E3229" w:rsidRDefault="00B43C9C">
            <w:pPr>
              <w:jc w:val="center"/>
              <w:rPr>
                <w:rFonts w:eastAsia="Calibri"/>
                <w:b/>
                <w:bCs/>
                <w:color w:val="000000" w:themeColor="text1"/>
                <w:sz w:val="20"/>
              </w:rPr>
            </w:pPr>
            <w:r>
              <w:rPr>
                <w:b/>
                <w:color w:val="000000" w:themeColor="text1"/>
                <w:sz w:val="20"/>
              </w:rPr>
              <w:t>32-33</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433532F0" w14:textId="77777777" w:rsidR="006E3229" w:rsidRDefault="00B43C9C">
            <w:pPr>
              <w:jc w:val="center"/>
              <w:rPr>
                <w:rFonts w:eastAsia="Calibri"/>
                <w:color w:val="000000" w:themeColor="text1"/>
                <w:sz w:val="20"/>
              </w:rPr>
            </w:pPr>
            <w:r>
              <w:rPr>
                <w:color w:val="000000" w:themeColor="text1"/>
                <w:sz w:val="20"/>
              </w:rPr>
              <w:t>192</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6AF00A3C" w14:textId="77777777" w:rsidR="006E3229" w:rsidRDefault="00B43C9C">
            <w:pPr>
              <w:jc w:val="center"/>
              <w:rPr>
                <w:rFonts w:eastAsia="Calibri"/>
                <w:color w:val="000000" w:themeColor="text1"/>
                <w:sz w:val="20"/>
              </w:rPr>
            </w:pPr>
            <w:r>
              <w:rPr>
                <w:color w:val="000000" w:themeColor="text1"/>
                <w:sz w:val="20"/>
              </w:rPr>
              <w:t>4,8</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15C592F7" w14:textId="77777777" w:rsidR="006E3229" w:rsidRDefault="00B43C9C">
            <w:pPr>
              <w:jc w:val="center"/>
              <w:rPr>
                <w:rFonts w:eastAsia="Calibri"/>
                <w:color w:val="000000" w:themeColor="text1"/>
                <w:sz w:val="20"/>
              </w:rPr>
            </w:pPr>
            <w:r>
              <w:rPr>
                <w:color w:val="000000" w:themeColor="text1"/>
                <w:sz w:val="20"/>
              </w:rPr>
              <w:t>128</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57A3C840" w14:textId="77777777" w:rsidR="006E3229" w:rsidRDefault="00B43C9C">
            <w:pPr>
              <w:jc w:val="center"/>
              <w:rPr>
                <w:rFonts w:eastAsia="Calibri"/>
                <w:color w:val="000000" w:themeColor="text1"/>
                <w:sz w:val="20"/>
              </w:rPr>
            </w:pPr>
            <w:r>
              <w:rPr>
                <w:color w:val="000000" w:themeColor="text1"/>
                <w:sz w:val="20"/>
              </w:rPr>
              <w:t>3,2</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414613C5" w14:textId="77777777" w:rsidR="006E3229" w:rsidRDefault="00B43C9C">
            <w:pPr>
              <w:jc w:val="center"/>
              <w:rPr>
                <w:rFonts w:eastAsia="Calibri"/>
                <w:color w:val="000000" w:themeColor="text1"/>
                <w:sz w:val="20"/>
              </w:rPr>
            </w:pPr>
            <w:r>
              <w:rPr>
                <w:color w:val="000000" w:themeColor="text1"/>
                <w:sz w:val="20"/>
              </w:rPr>
              <w:t>64</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38714236" w14:textId="77777777" w:rsidR="006E3229" w:rsidRDefault="00B43C9C">
            <w:pPr>
              <w:jc w:val="center"/>
              <w:rPr>
                <w:rFonts w:eastAsia="Calibri"/>
                <w:color w:val="000000" w:themeColor="text1"/>
                <w:sz w:val="20"/>
              </w:rPr>
            </w:pPr>
            <w:r>
              <w:rPr>
                <w:color w:val="000000" w:themeColor="text1"/>
                <w:sz w:val="20"/>
              </w:rPr>
              <w:t>1,6</w:t>
            </w:r>
          </w:p>
        </w:tc>
      </w:tr>
      <w:tr w:rsidR="006E3229" w14:paraId="1EB37AFE" w14:textId="7777777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37F072A7" w14:textId="77777777" w:rsidR="006E3229" w:rsidRDefault="00B43C9C">
            <w:pPr>
              <w:jc w:val="center"/>
              <w:rPr>
                <w:rFonts w:eastAsia="Calibri"/>
                <w:b/>
                <w:bCs/>
                <w:color w:val="000000" w:themeColor="text1"/>
                <w:sz w:val="20"/>
              </w:rPr>
            </w:pPr>
            <w:r>
              <w:rPr>
                <w:b/>
                <w:color w:val="000000" w:themeColor="text1"/>
                <w:sz w:val="20"/>
              </w:rPr>
              <w:t>34-35</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1E6B505B" w14:textId="77777777" w:rsidR="006E3229" w:rsidRDefault="00B43C9C">
            <w:pPr>
              <w:jc w:val="center"/>
              <w:rPr>
                <w:rFonts w:eastAsia="Calibri"/>
                <w:color w:val="000000" w:themeColor="text1"/>
                <w:sz w:val="20"/>
              </w:rPr>
            </w:pPr>
            <w:r>
              <w:rPr>
                <w:color w:val="000000" w:themeColor="text1"/>
                <w:sz w:val="20"/>
              </w:rPr>
              <w:t>204</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15F664D0" w14:textId="77777777" w:rsidR="006E3229" w:rsidRDefault="00B43C9C">
            <w:pPr>
              <w:jc w:val="center"/>
              <w:rPr>
                <w:rFonts w:eastAsia="Calibri"/>
                <w:color w:val="000000" w:themeColor="text1"/>
                <w:sz w:val="20"/>
              </w:rPr>
            </w:pPr>
            <w:r>
              <w:rPr>
                <w:color w:val="000000" w:themeColor="text1"/>
                <w:sz w:val="20"/>
              </w:rPr>
              <w:t>5,1</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28864A6B" w14:textId="77777777" w:rsidR="006E3229" w:rsidRDefault="00B43C9C">
            <w:pPr>
              <w:jc w:val="center"/>
              <w:rPr>
                <w:rFonts w:eastAsia="Calibri"/>
                <w:color w:val="000000" w:themeColor="text1"/>
                <w:sz w:val="20"/>
              </w:rPr>
            </w:pPr>
            <w:r>
              <w:rPr>
                <w:color w:val="000000" w:themeColor="text1"/>
                <w:sz w:val="20"/>
              </w:rPr>
              <w:t>136</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42E1AFF5" w14:textId="77777777" w:rsidR="006E3229" w:rsidRDefault="00B43C9C">
            <w:pPr>
              <w:jc w:val="center"/>
              <w:rPr>
                <w:rFonts w:eastAsia="Calibri"/>
                <w:color w:val="000000" w:themeColor="text1"/>
                <w:sz w:val="20"/>
              </w:rPr>
            </w:pPr>
            <w:r>
              <w:rPr>
                <w:color w:val="000000" w:themeColor="text1"/>
                <w:sz w:val="20"/>
              </w:rPr>
              <w:t>3,4</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67280F9C" w14:textId="77777777" w:rsidR="006E3229" w:rsidRDefault="00B43C9C">
            <w:pPr>
              <w:jc w:val="center"/>
              <w:rPr>
                <w:rFonts w:eastAsia="Calibri"/>
                <w:color w:val="000000" w:themeColor="text1"/>
                <w:sz w:val="20"/>
              </w:rPr>
            </w:pPr>
            <w:r>
              <w:rPr>
                <w:color w:val="000000" w:themeColor="text1"/>
                <w:sz w:val="20"/>
              </w:rPr>
              <w:t>68</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06EBCA10" w14:textId="77777777" w:rsidR="006E3229" w:rsidRDefault="00B43C9C">
            <w:pPr>
              <w:jc w:val="center"/>
              <w:rPr>
                <w:rFonts w:eastAsia="Calibri"/>
                <w:color w:val="000000" w:themeColor="text1"/>
                <w:sz w:val="20"/>
              </w:rPr>
            </w:pPr>
            <w:r>
              <w:rPr>
                <w:color w:val="000000" w:themeColor="text1"/>
                <w:sz w:val="20"/>
              </w:rPr>
              <w:t>1,7</w:t>
            </w:r>
          </w:p>
        </w:tc>
      </w:tr>
      <w:tr w:rsidR="006E3229" w14:paraId="1E3826C6" w14:textId="7777777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66821812" w14:textId="77777777" w:rsidR="006E3229" w:rsidRDefault="00B43C9C">
            <w:pPr>
              <w:jc w:val="center"/>
              <w:rPr>
                <w:rFonts w:eastAsia="Calibri"/>
                <w:b/>
                <w:bCs/>
                <w:color w:val="000000" w:themeColor="text1"/>
                <w:sz w:val="20"/>
              </w:rPr>
            </w:pPr>
            <w:r>
              <w:rPr>
                <w:b/>
                <w:color w:val="000000" w:themeColor="text1"/>
                <w:sz w:val="20"/>
              </w:rPr>
              <w:t>36-37</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27E2546A" w14:textId="77777777" w:rsidR="006E3229" w:rsidRDefault="00B43C9C">
            <w:pPr>
              <w:jc w:val="center"/>
              <w:rPr>
                <w:rFonts w:eastAsia="Calibri"/>
                <w:color w:val="000000" w:themeColor="text1"/>
                <w:sz w:val="20"/>
              </w:rPr>
            </w:pPr>
            <w:r>
              <w:rPr>
                <w:color w:val="000000" w:themeColor="text1"/>
                <w:sz w:val="20"/>
              </w:rPr>
              <w:t>216</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30CD333C" w14:textId="77777777" w:rsidR="006E3229" w:rsidRDefault="00B43C9C">
            <w:pPr>
              <w:jc w:val="center"/>
              <w:rPr>
                <w:rFonts w:eastAsia="Calibri"/>
                <w:color w:val="000000" w:themeColor="text1"/>
                <w:sz w:val="20"/>
              </w:rPr>
            </w:pPr>
            <w:r>
              <w:rPr>
                <w:color w:val="000000" w:themeColor="text1"/>
                <w:sz w:val="20"/>
              </w:rPr>
              <w:t>5,4</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4B335EA3" w14:textId="77777777" w:rsidR="006E3229" w:rsidRDefault="00B43C9C">
            <w:pPr>
              <w:jc w:val="center"/>
              <w:rPr>
                <w:rFonts w:eastAsia="Calibri"/>
                <w:color w:val="000000" w:themeColor="text1"/>
                <w:sz w:val="20"/>
              </w:rPr>
            </w:pPr>
            <w:r>
              <w:rPr>
                <w:color w:val="000000" w:themeColor="text1"/>
                <w:sz w:val="20"/>
              </w:rPr>
              <w:t>144</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0CC264E4" w14:textId="77777777" w:rsidR="006E3229" w:rsidRDefault="00B43C9C">
            <w:pPr>
              <w:jc w:val="center"/>
              <w:rPr>
                <w:rFonts w:eastAsia="Calibri"/>
                <w:color w:val="000000" w:themeColor="text1"/>
                <w:sz w:val="20"/>
              </w:rPr>
            </w:pPr>
            <w:r>
              <w:rPr>
                <w:color w:val="000000" w:themeColor="text1"/>
                <w:sz w:val="20"/>
              </w:rPr>
              <w:t>3,6</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18A531DB" w14:textId="77777777" w:rsidR="006E3229" w:rsidRDefault="00B43C9C">
            <w:pPr>
              <w:jc w:val="center"/>
              <w:rPr>
                <w:rFonts w:eastAsia="Calibri"/>
                <w:color w:val="000000" w:themeColor="text1"/>
                <w:sz w:val="20"/>
              </w:rPr>
            </w:pPr>
            <w:r>
              <w:rPr>
                <w:color w:val="000000" w:themeColor="text1"/>
                <w:sz w:val="20"/>
              </w:rPr>
              <w:t>72</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14766CC9" w14:textId="77777777" w:rsidR="006E3229" w:rsidRDefault="00B43C9C">
            <w:pPr>
              <w:jc w:val="center"/>
              <w:rPr>
                <w:rFonts w:eastAsia="Calibri"/>
                <w:color w:val="000000" w:themeColor="text1"/>
                <w:sz w:val="20"/>
              </w:rPr>
            </w:pPr>
            <w:r>
              <w:rPr>
                <w:color w:val="000000" w:themeColor="text1"/>
                <w:sz w:val="20"/>
              </w:rPr>
              <w:t>1,8</w:t>
            </w:r>
          </w:p>
        </w:tc>
      </w:tr>
      <w:tr w:rsidR="006E3229" w14:paraId="44A723B3" w14:textId="7777777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6B3445E8" w14:textId="77777777" w:rsidR="006E3229" w:rsidRDefault="00B43C9C">
            <w:pPr>
              <w:jc w:val="center"/>
              <w:rPr>
                <w:rFonts w:eastAsia="Calibri"/>
                <w:b/>
                <w:bCs/>
                <w:color w:val="000000" w:themeColor="text1"/>
                <w:sz w:val="20"/>
              </w:rPr>
            </w:pPr>
            <w:r>
              <w:rPr>
                <w:b/>
                <w:color w:val="000000" w:themeColor="text1"/>
                <w:sz w:val="20"/>
              </w:rPr>
              <w:t>38-39</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4F6AB62A" w14:textId="77777777" w:rsidR="006E3229" w:rsidRDefault="00B43C9C">
            <w:pPr>
              <w:jc w:val="center"/>
              <w:rPr>
                <w:rFonts w:eastAsia="Calibri"/>
                <w:color w:val="000000" w:themeColor="text1"/>
                <w:sz w:val="20"/>
              </w:rPr>
            </w:pPr>
            <w:r>
              <w:rPr>
                <w:color w:val="000000" w:themeColor="text1"/>
                <w:sz w:val="20"/>
              </w:rPr>
              <w:t>228</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4BDB3DDA" w14:textId="77777777" w:rsidR="006E3229" w:rsidRDefault="00B43C9C">
            <w:pPr>
              <w:jc w:val="center"/>
              <w:rPr>
                <w:rFonts w:eastAsia="Calibri"/>
                <w:color w:val="000000" w:themeColor="text1"/>
                <w:sz w:val="20"/>
              </w:rPr>
            </w:pPr>
            <w:r>
              <w:rPr>
                <w:color w:val="000000" w:themeColor="text1"/>
                <w:sz w:val="20"/>
              </w:rPr>
              <w:t>5,7</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34E0B0CF" w14:textId="77777777" w:rsidR="006E3229" w:rsidRDefault="00B43C9C">
            <w:pPr>
              <w:jc w:val="center"/>
              <w:rPr>
                <w:rFonts w:eastAsia="Calibri"/>
                <w:color w:val="000000" w:themeColor="text1"/>
                <w:sz w:val="20"/>
              </w:rPr>
            </w:pPr>
            <w:r>
              <w:rPr>
                <w:color w:val="000000" w:themeColor="text1"/>
                <w:sz w:val="20"/>
              </w:rPr>
              <w:t>152</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2AEBBC28" w14:textId="77777777" w:rsidR="006E3229" w:rsidRDefault="00B43C9C">
            <w:pPr>
              <w:jc w:val="center"/>
              <w:rPr>
                <w:rFonts w:eastAsia="Calibri"/>
                <w:color w:val="000000" w:themeColor="text1"/>
                <w:sz w:val="20"/>
              </w:rPr>
            </w:pPr>
            <w:r>
              <w:rPr>
                <w:color w:val="000000" w:themeColor="text1"/>
                <w:sz w:val="20"/>
              </w:rPr>
              <w:t>3,8</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309E24E5" w14:textId="77777777" w:rsidR="006E3229" w:rsidRDefault="00B43C9C">
            <w:pPr>
              <w:jc w:val="center"/>
              <w:rPr>
                <w:rFonts w:eastAsia="Calibri"/>
                <w:color w:val="000000" w:themeColor="text1"/>
                <w:sz w:val="20"/>
              </w:rPr>
            </w:pPr>
            <w:r>
              <w:rPr>
                <w:color w:val="000000" w:themeColor="text1"/>
                <w:sz w:val="20"/>
              </w:rPr>
              <w:t>76</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3DFA4147" w14:textId="77777777" w:rsidR="006E3229" w:rsidRDefault="00B43C9C">
            <w:pPr>
              <w:jc w:val="center"/>
              <w:rPr>
                <w:rFonts w:eastAsia="Calibri"/>
                <w:color w:val="000000" w:themeColor="text1"/>
                <w:sz w:val="20"/>
              </w:rPr>
            </w:pPr>
            <w:r>
              <w:rPr>
                <w:color w:val="000000" w:themeColor="text1"/>
                <w:sz w:val="20"/>
              </w:rPr>
              <w:t>1,9</w:t>
            </w:r>
          </w:p>
        </w:tc>
      </w:tr>
      <w:tr w:rsidR="006E3229" w14:paraId="7DD5D1D7" w14:textId="77777777">
        <w:trPr>
          <w:trHeight w:val="300"/>
        </w:trPr>
        <w:tc>
          <w:tcPr>
            <w:tcW w:w="1294" w:type="dxa"/>
            <w:tcBorders>
              <w:top w:val="single" w:sz="4" w:space="0" w:color="auto"/>
              <w:left w:val="single" w:sz="8" w:space="0" w:color="auto"/>
              <w:bottom w:val="single" w:sz="8" w:space="0" w:color="auto"/>
              <w:right w:val="single" w:sz="8" w:space="0" w:color="auto"/>
            </w:tcBorders>
            <w:tcMar>
              <w:top w:w="15" w:type="dxa"/>
              <w:left w:w="15" w:type="dxa"/>
              <w:right w:w="15" w:type="dxa"/>
            </w:tcMar>
            <w:vAlign w:val="bottom"/>
          </w:tcPr>
          <w:p w14:paraId="5B115AE0" w14:textId="77777777" w:rsidR="006E3229" w:rsidRDefault="00B43C9C">
            <w:pPr>
              <w:jc w:val="center"/>
              <w:rPr>
                <w:rFonts w:eastAsia="Calibri"/>
                <w:b/>
                <w:bCs/>
                <w:color w:val="000000" w:themeColor="text1"/>
                <w:sz w:val="20"/>
              </w:rPr>
            </w:pPr>
            <w:r>
              <w:rPr>
                <w:b/>
                <w:color w:val="000000" w:themeColor="text1"/>
                <w:sz w:val="20"/>
              </w:rPr>
              <w:t>40 kg o más</w:t>
            </w:r>
          </w:p>
        </w:tc>
        <w:tc>
          <w:tcPr>
            <w:tcW w:w="1294" w:type="dxa"/>
            <w:tcBorders>
              <w:top w:val="single" w:sz="4" w:space="0" w:color="auto"/>
              <w:left w:val="single" w:sz="8" w:space="0" w:color="auto"/>
              <w:bottom w:val="single" w:sz="8" w:space="0" w:color="auto"/>
              <w:right w:val="single" w:sz="4" w:space="0" w:color="auto"/>
            </w:tcBorders>
            <w:tcMar>
              <w:top w:w="15" w:type="dxa"/>
              <w:left w:w="15" w:type="dxa"/>
              <w:right w:w="15" w:type="dxa"/>
            </w:tcMar>
            <w:vAlign w:val="bottom"/>
          </w:tcPr>
          <w:p w14:paraId="43D81CD7" w14:textId="77777777" w:rsidR="006E3229" w:rsidRDefault="00B43C9C">
            <w:pPr>
              <w:jc w:val="center"/>
              <w:rPr>
                <w:rFonts w:eastAsia="Calibri"/>
                <w:color w:val="000000" w:themeColor="text1"/>
                <w:sz w:val="20"/>
              </w:rPr>
            </w:pPr>
            <w:r>
              <w:rPr>
                <w:color w:val="000000" w:themeColor="text1"/>
                <w:sz w:val="20"/>
              </w:rPr>
              <w:t>240</w:t>
            </w:r>
          </w:p>
        </w:tc>
        <w:tc>
          <w:tcPr>
            <w:tcW w:w="1294" w:type="dxa"/>
            <w:tcBorders>
              <w:top w:val="single" w:sz="4" w:space="0" w:color="auto"/>
              <w:left w:val="single" w:sz="4" w:space="0" w:color="auto"/>
              <w:bottom w:val="single" w:sz="8" w:space="0" w:color="auto"/>
              <w:right w:val="nil"/>
            </w:tcBorders>
            <w:tcMar>
              <w:top w:w="15" w:type="dxa"/>
              <w:left w:w="15" w:type="dxa"/>
              <w:right w:w="15" w:type="dxa"/>
            </w:tcMar>
            <w:vAlign w:val="bottom"/>
          </w:tcPr>
          <w:p w14:paraId="54D7394C" w14:textId="77777777" w:rsidR="006E3229" w:rsidRDefault="00B43C9C">
            <w:pPr>
              <w:jc w:val="center"/>
              <w:rPr>
                <w:rFonts w:eastAsia="Calibri"/>
                <w:color w:val="000000" w:themeColor="text1"/>
                <w:sz w:val="20"/>
              </w:rPr>
            </w:pPr>
            <w:r>
              <w:rPr>
                <w:color w:val="000000" w:themeColor="text1"/>
                <w:sz w:val="20"/>
              </w:rPr>
              <w:t>6</w:t>
            </w:r>
          </w:p>
        </w:tc>
        <w:tc>
          <w:tcPr>
            <w:tcW w:w="1294" w:type="dxa"/>
            <w:tcBorders>
              <w:top w:val="single" w:sz="4" w:space="0" w:color="auto"/>
              <w:left w:val="single" w:sz="8" w:space="0" w:color="auto"/>
              <w:bottom w:val="single" w:sz="8" w:space="0" w:color="auto"/>
              <w:right w:val="single" w:sz="4" w:space="0" w:color="auto"/>
            </w:tcBorders>
            <w:tcMar>
              <w:top w:w="15" w:type="dxa"/>
              <w:left w:w="15" w:type="dxa"/>
              <w:right w:w="15" w:type="dxa"/>
            </w:tcMar>
            <w:vAlign w:val="bottom"/>
          </w:tcPr>
          <w:p w14:paraId="5FBE069A" w14:textId="77777777" w:rsidR="006E3229" w:rsidRDefault="00B43C9C">
            <w:pPr>
              <w:jc w:val="center"/>
              <w:rPr>
                <w:rFonts w:eastAsia="Calibri"/>
                <w:color w:val="000000" w:themeColor="text1"/>
                <w:sz w:val="20"/>
              </w:rPr>
            </w:pPr>
            <w:r>
              <w:rPr>
                <w:color w:val="000000" w:themeColor="text1"/>
                <w:sz w:val="20"/>
              </w:rPr>
              <w:t>160</w:t>
            </w:r>
          </w:p>
        </w:tc>
        <w:tc>
          <w:tcPr>
            <w:tcW w:w="1294" w:type="dxa"/>
            <w:tcBorders>
              <w:top w:val="single" w:sz="4" w:space="0" w:color="auto"/>
              <w:left w:val="single" w:sz="4" w:space="0" w:color="auto"/>
              <w:bottom w:val="single" w:sz="8" w:space="0" w:color="auto"/>
              <w:right w:val="single" w:sz="8" w:space="0" w:color="auto"/>
            </w:tcBorders>
            <w:tcMar>
              <w:top w:w="15" w:type="dxa"/>
              <w:left w:w="15" w:type="dxa"/>
              <w:right w:w="15" w:type="dxa"/>
            </w:tcMar>
            <w:vAlign w:val="bottom"/>
          </w:tcPr>
          <w:p w14:paraId="181034AA" w14:textId="77777777" w:rsidR="006E3229" w:rsidRDefault="00B43C9C">
            <w:pPr>
              <w:jc w:val="center"/>
              <w:rPr>
                <w:rFonts w:eastAsia="Calibri"/>
                <w:color w:val="000000" w:themeColor="text1"/>
                <w:sz w:val="20"/>
              </w:rPr>
            </w:pPr>
            <w:r>
              <w:rPr>
                <w:color w:val="000000" w:themeColor="text1"/>
                <w:sz w:val="20"/>
              </w:rPr>
              <w:t>4</w:t>
            </w:r>
          </w:p>
        </w:tc>
        <w:tc>
          <w:tcPr>
            <w:tcW w:w="1294" w:type="dxa"/>
            <w:tcBorders>
              <w:top w:val="single" w:sz="4" w:space="0" w:color="auto"/>
              <w:left w:val="single" w:sz="8" w:space="0" w:color="auto"/>
              <w:bottom w:val="single" w:sz="8" w:space="0" w:color="auto"/>
              <w:right w:val="single" w:sz="4" w:space="0" w:color="auto"/>
            </w:tcBorders>
            <w:tcMar>
              <w:top w:w="15" w:type="dxa"/>
              <w:left w:w="15" w:type="dxa"/>
              <w:right w:w="15" w:type="dxa"/>
            </w:tcMar>
            <w:vAlign w:val="bottom"/>
          </w:tcPr>
          <w:p w14:paraId="40C114C1" w14:textId="77777777" w:rsidR="006E3229" w:rsidRDefault="00B43C9C">
            <w:pPr>
              <w:jc w:val="center"/>
              <w:rPr>
                <w:rFonts w:eastAsia="Calibri"/>
                <w:color w:val="000000" w:themeColor="text1"/>
                <w:sz w:val="20"/>
              </w:rPr>
            </w:pPr>
            <w:r>
              <w:rPr>
                <w:color w:val="000000" w:themeColor="text1"/>
                <w:sz w:val="20"/>
              </w:rPr>
              <w:t>80</w:t>
            </w:r>
          </w:p>
        </w:tc>
        <w:tc>
          <w:tcPr>
            <w:tcW w:w="1294" w:type="dxa"/>
            <w:tcBorders>
              <w:top w:val="single" w:sz="4" w:space="0" w:color="auto"/>
              <w:left w:val="single" w:sz="4" w:space="0" w:color="auto"/>
              <w:bottom w:val="single" w:sz="8" w:space="0" w:color="auto"/>
              <w:right w:val="single" w:sz="8" w:space="0" w:color="auto"/>
            </w:tcBorders>
            <w:tcMar>
              <w:top w:w="15" w:type="dxa"/>
              <w:left w:w="15" w:type="dxa"/>
              <w:right w:w="15" w:type="dxa"/>
            </w:tcMar>
            <w:vAlign w:val="bottom"/>
          </w:tcPr>
          <w:p w14:paraId="4A461664" w14:textId="77777777" w:rsidR="006E3229" w:rsidRDefault="00B43C9C">
            <w:pPr>
              <w:jc w:val="center"/>
              <w:rPr>
                <w:rFonts w:eastAsia="Calibri"/>
                <w:color w:val="000000" w:themeColor="text1"/>
                <w:sz w:val="20"/>
              </w:rPr>
            </w:pPr>
            <w:r>
              <w:rPr>
                <w:color w:val="000000" w:themeColor="text1"/>
                <w:sz w:val="20"/>
              </w:rPr>
              <w:t>2</w:t>
            </w:r>
          </w:p>
        </w:tc>
      </w:tr>
    </w:tbl>
    <w:p w14:paraId="0EE02B4E" w14:textId="77777777" w:rsidR="006E3229" w:rsidRDefault="006E3229">
      <w:pPr>
        <w:spacing w:line="240" w:lineRule="auto"/>
        <w:jc w:val="both"/>
      </w:pPr>
    </w:p>
    <w:p w14:paraId="48EA0F1A" w14:textId="77777777" w:rsidR="006E3229" w:rsidRDefault="00B43C9C">
      <w:pPr>
        <w:spacing w:line="240" w:lineRule="auto"/>
      </w:pPr>
      <w:r>
        <w:t xml:space="preserve">La dosis de </w:t>
      </w:r>
      <w:proofErr w:type="spellStart"/>
      <w:r>
        <w:t>vamorolona</w:t>
      </w:r>
      <w:proofErr w:type="spellEnd"/>
      <w:r>
        <w:t xml:space="preserve"> no debe reducirse bruscamente si el tratamiento se ha administrado durante más de una semana (ver sección 4.4). La reducción de dosis debe hacerse progresivamente a lo largo de varias semanas, en intervalos de aproximadamente un 20 % de disminución con respecto a la dosis anterior. La duración del tratamiento en cada dosis de reducción debe ajustarse en función de la tolerancia de cada paciente.</w:t>
      </w:r>
    </w:p>
    <w:p w14:paraId="56522206" w14:textId="77777777" w:rsidR="006E3229" w:rsidRDefault="006E3229">
      <w:pPr>
        <w:spacing w:line="240" w:lineRule="auto"/>
        <w:rPr>
          <w:szCs w:val="22"/>
        </w:rPr>
      </w:pPr>
    </w:p>
    <w:p w14:paraId="27F02842" w14:textId="77777777" w:rsidR="006E3229" w:rsidRDefault="00B43C9C">
      <w:pPr>
        <w:keepNext/>
        <w:spacing w:line="240" w:lineRule="auto"/>
        <w:rPr>
          <w:u w:val="single"/>
        </w:rPr>
      </w:pPr>
      <w:r>
        <w:rPr>
          <w:u w:val="single"/>
        </w:rPr>
        <w:t>Poblaciones especiales</w:t>
      </w:r>
    </w:p>
    <w:p w14:paraId="43452AEB" w14:textId="77777777" w:rsidR="006E3229" w:rsidRDefault="006E3229">
      <w:pPr>
        <w:keepNext/>
        <w:spacing w:line="240" w:lineRule="auto"/>
        <w:rPr>
          <w:szCs w:val="22"/>
        </w:rPr>
      </w:pPr>
    </w:p>
    <w:p w14:paraId="4F8C4306" w14:textId="77777777" w:rsidR="006E3229" w:rsidRDefault="00B43C9C">
      <w:pPr>
        <w:keepNext/>
        <w:spacing w:line="240" w:lineRule="auto"/>
        <w:rPr>
          <w:bCs/>
          <w:i/>
          <w:iCs/>
          <w:szCs w:val="22"/>
        </w:rPr>
      </w:pPr>
      <w:r>
        <w:rPr>
          <w:i/>
        </w:rPr>
        <w:t>Insuficiencia hepática</w:t>
      </w:r>
    </w:p>
    <w:p w14:paraId="52F42C39" w14:textId="77777777" w:rsidR="006E3229" w:rsidRDefault="00B43C9C">
      <w:pPr>
        <w:spacing w:line="240" w:lineRule="auto"/>
        <w:rPr>
          <w:rStyle w:val="normaltextrun"/>
          <w:iCs/>
          <w:color w:val="000000" w:themeColor="text1"/>
          <w:szCs w:val="22"/>
        </w:rPr>
      </w:pPr>
      <w:r>
        <w:rPr>
          <w:rStyle w:val="normaltextrun"/>
          <w:color w:val="000000" w:themeColor="text1"/>
        </w:rPr>
        <w:t>No es necesario ajustar la dosis en los pacientes con insuficiencia hepática leve (clase A de Child‑Pugh).</w:t>
      </w:r>
    </w:p>
    <w:p w14:paraId="7C5167E3" w14:textId="77777777" w:rsidR="006E3229" w:rsidRDefault="006E3229">
      <w:pPr>
        <w:spacing w:line="240" w:lineRule="auto"/>
        <w:rPr>
          <w:rStyle w:val="normaltextrun"/>
          <w:color w:val="000000" w:themeColor="text1"/>
          <w:szCs w:val="22"/>
        </w:rPr>
      </w:pPr>
    </w:p>
    <w:p w14:paraId="5A0B5FDB" w14:textId="77777777" w:rsidR="006E3229" w:rsidRDefault="00B43C9C">
      <w:pPr>
        <w:spacing w:line="240" w:lineRule="auto"/>
        <w:rPr>
          <w:rStyle w:val="normaltextrun"/>
          <w:color w:val="000000" w:themeColor="text1"/>
        </w:rPr>
      </w:pPr>
      <w:r>
        <w:rPr>
          <w:rStyle w:val="normaltextrun"/>
          <w:color w:val="000000" w:themeColor="text1"/>
        </w:rPr>
        <w:t xml:space="preserve">La dosis diaria recomendada de </w:t>
      </w:r>
      <w:proofErr w:type="spellStart"/>
      <w:r>
        <w:rPr>
          <w:rStyle w:val="normaltextrun"/>
          <w:color w:val="000000" w:themeColor="text1"/>
        </w:rPr>
        <w:t>vamorolona</w:t>
      </w:r>
      <w:proofErr w:type="spellEnd"/>
      <w:r>
        <w:rPr>
          <w:rStyle w:val="normaltextrun"/>
          <w:color w:val="000000" w:themeColor="text1"/>
        </w:rPr>
        <w:t xml:space="preserve"> para pacientes con insuficiencia hepática moderada (clase B de Child-Pugh) es de 2 mg/kg/día para pacientes de hasta 40 kg y de 80 mg para pacientes con un peso corporal de 40 kg o más (ver sección 5.2). Los pacientes con insuficiencia hepática grave (clase C de Child-Pugh) no deben ser tratados con </w:t>
      </w:r>
      <w:proofErr w:type="spellStart"/>
      <w:r>
        <w:rPr>
          <w:rStyle w:val="normaltextrun"/>
          <w:color w:val="000000" w:themeColor="text1"/>
        </w:rPr>
        <w:t>vamorolona</w:t>
      </w:r>
      <w:proofErr w:type="spellEnd"/>
      <w:r>
        <w:rPr>
          <w:rStyle w:val="normaltextrun"/>
          <w:color w:val="000000" w:themeColor="text1"/>
        </w:rPr>
        <w:t>. Ver secciones 4.3 y 4.4.</w:t>
      </w:r>
    </w:p>
    <w:p w14:paraId="01694016" w14:textId="77777777" w:rsidR="006E3229" w:rsidRDefault="006E3229">
      <w:pPr>
        <w:spacing w:line="240" w:lineRule="auto"/>
        <w:rPr>
          <w:b/>
        </w:rPr>
      </w:pPr>
    </w:p>
    <w:p w14:paraId="3DCC3235" w14:textId="77777777" w:rsidR="006E3229" w:rsidRDefault="00B43C9C">
      <w:pPr>
        <w:keepNext/>
        <w:spacing w:line="240" w:lineRule="auto"/>
        <w:rPr>
          <w:bCs/>
          <w:i/>
          <w:iCs/>
          <w:szCs w:val="22"/>
        </w:rPr>
      </w:pPr>
      <w:r>
        <w:rPr>
          <w:i/>
        </w:rPr>
        <w:t>Población pediátrica</w:t>
      </w:r>
    </w:p>
    <w:p w14:paraId="5DAEE728" w14:textId="77777777" w:rsidR="006E3229" w:rsidRDefault="00B43C9C">
      <w:pPr>
        <w:autoSpaceDE w:val="0"/>
        <w:autoSpaceDN w:val="0"/>
        <w:adjustRightInd w:val="0"/>
        <w:spacing w:line="240" w:lineRule="auto"/>
      </w:pPr>
      <w:bookmarkStart w:id="0" w:name="_Hlk133597578"/>
      <w:r>
        <w:t>No se ha establecido la seguridad y eficacia de AGAMREE en niños menores de 4 años de edad.</w:t>
      </w:r>
      <w:bookmarkEnd w:id="0"/>
    </w:p>
    <w:p w14:paraId="19E6CEE9" w14:textId="77777777" w:rsidR="006E3229" w:rsidRDefault="006E3229">
      <w:pPr>
        <w:spacing w:line="240" w:lineRule="auto"/>
      </w:pPr>
      <w:bookmarkStart w:id="1" w:name="_Hlk114572632"/>
    </w:p>
    <w:bookmarkEnd w:id="1"/>
    <w:p w14:paraId="469C9144" w14:textId="77777777" w:rsidR="006E3229" w:rsidRDefault="00B43C9C">
      <w:pPr>
        <w:keepNext/>
        <w:spacing w:line="240" w:lineRule="auto"/>
        <w:rPr>
          <w:szCs w:val="22"/>
          <w:u w:val="single"/>
        </w:rPr>
      </w:pPr>
      <w:r>
        <w:rPr>
          <w:u w:val="single"/>
        </w:rPr>
        <w:t>Forma de administración</w:t>
      </w:r>
    </w:p>
    <w:p w14:paraId="7F7DC89F" w14:textId="77777777" w:rsidR="006E3229" w:rsidRDefault="006E3229">
      <w:pPr>
        <w:keepNext/>
        <w:spacing w:line="240" w:lineRule="auto"/>
        <w:rPr>
          <w:szCs w:val="22"/>
          <w:u w:val="single"/>
        </w:rPr>
      </w:pPr>
    </w:p>
    <w:p w14:paraId="178683AF" w14:textId="77777777" w:rsidR="006E3229" w:rsidRDefault="00B43C9C">
      <w:pPr>
        <w:autoSpaceDE w:val="0"/>
        <w:autoSpaceDN w:val="0"/>
        <w:adjustRightInd w:val="0"/>
        <w:spacing w:line="240" w:lineRule="auto"/>
      </w:pPr>
      <w:r>
        <w:t>AGAMREE se administra por vía oral. AGAMREE puede tomarse con o sin comida (ver sección 5.2).</w:t>
      </w:r>
    </w:p>
    <w:p w14:paraId="1E76973C" w14:textId="77777777" w:rsidR="006E3229" w:rsidRDefault="006E3229">
      <w:pPr>
        <w:spacing w:line="240" w:lineRule="auto"/>
      </w:pPr>
    </w:p>
    <w:p w14:paraId="46949749" w14:textId="77777777" w:rsidR="006E3229" w:rsidRDefault="00B43C9C">
      <w:pPr>
        <w:spacing w:line="240" w:lineRule="auto"/>
      </w:pPr>
      <w:r>
        <w:t>La suspensión oral requiere una nueva dispersión agitando el frasco antes de la administración.</w:t>
      </w:r>
    </w:p>
    <w:p w14:paraId="4D7CB817" w14:textId="77777777" w:rsidR="006E3229" w:rsidRDefault="006E3229">
      <w:pPr>
        <w:autoSpaceDE w:val="0"/>
        <w:autoSpaceDN w:val="0"/>
        <w:adjustRightInd w:val="0"/>
        <w:spacing w:line="240" w:lineRule="auto"/>
        <w:rPr>
          <w:szCs w:val="22"/>
        </w:rPr>
      </w:pPr>
    </w:p>
    <w:p w14:paraId="44AF2BC3" w14:textId="77777777" w:rsidR="006E3229" w:rsidRDefault="00B43C9C">
      <w:pPr>
        <w:autoSpaceDE w:val="0"/>
        <w:autoSpaceDN w:val="0"/>
        <w:adjustRightInd w:val="0"/>
        <w:spacing w:line="240" w:lineRule="auto"/>
      </w:pPr>
      <w:r>
        <w:t>Para medir la dosis de AGAMREE en ml solo se debe utilizar la jeringa oral que se proporciona con el medicamento. Después de sacar la dosis adecuada en la jeringa oral, debe dispensarse directamente a la boca.</w:t>
      </w:r>
    </w:p>
    <w:p w14:paraId="0F2EB6C7" w14:textId="77777777" w:rsidR="006E3229" w:rsidRDefault="006E3229">
      <w:pPr>
        <w:autoSpaceDE w:val="0"/>
        <w:autoSpaceDN w:val="0"/>
        <w:adjustRightInd w:val="0"/>
        <w:spacing w:line="240" w:lineRule="auto"/>
        <w:rPr>
          <w:szCs w:val="22"/>
        </w:rPr>
      </w:pPr>
    </w:p>
    <w:p w14:paraId="0E26A918" w14:textId="77777777" w:rsidR="006E3229" w:rsidRDefault="00B43C9C">
      <w:pPr>
        <w:tabs>
          <w:tab w:val="clear" w:pos="567"/>
        </w:tabs>
        <w:autoSpaceDE w:val="0"/>
        <w:autoSpaceDN w:val="0"/>
        <w:adjustRightInd w:val="0"/>
        <w:spacing w:line="240" w:lineRule="auto"/>
        <w:rPr>
          <w:szCs w:val="22"/>
        </w:rPr>
      </w:pPr>
      <w:r>
        <w:t>La jeringa oral debe desmontarse después de su uso, enjuagarse con agua fría del grifo y secarse al aire. Se debe conservar en la caja hasta el siguiente uso. Se puede utilizar una jeringa de uso oral durante un máximo de 45 días, después se debe desechar y se debe utilizar la segunda jeringa incluida en el envase.</w:t>
      </w:r>
    </w:p>
    <w:p w14:paraId="7C31A50E" w14:textId="77777777" w:rsidR="006E3229" w:rsidRDefault="006E3229">
      <w:pPr>
        <w:spacing w:line="240" w:lineRule="auto"/>
        <w:rPr>
          <w:szCs w:val="22"/>
        </w:rPr>
      </w:pPr>
    </w:p>
    <w:p w14:paraId="6B47AEA6" w14:textId="77777777" w:rsidR="005261DC" w:rsidRDefault="005261DC" w:rsidP="005261DC">
      <w:pPr>
        <w:tabs>
          <w:tab w:val="clear" w:pos="567"/>
        </w:tabs>
        <w:autoSpaceDE w:val="0"/>
        <w:autoSpaceDN w:val="0"/>
        <w:adjustRightInd w:val="0"/>
        <w:spacing w:line="240" w:lineRule="auto"/>
        <w:rPr>
          <w:i/>
          <w:iCs/>
        </w:rPr>
      </w:pPr>
      <w:r>
        <w:rPr>
          <w:i/>
          <w:iCs/>
        </w:rPr>
        <w:lastRenderedPageBreak/>
        <w:t>Administración de la suspensión oral AGAMREE a través de una sonda de alimentación enteral</w:t>
      </w:r>
    </w:p>
    <w:p w14:paraId="38040739" w14:textId="6EB241FD" w:rsidR="005261DC" w:rsidRDefault="005261DC" w:rsidP="005261DC">
      <w:pPr>
        <w:tabs>
          <w:tab w:val="clear" w:pos="567"/>
        </w:tabs>
        <w:autoSpaceDE w:val="0"/>
        <w:autoSpaceDN w:val="0"/>
        <w:adjustRightInd w:val="0"/>
        <w:spacing w:line="240" w:lineRule="auto"/>
      </w:pPr>
      <w:r>
        <w:t>La suspensión oral AGAMREE</w:t>
      </w:r>
      <w:r w:rsidR="00E51502">
        <w:t xml:space="preserve"> se</w:t>
      </w:r>
      <w:r>
        <w:t xml:space="preserve"> puede administrar a través de una sonda de alimentación enteral (</w:t>
      </w:r>
      <w:r w:rsidR="00E51502">
        <w:t>ver</w:t>
      </w:r>
      <w:r w:rsidR="00AA4BA4">
        <w:t xml:space="preserve"> la</w:t>
      </w:r>
      <w:r>
        <w:t xml:space="preserve"> sección 6.6). </w:t>
      </w:r>
    </w:p>
    <w:p w14:paraId="638000BA" w14:textId="77777777" w:rsidR="006E3229" w:rsidRDefault="006E3229">
      <w:pPr>
        <w:spacing w:line="240" w:lineRule="auto"/>
        <w:rPr>
          <w:szCs w:val="22"/>
        </w:rPr>
      </w:pPr>
    </w:p>
    <w:p w14:paraId="40A8CCE4" w14:textId="77777777" w:rsidR="006E3229" w:rsidRDefault="00B43C9C">
      <w:pPr>
        <w:keepNext/>
        <w:spacing w:line="240" w:lineRule="auto"/>
        <w:ind w:left="567" w:hanging="567"/>
        <w:outlineLvl w:val="0"/>
        <w:rPr>
          <w:b/>
          <w:szCs w:val="22"/>
        </w:rPr>
      </w:pPr>
      <w:r>
        <w:rPr>
          <w:rStyle w:val="DNEx2"/>
        </w:rPr>
        <w:t>4.3</w:t>
      </w:r>
      <w:r>
        <w:rPr>
          <w:rStyle w:val="DNEx2"/>
        </w:rPr>
        <w:tab/>
      </w:r>
      <w:r>
        <w:rPr>
          <w:b/>
        </w:rPr>
        <w:t>Contraindicaciones</w:t>
      </w:r>
    </w:p>
    <w:p w14:paraId="26C92132" w14:textId="77777777" w:rsidR="006E3229" w:rsidRDefault="006E3229">
      <w:pPr>
        <w:keepNext/>
        <w:spacing w:line="240" w:lineRule="auto"/>
        <w:rPr>
          <w:szCs w:val="22"/>
        </w:rPr>
      </w:pPr>
    </w:p>
    <w:p w14:paraId="0D0B30E4" w14:textId="77777777" w:rsidR="006E3229" w:rsidRDefault="00B43C9C">
      <w:pPr>
        <w:spacing w:line="240" w:lineRule="auto"/>
      </w:pPr>
      <w:r>
        <w:t>Hipersensibilidad al principio activo o a alguno de los excipientes incluidos en la sección 6.1.</w:t>
      </w:r>
    </w:p>
    <w:p w14:paraId="015F5760" w14:textId="77777777" w:rsidR="006E3229" w:rsidRDefault="006E3229">
      <w:pPr>
        <w:spacing w:line="240" w:lineRule="auto"/>
      </w:pPr>
    </w:p>
    <w:p w14:paraId="41A7A85C" w14:textId="77777777" w:rsidR="006E3229" w:rsidRDefault="00B43C9C">
      <w:pPr>
        <w:spacing w:line="240" w:lineRule="auto"/>
      </w:pPr>
      <w:r>
        <w:t>Insuficiencia hepática grave (clase C de Child-Pugh).</w:t>
      </w:r>
    </w:p>
    <w:p w14:paraId="57F2AAE3" w14:textId="77777777" w:rsidR="006E3229" w:rsidRDefault="006E3229">
      <w:pPr>
        <w:spacing w:line="240" w:lineRule="auto"/>
      </w:pPr>
    </w:p>
    <w:p w14:paraId="1392A720" w14:textId="77777777" w:rsidR="006E3229" w:rsidRDefault="00B43C9C">
      <w:pPr>
        <w:spacing w:line="240" w:lineRule="auto"/>
        <w:rPr>
          <w:b/>
          <w:szCs w:val="22"/>
        </w:rPr>
      </w:pPr>
      <w:r>
        <w:rPr>
          <w:color w:val="212121"/>
        </w:rPr>
        <w:t>Uso de vacunas vivas o vivas atenuadas en las 6 semanas previas al inicio del tratamiento y durante el tratamiento (ver la sección 4.4).</w:t>
      </w:r>
    </w:p>
    <w:p w14:paraId="7C22363C" w14:textId="77777777" w:rsidR="006E3229" w:rsidRDefault="006E3229">
      <w:pPr>
        <w:spacing w:line="240" w:lineRule="auto"/>
        <w:rPr>
          <w:szCs w:val="22"/>
        </w:rPr>
      </w:pPr>
    </w:p>
    <w:p w14:paraId="4787A42B" w14:textId="77777777" w:rsidR="006E3229" w:rsidRDefault="00B43C9C">
      <w:pPr>
        <w:keepNext/>
        <w:spacing w:line="240" w:lineRule="auto"/>
        <w:ind w:left="567" w:hanging="567"/>
        <w:outlineLvl w:val="0"/>
        <w:rPr>
          <w:b/>
          <w:szCs w:val="22"/>
        </w:rPr>
      </w:pPr>
      <w:r>
        <w:rPr>
          <w:rStyle w:val="DNEx2"/>
        </w:rPr>
        <w:t>4.4</w:t>
      </w:r>
      <w:r>
        <w:rPr>
          <w:rStyle w:val="DNEx2"/>
        </w:rPr>
        <w:tab/>
      </w:r>
      <w:r>
        <w:rPr>
          <w:b/>
        </w:rPr>
        <w:t>Advertencias y precauciones especiales de empleo</w:t>
      </w:r>
    </w:p>
    <w:p w14:paraId="39B1CF93" w14:textId="77777777" w:rsidR="006E3229" w:rsidRDefault="006E3229">
      <w:pPr>
        <w:keepNext/>
        <w:spacing w:line="240" w:lineRule="auto"/>
        <w:ind w:left="567" w:hanging="567"/>
        <w:rPr>
          <w:b/>
          <w:szCs w:val="22"/>
        </w:rPr>
      </w:pPr>
    </w:p>
    <w:p w14:paraId="75751EF4" w14:textId="77777777" w:rsidR="006E3229" w:rsidRDefault="00B43C9C">
      <w:pPr>
        <w:keepNext/>
        <w:spacing w:line="240" w:lineRule="auto"/>
        <w:rPr>
          <w:u w:val="single"/>
        </w:rPr>
      </w:pPr>
      <w:r>
        <w:rPr>
          <w:u w:val="single"/>
        </w:rPr>
        <w:t>Alteraciones de la función endocrina</w:t>
      </w:r>
    </w:p>
    <w:p w14:paraId="29316DB4" w14:textId="77777777" w:rsidR="006E3229" w:rsidRDefault="006E3229">
      <w:pPr>
        <w:keepNext/>
        <w:spacing w:line="240" w:lineRule="auto"/>
      </w:pPr>
    </w:p>
    <w:p w14:paraId="684A5DFE" w14:textId="77777777" w:rsidR="006E3229" w:rsidRDefault="00B43C9C">
      <w:pPr>
        <w:spacing w:line="240" w:lineRule="auto"/>
      </w:pPr>
      <w:r>
        <w:t xml:space="preserve">La </w:t>
      </w:r>
      <w:proofErr w:type="spellStart"/>
      <w:r>
        <w:t>vamorolona</w:t>
      </w:r>
      <w:proofErr w:type="spellEnd"/>
      <w:r>
        <w:t xml:space="preserve"> provoca alteraciones en la función endocrina, especialmente con el uso crónico.</w:t>
      </w:r>
    </w:p>
    <w:p w14:paraId="0804BDAE" w14:textId="77777777" w:rsidR="006E3229" w:rsidRDefault="006E3229">
      <w:pPr>
        <w:spacing w:line="240" w:lineRule="auto"/>
      </w:pPr>
    </w:p>
    <w:p w14:paraId="38ED7EF9" w14:textId="77777777" w:rsidR="006E3229" w:rsidRDefault="00B43C9C">
      <w:pPr>
        <w:spacing w:line="240" w:lineRule="auto"/>
      </w:pPr>
      <w:r>
        <w:t>Además, los pacientes con alteración de la función tiroidea o con feocromocitoma pueden presentar un mayor riesgo de efectos endocrinos.</w:t>
      </w:r>
    </w:p>
    <w:p w14:paraId="0A2CEA3B" w14:textId="77777777" w:rsidR="006E3229" w:rsidRDefault="006E3229">
      <w:pPr>
        <w:spacing w:line="240" w:lineRule="auto"/>
        <w:rPr>
          <w:b/>
          <w:szCs w:val="22"/>
        </w:rPr>
      </w:pPr>
    </w:p>
    <w:p w14:paraId="78228FC1" w14:textId="77777777" w:rsidR="006E3229" w:rsidRDefault="00B43C9C">
      <w:pPr>
        <w:keepNext/>
        <w:spacing w:line="240" w:lineRule="auto"/>
        <w:rPr>
          <w:u w:val="single"/>
        </w:rPr>
      </w:pPr>
      <w:r>
        <w:rPr>
          <w:u w:val="single"/>
        </w:rPr>
        <w:t>Riesgo de insuficiencia suprarrenal</w:t>
      </w:r>
    </w:p>
    <w:p w14:paraId="60F1D366" w14:textId="77777777" w:rsidR="006E3229" w:rsidRDefault="006E3229">
      <w:pPr>
        <w:keepNext/>
        <w:spacing w:line="240" w:lineRule="auto"/>
      </w:pPr>
    </w:p>
    <w:p w14:paraId="3847ECA9" w14:textId="77777777" w:rsidR="006E3229" w:rsidRDefault="00B43C9C">
      <w:pPr>
        <w:spacing w:line="240" w:lineRule="auto"/>
      </w:pPr>
      <w:r>
        <w:t xml:space="preserve">La </w:t>
      </w:r>
      <w:proofErr w:type="spellStart"/>
      <w:r>
        <w:t>vamorolona</w:t>
      </w:r>
      <w:proofErr w:type="spellEnd"/>
      <w:r>
        <w:t xml:space="preserve"> produce una supresión reversible y dependiente de la dosis del eje hipotálamo-hipofisario-suprarrenal (eje HHS), lo que puede dar lugar a una insuficiencia suprarrenal secundaria, que puede persistir durante meses tras la interrupción del tratamiento prolongado. El grado de insuficiencia suprarrenal crónica que se produce es variable entre los pacientes y depende de la dosis y la duración del tratamiento.</w:t>
      </w:r>
    </w:p>
    <w:p w14:paraId="3A4EEBDB" w14:textId="77777777" w:rsidR="006E3229" w:rsidRDefault="006E3229">
      <w:pPr>
        <w:spacing w:line="240" w:lineRule="auto"/>
      </w:pPr>
    </w:p>
    <w:p w14:paraId="00BB0FF2" w14:textId="77777777" w:rsidR="006E3229" w:rsidRDefault="00B43C9C">
      <w:pPr>
        <w:spacing w:line="240" w:lineRule="auto"/>
      </w:pPr>
      <w:r>
        <w:t xml:space="preserve">La insuficiencia suprarrenal aguda (también conocida como crisis suprarrenal) puede producirse durante un período de mayor estrés o si la dosis de </w:t>
      </w:r>
      <w:proofErr w:type="spellStart"/>
      <w:r>
        <w:t>vamorolona</w:t>
      </w:r>
      <w:proofErr w:type="spellEnd"/>
      <w:r>
        <w:t xml:space="preserve"> se reduce o se retira bruscamente. Esta afección puede ser mortal. Los síntomas de la crisis suprarrenal pueden incluir cansancio excesivo, debilidad inesperada, vómitos, mareos o desorientación.  El riesgo se reduce disminuyendo gradualmente la dosis al reducir o poner fin al tratamiento (ver sección 4.2).</w:t>
      </w:r>
    </w:p>
    <w:p w14:paraId="235F7329" w14:textId="77777777" w:rsidR="006E3229" w:rsidRDefault="006E3229">
      <w:pPr>
        <w:spacing w:line="240" w:lineRule="auto"/>
        <w:rPr>
          <w:b/>
          <w:u w:val="single"/>
        </w:rPr>
      </w:pPr>
    </w:p>
    <w:p w14:paraId="1FD1A0DF" w14:textId="77777777" w:rsidR="006E3229" w:rsidRDefault="00B43C9C">
      <w:pPr>
        <w:spacing w:line="240" w:lineRule="auto"/>
      </w:pPr>
      <w:r>
        <w:t xml:space="preserve">Durante los períodos de mayor estrés, como infección aguda, lesiones traumáticas o intervención quirúrgica, se debe vigilar a los pacientes para detectar signos de insuficiencia suprarrenal aguda y el tratamiento habitual con AGAMREE se debe complementar temporalmente con hidrocortisona sistémica para evitar el riesgo de crisis suprarrenal. </w:t>
      </w:r>
      <w:bookmarkStart w:id="2" w:name="_Hlk132619896"/>
      <w:r>
        <w:t>No se dispone de datos sobre los efectos que puede tener incrementar la dosis de AGAMREE en situaciones de aumento del estrés.</w:t>
      </w:r>
    </w:p>
    <w:p w14:paraId="48155A19" w14:textId="77777777" w:rsidR="006E3229" w:rsidRDefault="006E3229">
      <w:pPr>
        <w:spacing w:line="240" w:lineRule="auto"/>
      </w:pPr>
    </w:p>
    <w:p w14:paraId="762E536C" w14:textId="77777777" w:rsidR="006E3229" w:rsidRDefault="00B43C9C">
      <w:pPr>
        <w:spacing w:line="240" w:lineRule="auto"/>
      </w:pPr>
      <w:r>
        <w:t>Se debe aconsejar al paciente que lleve siempre consigo la tarjeta de alerta para el paciente, que contiene información de seguridad importante para apoyar el reconocimiento y tratamiento tempranos de las crisis suprarrenales.</w:t>
      </w:r>
    </w:p>
    <w:bookmarkEnd w:id="2"/>
    <w:p w14:paraId="6A4352C3" w14:textId="77777777" w:rsidR="006E3229" w:rsidRDefault="006E3229">
      <w:pPr>
        <w:spacing w:line="240" w:lineRule="auto"/>
        <w:rPr>
          <w:b/>
          <w:bCs/>
          <w:u w:val="single"/>
        </w:rPr>
      </w:pPr>
    </w:p>
    <w:p w14:paraId="33CAFED9" w14:textId="77777777" w:rsidR="006E3229" w:rsidRDefault="00B43C9C">
      <w:pPr>
        <w:spacing w:line="240" w:lineRule="auto"/>
      </w:pPr>
      <w:r>
        <w:t>Si el tratamiento con glucocorticoides se interrumpe bruscamente, también puede producirse un «síndrome de abstinencia» esteroideo, aparentemente no relacionado con la insuficiencia corticosuprarrenal. Este síndrome incluye síntomas como anorexia, náuseas, vómitos, letargo, dolor de cabeza, fiebre, dolor en las articulaciones, descamación, mialgia o pérdida de peso. Se cree que estos efectos se deben al cambio repentino de la concentración de glucocorticoides y no a los bajos niveles de glucocorticoides.</w:t>
      </w:r>
    </w:p>
    <w:p w14:paraId="0D9F95EA" w14:textId="77777777" w:rsidR="006E3229" w:rsidRDefault="006E3229">
      <w:pPr>
        <w:spacing w:line="240" w:lineRule="auto"/>
      </w:pPr>
    </w:p>
    <w:p w14:paraId="3E46E5A2" w14:textId="77777777" w:rsidR="006E3229" w:rsidRDefault="00B43C9C">
      <w:pPr>
        <w:keepNext/>
        <w:spacing w:line="240" w:lineRule="auto"/>
        <w:rPr>
          <w:u w:val="single"/>
        </w:rPr>
      </w:pPr>
      <w:r>
        <w:rPr>
          <w:u w:val="single"/>
        </w:rPr>
        <w:t>Cambio de un tratamiento con glucocorticoides a uno con AGAMREE</w:t>
      </w:r>
    </w:p>
    <w:p w14:paraId="40E45776" w14:textId="77777777" w:rsidR="006E3229" w:rsidRDefault="006E3229">
      <w:pPr>
        <w:keepNext/>
        <w:spacing w:line="240" w:lineRule="auto"/>
      </w:pPr>
    </w:p>
    <w:p w14:paraId="12FC1B05" w14:textId="77777777" w:rsidR="006E3229" w:rsidRDefault="00B43C9C">
      <w:pPr>
        <w:spacing w:line="240" w:lineRule="auto"/>
      </w:pPr>
      <w:bookmarkStart w:id="3" w:name="_Hlk133602984"/>
      <w:r>
        <w:t xml:space="preserve">Los pacientes pueden pasar de un tratamiento oral con glucocorticoides (como prednisona o </w:t>
      </w:r>
      <w:proofErr w:type="spellStart"/>
      <w:r>
        <w:t>deflazacort</w:t>
      </w:r>
      <w:proofErr w:type="spellEnd"/>
      <w:r>
        <w:t xml:space="preserve">) a uno con AGAMREE sin necesidad de interrumpir el tratamiento o de reducir </w:t>
      </w:r>
      <w:r>
        <w:lastRenderedPageBreak/>
        <w:t>previamente la dosis de glucocorticoides. Los pacientes que ya estén tomando glucocorticoides crónicos deberán cambiar a AGAMREE 6 mg/kg/día para minimizar el riesgo de crisis suprarrenal.</w:t>
      </w:r>
    </w:p>
    <w:p w14:paraId="6CA5376D" w14:textId="77777777" w:rsidR="006E3229" w:rsidRDefault="006E3229">
      <w:pPr>
        <w:spacing w:line="240" w:lineRule="auto"/>
      </w:pPr>
    </w:p>
    <w:p w14:paraId="194C3BAC" w14:textId="77777777" w:rsidR="006E3229" w:rsidRDefault="00B43C9C">
      <w:pPr>
        <w:keepNext/>
        <w:spacing w:line="240" w:lineRule="auto"/>
        <w:rPr>
          <w:u w:val="single"/>
        </w:rPr>
      </w:pPr>
      <w:r>
        <w:rPr>
          <w:u w:val="single"/>
        </w:rPr>
        <w:t>Aumento de peso</w:t>
      </w:r>
    </w:p>
    <w:p w14:paraId="1C99FEB1" w14:textId="77777777" w:rsidR="006E3229" w:rsidRDefault="006E3229">
      <w:pPr>
        <w:keepNext/>
        <w:spacing w:line="240" w:lineRule="auto"/>
      </w:pPr>
    </w:p>
    <w:p w14:paraId="5ACC9189" w14:textId="77777777" w:rsidR="006E3229" w:rsidRDefault="00B43C9C">
      <w:pPr>
        <w:spacing w:line="240" w:lineRule="auto"/>
      </w:pPr>
      <w:r>
        <w:t xml:space="preserve">La </w:t>
      </w:r>
      <w:proofErr w:type="spellStart"/>
      <w:r>
        <w:t>vamorolona</w:t>
      </w:r>
      <w:proofErr w:type="spellEnd"/>
      <w:r>
        <w:t xml:space="preserve"> se asocia a un aumento del apetito y a un aumento de peso dependientes de la dosis, principalmente en los primeros meses de tratamiento. Se debe proporcionar un asesoramiento dietético adecuado para la edad antes y durante el tratamiento con AGAMREE, de acuerdo con las recomendaciones generales para el manejo de la nutrición en pacientes con DMD.</w:t>
      </w:r>
    </w:p>
    <w:bookmarkEnd w:id="3"/>
    <w:p w14:paraId="74F80850" w14:textId="77777777" w:rsidR="006E3229" w:rsidRDefault="006E3229">
      <w:pPr>
        <w:spacing w:line="240" w:lineRule="auto"/>
      </w:pPr>
    </w:p>
    <w:p w14:paraId="6A63D334" w14:textId="77777777" w:rsidR="006E3229" w:rsidRDefault="00B43C9C">
      <w:pPr>
        <w:keepNext/>
        <w:spacing w:line="240" w:lineRule="auto"/>
        <w:rPr>
          <w:u w:val="single"/>
        </w:rPr>
      </w:pPr>
      <w:r>
        <w:rPr>
          <w:u w:val="single"/>
        </w:rPr>
        <w:t>Consideraciones para el uso en pacientes con alteración de la función tiroidea</w:t>
      </w:r>
    </w:p>
    <w:p w14:paraId="12AA72B2" w14:textId="77777777" w:rsidR="006E3229" w:rsidRDefault="006E3229">
      <w:pPr>
        <w:keepNext/>
        <w:spacing w:line="240" w:lineRule="auto"/>
      </w:pPr>
    </w:p>
    <w:p w14:paraId="2FFED35B" w14:textId="77777777" w:rsidR="006E3229" w:rsidRDefault="00B43C9C">
      <w:pPr>
        <w:spacing w:line="240" w:lineRule="auto"/>
      </w:pPr>
      <w:bookmarkStart w:id="4" w:name="_Hlk133603895"/>
      <w:r>
        <w:t xml:space="preserve">El aclaramiento metabólico de los glucocorticoides se puede reducir en los pacientes con hipotiroidismo y aumentar en los pacientes con hipertiroidismo. Se desconoce si la </w:t>
      </w:r>
      <w:proofErr w:type="spellStart"/>
      <w:r>
        <w:t>vamorolona</w:t>
      </w:r>
      <w:proofErr w:type="spellEnd"/>
      <w:r>
        <w:t xml:space="preserve"> se ve afectada de la misma manera, pero los cambios en el estado tiroideo del paciente pueden requerir un ajuste de la dosis.</w:t>
      </w:r>
    </w:p>
    <w:bookmarkEnd w:id="4"/>
    <w:p w14:paraId="5DFF28D7" w14:textId="77777777" w:rsidR="006E3229" w:rsidRDefault="006E3229">
      <w:pPr>
        <w:spacing w:line="240" w:lineRule="auto"/>
        <w:rPr>
          <w:u w:val="single"/>
        </w:rPr>
      </w:pPr>
    </w:p>
    <w:p w14:paraId="20CEB7B1" w14:textId="77777777" w:rsidR="006E3229" w:rsidRDefault="00B43C9C">
      <w:pPr>
        <w:keepNext/>
        <w:spacing w:line="240" w:lineRule="auto"/>
        <w:rPr>
          <w:u w:val="single"/>
        </w:rPr>
      </w:pPr>
      <w:r>
        <w:rPr>
          <w:u w:val="single"/>
        </w:rPr>
        <w:t>Efectos oftálmicos</w:t>
      </w:r>
    </w:p>
    <w:p w14:paraId="3569D73F" w14:textId="77777777" w:rsidR="006E3229" w:rsidRDefault="006E3229">
      <w:pPr>
        <w:keepNext/>
        <w:spacing w:line="240" w:lineRule="auto"/>
      </w:pPr>
    </w:p>
    <w:p w14:paraId="38734C7A" w14:textId="77777777" w:rsidR="006E3229" w:rsidRDefault="00B43C9C">
      <w:pPr>
        <w:spacing w:line="240" w:lineRule="auto"/>
      </w:pPr>
      <w:r>
        <w:t>Los glucocorticoides pueden inducir cataratas subcapsulares posteriores, glaucoma con posible lesión de los nervios ópticos, y pueden aumentar el riesgo de infecciones oculares secundarias provocadas por bacterias, hongos o virus.</w:t>
      </w:r>
    </w:p>
    <w:p w14:paraId="3A49ADD3" w14:textId="77777777" w:rsidR="006E3229" w:rsidRDefault="006E3229">
      <w:pPr>
        <w:spacing w:line="240" w:lineRule="auto"/>
      </w:pPr>
    </w:p>
    <w:p w14:paraId="379E58C3" w14:textId="77777777" w:rsidR="006E3229" w:rsidRDefault="00B43C9C">
      <w:pPr>
        <w:spacing w:line="240" w:lineRule="auto"/>
      </w:pPr>
      <w:r>
        <w:t xml:space="preserve">Se desconoce el riesgo de efectos oftálmicos cuando se administra AGAMREE. </w:t>
      </w:r>
    </w:p>
    <w:p w14:paraId="50BFF3E6" w14:textId="77777777" w:rsidR="006E3229" w:rsidRDefault="006E3229">
      <w:pPr>
        <w:spacing w:line="240" w:lineRule="auto"/>
      </w:pPr>
    </w:p>
    <w:p w14:paraId="6EFCAE32" w14:textId="77777777" w:rsidR="006E3229" w:rsidRDefault="00B43C9C">
      <w:pPr>
        <w:keepNext/>
        <w:spacing w:line="240" w:lineRule="auto"/>
        <w:rPr>
          <w:u w:val="single"/>
        </w:rPr>
      </w:pPr>
      <w:bookmarkStart w:id="5" w:name="_Hlk129779367"/>
      <w:r>
        <w:rPr>
          <w:u w:val="single"/>
        </w:rPr>
        <w:t>Aumento del riesgo de infecciones</w:t>
      </w:r>
    </w:p>
    <w:p w14:paraId="6EB3A6BA" w14:textId="77777777" w:rsidR="006E3229" w:rsidRDefault="006E3229">
      <w:pPr>
        <w:keepNext/>
        <w:spacing w:line="240" w:lineRule="auto"/>
      </w:pPr>
    </w:p>
    <w:bookmarkEnd w:id="5"/>
    <w:p w14:paraId="7D10236E" w14:textId="77777777" w:rsidR="006E3229" w:rsidRDefault="00B43C9C">
      <w:pPr>
        <w:spacing w:line="240" w:lineRule="auto"/>
      </w:pPr>
      <w:r>
        <w:t>La supresión de la respuesta inflamatoria y de la función inmunitaria puede aumentar la susceptibilidad a las infecciones y su gravedad. Se puede producir activación de infecciones latentes o exacerbación de infecciones intercurrentes. La presentación clínica puede ser a menudo atípica y las infecciones graves pueden enmascararse y llegar a una fase avanzada antes de ser reconocidas.</w:t>
      </w:r>
    </w:p>
    <w:p w14:paraId="6F2C2885" w14:textId="77777777" w:rsidR="006E3229" w:rsidRDefault="00B43C9C">
      <w:pPr>
        <w:spacing w:line="240" w:lineRule="auto"/>
      </w:pPr>
      <w:r>
        <w:t>Estas infecciones pueden ser graves y a veces mortales.</w:t>
      </w:r>
    </w:p>
    <w:p w14:paraId="0C1B765F" w14:textId="77777777" w:rsidR="006E3229" w:rsidRDefault="006E3229">
      <w:pPr>
        <w:spacing w:line="240" w:lineRule="auto"/>
      </w:pPr>
    </w:p>
    <w:p w14:paraId="1498DE53" w14:textId="77777777" w:rsidR="006E3229" w:rsidRDefault="00B43C9C">
      <w:pPr>
        <w:spacing w:line="240" w:lineRule="auto"/>
      </w:pPr>
      <w:r>
        <w:t xml:space="preserve">Aunque en los estudios clínicos no se observó un aumento de la incidencia ni de la gravedad de las infecciones con </w:t>
      </w:r>
      <w:proofErr w:type="spellStart"/>
      <w:r>
        <w:t>vamorolona</w:t>
      </w:r>
      <w:proofErr w:type="spellEnd"/>
      <w:r>
        <w:t>, la limitada experiencia a largo plazo no permite excluir un aumento del riesgo de infecciones.</w:t>
      </w:r>
    </w:p>
    <w:p w14:paraId="4795D864" w14:textId="77777777" w:rsidR="006E3229" w:rsidRDefault="006E3229">
      <w:pPr>
        <w:spacing w:line="240" w:lineRule="auto"/>
      </w:pPr>
    </w:p>
    <w:p w14:paraId="5A9B3DAE" w14:textId="77777777" w:rsidR="006E3229" w:rsidRDefault="00B43C9C">
      <w:pPr>
        <w:spacing w:line="240" w:lineRule="auto"/>
      </w:pPr>
      <w:r>
        <w:t xml:space="preserve">Debe vigilarse la evolución de las infecciones. Deben aplicarse estrategias diagnósticas y terapéuticas en pacientes que presentan síntomas de infección mientras reciben tratamiento crónico con </w:t>
      </w:r>
      <w:proofErr w:type="spellStart"/>
      <w:r>
        <w:t>vamorolona</w:t>
      </w:r>
      <w:proofErr w:type="spellEnd"/>
      <w:r>
        <w:t xml:space="preserve">. Debe considerarse la administración de un suplemento de hidrocortisona a pacientes que presenten infecciones moderadas o graves y que sigan un tratamiento con </w:t>
      </w:r>
      <w:proofErr w:type="spellStart"/>
      <w:r>
        <w:t>vamorolona</w:t>
      </w:r>
      <w:proofErr w:type="spellEnd"/>
      <w:r>
        <w:t>.</w:t>
      </w:r>
    </w:p>
    <w:p w14:paraId="109A35BF" w14:textId="77777777" w:rsidR="006E3229" w:rsidRDefault="006E3229">
      <w:pPr>
        <w:spacing w:line="240" w:lineRule="auto"/>
      </w:pPr>
    </w:p>
    <w:p w14:paraId="070CABB2" w14:textId="77777777" w:rsidR="006E3229" w:rsidRDefault="00B43C9C">
      <w:pPr>
        <w:pStyle w:val="Default"/>
        <w:keepNext/>
        <w:rPr>
          <w:sz w:val="22"/>
          <w:szCs w:val="22"/>
          <w:u w:val="single"/>
        </w:rPr>
      </w:pPr>
      <w:bookmarkStart w:id="6" w:name="_Hlk129779336"/>
      <w:r>
        <w:rPr>
          <w:sz w:val="22"/>
          <w:u w:val="single"/>
        </w:rPr>
        <w:t>Diabetes mellitus</w:t>
      </w:r>
    </w:p>
    <w:p w14:paraId="0C236DD6" w14:textId="77777777" w:rsidR="006E3229" w:rsidRDefault="006E3229">
      <w:pPr>
        <w:pStyle w:val="Default"/>
        <w:keepNext/>
        <w:rPr>
          <w:sz w:val="22"/>
          <w:szCs w:val="22"/>
          <w:u w:val="single"/>
        </w:rPr>
      </w:pPr>
    </w:p>
    <w:bookmarkEnd w:id="6"/>
    <w:p w14:paraId="463957A0" w14:textId="77777777" w:rsidR="006E3229" w:rsidRDefault="00B43C9C">
      <w:pPr>
        <w:pStyle w:val="C-BodyText"/>
        <w:spacing w:before="0" w:after="0" w:line="240" w:lineRule="auto"/>
        <w:rPr>
          <w:sz w:val="22"/>
        </w:rPr>
      </w:pPr>
      <w:r>
        <w:rPr>
          <w:sz w:val="22"/>
        </w:rPr>
        <w:t>El tratamiento a largo plazo con corticosteroides puede aumentar el riesgo de padecer diabetes mellitus.</w:t>
      </w:r>
    </w:p>
    <w:p w14:paraId="20E36766" w14:textId="77777777" w:rsidR="006E3229" w:rsidRDefault="006E3229">
      <w:pPr>
        <w:pStyle w:val="Default"/>
        <w:rPr>
          <w:color w:val="auto"/>
          <w:sz w:val="22"/>
          <w:szCs w:val="20"/>
        </w:rPr>
      </w:pPr>
    </w:p>
    <w:p w14:paraId="4F027877" w14:textId="77777777" w:rsidR="006E3229" w:rsidRDefault="00B43C9C">
      <w:pPr>
        <w:pStyle w:val="C-BodyText"/>
        <w:spacing w:before="0" w:after="0" w:line="240" w:lineRule="auto"/>
        <w:rPr>
          <w:sz w:val="22"/>
        </w:rPr>
      </w:pPr>
      <w:r>
        <w:rPr>
          <w:sz w:val="22"/>
        </w:rPr>
        <w:t xml:space="preserve">No se han observado cambios clínicamente relevantes en el metabolismo de la glucosa en los estudios clínicos con </w:t>
      </w:r>
      <w:proofErr w:type="spellStart"/>
      <w:r>
        <w:rPr>
          <w:sz w:val="22"/>
        </w:rPr>
        <w:t>vamorolona</w:t>
      </w:r>
      <w:proofErr w:type="spellEnd"/>
      <w:r>
        <w:rPr>
          <w:sz w:val="22"/>
        </w:rPr>
        <w:t xml:space="preserve">; los datos a largo plazo son limitados. Los niveles de glucosa en sangre se deben controlar a intervalos regulares en los pacientes tratados de forma crónica con </w:t>
      </w:r>
      <w:proofErr w:type="spellStart"/>
      <w:r>
        <w:rPr>
          <w:sz w:val="22"/>
        </w:rPr>
        <w:t>vamorolona</w:t>
      </w:r>
      <w:proofErr w:type="spellEnd"/>
      <w:r>
        <w:rPr>
          <w:sz w:val="22"/>
        </w:rPr>
        <w:t>.</w:t>
      </w:r>
    </w:p>
    <w:p w14:paraId="2CD440DA" w14:textId="77777777" w:rsidR="006E3229" w:rsidRDefault="006E3229">
      <w:pPr>
        <w:pStyle w:val="C-BodyText"/>
        <w:spacing w:before="0" w:after="0" w:line="240" w:lineRule="auto"/>
        <w:rPr>
          <w:sz w:val="22"/>
        </w:rPr>
      </w:pPr>
    </w:p>
    <w:p w14:paraId="65C8B9F1" w14:textId="77777777" w:rsidR="006E3229" w:rsidRDefault="00B43C9C">
      <w:pPr>
        <w:keepNext/>
        <w:spacing w:line="240" w:lineRule="auto"/>
        <w:rPr>
          <w:u w:val="single"/>
        </w:rPr>
      </w:pPr>
      <w:bookmarkStart w:id="7" w:name="_Hlk114572887"/>
      <w:r>
        <w:rPr>
          <w:u w:val="single"/>
        </w:rPr>
        <w:t>Vacunación</w:t>
      </w:r>
    </w:p>
    <w:p w14:paraId="60924F14" w14:textId="77777777" w:rsidR="006E3229" w:rsidRDefault="006E3229">
      <w:pPr>
        <w:keepNext/>
        <w:spacing w:line="240" w:lineRule="auto"/>
      </w:pPr>
    </w:p>
    <w:p w14:paraId="67F0AE1F" w14:textId="77777777" w:rsidR="006E3229" w:rsidRDefault="00B43C9C">
      <w:pPr>
        <w:spacing w:line="240" w:lineRule="auto"/>
      </w:pPr>
      <w:r>
        <w:t>La respuesta a las vacunas vivas o vivas atenuadas puede verse alterada en pacientes tratados con glucocorticoides.</w:t>
      </w:r>
    </w:p>
    <w:p w14:paraId="1754BEC5" w14:textId="77777777" w:rsidR="006E3229" w:rsidRDefault="00B43C9C">
      <w:pPr>
        <w:spacing w:line="240" w:lineRule="auto"/>
      </w:pPr>
      <w:r>
        <w:t>Se desconoce el riesgo cuando se administra AGAMREE.</w:t>
      </w:r>
    </w:p>
    <w:p w14:paraId="29274770" w14:textId="77777777" w:rsidR="006E3229" w:rsidRDefault="006E3229">
      <w:pPr>
        <w:spacing w:line="240" w:lineRule="auto"/>
        <w:rPr>
          <w:szCs w:val="22"/>
        </w:rPr>
      </w:pPr>
    </w:p>
    <w:p w14:paraId="62EC4C2E" w14:textId="77777777" w:rsidR="006E3229" w:rsidRDefault="00B43C9C">
      <w:pPr>
        <w:spacing w:line="240" w:lineRule="auto"/>
      </w:pPr>
      <w:r>
        <w:lastRenderedPageBreak/>
        <w:t>Las vacunas vivas atenuadas o vivas deben administrarse al menos 6 semanas antes de iniciar el tratamiento con AGAMREE.</w:t>
      </w:r>
    </w:p>
    <w:p w14:paraId="1E337F44" w14:textId="77777777" w:rsidR="006E3229" w:rsidRDefault="006E3229">
      <w:pPr>
        <w:spacing w:line="240" w:lineRule="auto"/>
      </w:pPr>
    </w:p>
    <w:p w14:paraId="38A62587" w14:textId="77777777" w:rsidR="006E3229" w:rsidRDefault="00B43C9C">
      <w:pPr>
        <w:spacing w:line="240" w:lineRule="auto"/>
      </w:pPr>
      <w:bookmarkStart w:id="8" w:name="_Hlk132186432"/>
      <w:bookmarkEnd w:id="7"/>
      <w:r>
        <w:t>En pacientes sin antecedentes de varicela o de vacunación, la vacunación contra el virus varicela-zóster debe iniciarse antes del tratamiento con AGAMREE.</w:t>
      </w:r>
    </w:p>
    <w:bookmarkEnd w:id="8"/>
    <w:p w14:paraId="58FA6D01" w14:textId="77777777" w:rsidR="006E3229" w:rsidRDefault="006E3229">
      <w:pPr>
        <w:spacing w:line="240" w:lineRule="auto"/>
        <w:rPr>
          <w:u w:val="single"/>
        </w:rPr>
      </w:pPr>
    </w:p>
    <w:p w14:paraId="1A34ABB6" w14:textId="77777777" w:rsidR="006E3229" w:rsidRDefault="00B43C9C">
      <w:pPr>
        <w:keepNext/>
        <w:spacing w:line="240" w:lineRule="auto"/>
        <w:rPr>
          <w:u w:val="single"/>
        </w:rPr>
      </w:pPr>
      <w:r>
        <w:rPr>
          <w:u w:val="single"/>
        </w:rPr>
        <w:t>Episodios tromboembólicos</w:t>
      </w:r>
    </w:p>
    <w:p w14:paraId="71AC319E" w14:textId="77777777" w:rsidR="006E3229" w:rsidRDefault="006E3229">
      <w:pPr>
        <w:keepNext/>
        <w:spacing w:line="240" w:lineRule="auto"/>
      </w:pPr>
    </w:p>
    <w:p w14:paraId="75F865B1" w14:textId="77777777" w:rsidR="006E3229" w:rsidRDefault="00B43C9C">
      <w:pPr>
        <w:spacing w:line="240" w:lineRule="auto"/>
      </w:pPr>
      <w:r>
        <w:t>Los estudios observacionales con glucocorticoides han demostrado un mayor riesgo de tromboembolia (incluida la tromboembolia venosa), especialmente con mayores dosis acumuladas de glucocorticoides.</w:t>
      </w:r>
    </w:p>
    <w:p w14:paraId="55623BB3" w14:textId="77777777" w:rsidR="006E3229" w:rsidRDefault="006E3229">
      <w:pPr>
        <w:spacing w:line="240" w:lineRule="auto"/>
      </w:pPr>
    </w:p>
    <w:p w14:paraId="34991A5E" w14:textId="77777777" w:rsidR="006E3229" w:rsidRDefault="00B43C9C">
      <w:pPr>
        <w:spacing w:line="240" w:lineRule="auto"/>
      </w:pPr>
      <w:r>
        <w:t>Se desconoce el riesgo cuando se administra AGAMREE. AGAMREE debe administrarse con precaución a pacientes que padecen trastornos tromboembólicos o que pueden estar predispuestos a ellos.</w:t>
      </w:r>
    </w:p>
    <w:p w14:paraId="709567E7" w14:textId="77777777" w:rsidR="006E3229" w:rsidRDefault="006E3229">
      <w:pPr>
        <w:spacing w:line="240" w:lineRule="auto"/>
      </w:pPr>
    </w:p>
    <w:p w14:paraId="2EC00E5E" w14:textId="77777777" w:rsidR="006E3229" w:rsidRDefault="00B43C9C">
      <w:pPr>
        <w:keepNext/>
        <w:spacing w:line="240" w:lineRule="auto"/>
        <w:rPr>
          <w:u w:val="single"/>
        </w:rPr>
      </w:pPr>
      <w:r>
        <w:rPr>
          <w:u w:val="single"/>
        </w:rPr>
        <w:t>Anafilaxia</w:t>
      </w:r>
    </w:p>
    <w:p w14:paraId="18F3F2F5" w14:textId="77777777" w:rsidR="006E3229" w:rsidRDefault="006E3229">
      <w:pPr>
        <w:keepNext/>
        <w:spacing w:line="240" w:lineRule="auto"/>
      </w:pPr>
    </w:p>
    <w:p w14:paraId="61BC6D6E" w14:textId="77777777" w:rsidR="006E3229" w:rsidRDefault="00B43C9C">
      <w:pPr>
        <w:spacing w:line="240" w:lineRule="auto"/>
      </w:pPr>
      <w:r>
        <w:t>Se han producido casos raros de anafilaxia en pacientes que recibían tratamiento con glucocorticoides.</w:t>
      </w:r>
    </w:p>
    <w:p w14:paraId="14BEF94B" w14:textId="77777777" w:rsidR="006E3229" w:rsidRDefault="006E3229">
      <w:pPr>
        <w:spacing w:line="240" w:lineRule="auto"/>
      </w:pPr>
    </w:p>
    <w:p w14:paraId="7D6E6E09" w14:textId="77777777" w:rsidR="006E3229" w:rsidRDefault="00B43C9C">
      <w:pPr>
        <w:spacing w:line="240" w:lineRule="auto"/>
      </w:pPr>
      <w:r>
        <w:t xml:space="preserve">La </w:t>
      </w:r>
      <w:proofErr w:type="spellStart"/>
      <w:r>
        <w:t>vamorolona</w:t>
      </w:r>
      <w:proofErr w:type="spellEnd"/>
      <w:r>
        <w:t xml:space="preserve"> comparte similitudes estructurales con los glucocorticoides y debe utilizarse con precaución en el tratamiento de pacientes con hipersensibilidad conocida a los glucocorticoides.</w:t>
      </w:r>
    </w:p>
    <w:p w14:paraId="10804D87" w14:textId="77777777" w:rsidR="006E3229" w:rsidRDefault="006E3229">
      <w:pPr>
        <w:spacing w:line="240" w:lineRule="auto"/>
      </w:pPr>
    </w:p>
    <w:p w14:paraId="252AEA11" w14:textId="77777777" w:rsidR="006E3229" w:rsidRDefault="00B43C9C">
      <w:pPr>
        <w:keepNext/>
        <w:spacing w:line="240" w:lineRule="auto"/>
        <w:rPr>
          <w:bCs/>
          <w:szCs w:val="22"/>
          <w:u w:val="single"/>
        </w:rPr>
      </w:pPr>
      <w:r>
        <w:rPr>
          <w:u w:val="single"/>
        </w:rPr>
        <w:t>Insuficiencia hepática</w:t>
      </w:r>
    </w:p>
    <w:p w14:paraId="7A626697" w14:textId="77777777" w:rsidR="006E3229" w:rsidRDefault="006E3229">
      <w:pPr>
        <w:keepNext/>
        <w:spacing w:line="240" w:lineRule="auto"/>
      </w:pPr>
    </w:p>
    <w:p w14:paraId="2C069595" w14:textId="77777777" w:rsidR="006E3229" w:rsidRDefault="00B43C9C">
      <w:pPr>
        <w:spacing w:line="240" w:lineRule="auto"/>
        <w:rPr>
          <w:rStyle w:val="normaltextrun"/>
          <w:color w:val="000000" w:themeColor="text1"/>
        </w:rPr>
      </w:pPr>
      <w:r>
        <w:rPr>
          <w:rStyle w:val="normaltextrun"/>
          <w:color w:val="000000" w:themeColor="text1"/>
        </w:rPr>
        <w:t xml:space="preserve">La </w:t>
      </w:r>
      <w:proofErr w:type="spellStart"/>
      <w:r>
        <w:rPr>
          <w:rStyle w:val="normaltextrun"/>
          <w:color w:val="000000" w:themeColor="text1"/>
        </w:rPr>
        <w:t>vamorolona</w:t>
      </w:r>
      <w:proofErr w:type="spellEnd"/>
      <w:r>
        <w:rPr>
          <w:rStyle w:val="normaltextrun"/>
          <w:color w:val="000000" w:themeColor="text1"/>
        </w:rPr>
        <w:t xml:space="preserve"> no se ha estudiado en pacientes con lesión hepática grave preexistente (clase C de Child-Pugh) y no debe administrarse a estos pacientes (ver sección 4.3).</w:t>
      </w:r>
    </w:p>
    <w:p w14:paraId="13A5502B" w14:textId="77777777" w:rsidR="006E3229" w:rsidRDefault="006E3229">
      <w:pPr>
        <w:spacing w:line="240" w:lineRule="auto"/>
        <w:rPr>
          <w:rStyle w:val="normaltextrun"/>
          <w:color w:val="000000" w:themeColor="text1"/>
        </w:rPr>
      </w:pPr>
    </w:p>
    <w:p w14:paraId="48014FB2" w14:textId="77777777" w:rsidR="006E3229" w:rsidRDefault="00B43C9C">
      <w:pPr>
        <w:keepNext/>
        <w:spacing w:line="240" w:lineRule="auto"/>
        <w:rPr>
          <w:u w:val="single"/>
        </w:rPr>
      </w:pPr>
      <w:r>
        <w:rPr>
          <w:u w:val="single"/>
        </w:rPr>
        <w:t>Uso concomitante con otros medicamentos</w:t>
      </w:r>
    </w:p>
    <w:p w14:paraId="755B43D7" w14:textId="77777777" w:rsidR="006E3229" w:rsidRDefault="006E3229">
      <w:pPr>
        <w:keepNext/>
        <w:spacing w:line="240" w:lineRule="auto"/>
        <w:rPr>
          <w:i/>
          <w:iCs/>
        </w:rPr>
      </w:pPr>
    </w:p>
    <w:p w14:paraId="494689B0" w14:textId="77777777" w:rsidR="006E3229" w:rsidRDefault="00B43C9C">
      <w:pPr>
        <w:keepNext/>
        <w:spacing w:line="240" w:lineRule="auto"/>
        <w:rPr>
          <w:i/>
          <w:iCs/>
        </w:rPr>
      </w:pPr>
      <w:r>
        <w:rPr>
          <w:i/>
        </w:rPr>
        <w:t xml:space="preserve">Sustratos de las </w:t>
      </w:r>
      <w:proofErr w:type="spellStart"/>
      <w:r>
        <w:rPr>
          <w:i/>
        </w:rPr>
        <w:t>glucuronosiltransferasas</w:t>
      </w:r>
      <w:proofErr w:type="spellEnd"/>
      <w:r>
        <w:rPr>
          <w:i/>
        </w:rPr>
        <w:t xml:space="preserve"> (UGT)</w:t>
      </w:r>
    </w:p>
    <w:p w14:paraId="321D0512" w14:textId="77777777" w:rsidR="006E3229" w:rsidRDefault="00B43C9C">
      <w:pPr>
        <w:spacing w:line="240" w:lineRule="auto"/>
      </w:pPr>
      <w:r>
        <w:t>No se ha evaluado completamente el potencial de interacciones medicamentosas con las UGT, por lo que todos los inhibidores de las UGT deben evitarse como medicación concomitante y deben utilizarse con precaución si es médicamente necesario.</w:t>
      </w:r>
    </w:p>
    <w:p w14:paraId="1E585F1B" w14:textId="77777777" w:rsidR="006E3229" w:rsidRDefault="006E3229">
      <w:pPr>
        <w:pStyle w:val="Default"/>
        <w:rPr>
          <w:sz w:val="22"/>
          <w:szCs w:val="22"/>
          <w:u w:val="single"/>
        </w:rPr>
      </w:pPr>
    </w:p>
    <w:p w14:paraId="3F4540F0" w14:textId="77777777" w:rsidR="006E3229" w:rsidRDefault="00B43C9C">
      <w:pPr>
        <w:keepNext/>
        <w:rPr>
          <w:u w:val="single"/>
        </w:rPr>
      </w:pPr>
      <w:r>
        <w:rPr>
          <w:u w:val="single"/>
        </w:rPr>
        <w:t>Excipientes</w:t>
      </w:r>
    </w:p>
    <w:p w14:paraId="5ED8FE85" w14:textId="77777777" w:rsidR="006E3229" w:rsidRDefault="006E3229">
      <w:pPr>
        <w:keepNext/>
      </w:pPr>
    </w:p>
    <w:p w14:paraId="45A90B29" w14:textId="77777777" w:rsidR="006E3229" w:rsidRDefault="00B43C9C">
      <w:pPr>
        <w:keepNext/>
        <w:rPr>
          <w:i/>
          <w:iCs/>
        </w:rPr>
      </w:pPr>
      <w:r>
        <w:rPr>
          <w:i/>
        </w:rPr>
        <w:t>Benzoato de sodio</w:t>
      </w:r>
    </w:p>
    <w:p w14:paraId="011DEB61" w14:textId="77777777" w:rsidR="006E3229" w:rsidRDefault="00B43C9C">
      <w:r>
        <w:t>Este medicamento contiene 1 mg de benzoato de sodio por cada 1 ml, lo que equivale a 100 mg/100 ml.</w:t>
      </w:r>
    </w:p>
    <w:p w14:paraId="73DBA6A7" w14:textId="77777777" w:rsidR="006E3229" w:rsidRDefault="006E3229">
      <w:pPr>
        <w:pStyle w:val="Default"/>
        <w:rPr>
          <w:sz w:val="22"/>
          <w:szCs w:val="22"/>
        </w:rPr>
      </w:pPr>
    </w:p>
    <w:p w14:paraId="4C953A45" w14:textId="77777777" w:rsidR="006E3229" w:rsidRDefault="00B43C9C">
      <w:pPr>
        <w:pStyle w:val="Default"/>
        <w:keepNext/>
        <w:spacing w:line="259" w:lineRule="auto"/>
        <w:rPr>
          <w:i/>
          <w:iCs/>
          <w:sz w:val="22"/>
          <w:szCs w:val="22"/>
        </w:rPr>
      </w:pPr>
      <w:r>
        <w:rPr>
          <w:i/>
          <w:sz w:val="22"/>
        </w:rPr>
        <w:t>Sodio</w:t>
      </w:r>
    </w:p>
    <w:p w14:paraId="13E95A23" w14:textId="77777777" w:rsidR="006E3229" w:rsidRDefault="00B43C9C">
      <w:pPr>
        <w:pStyle w:val="Default"/>
        <w:spacing w:line="259" w:lineRule="auto"/>
        <w:rPr>
          <w:sz w:val="22"/>
          <w:szCs w:val="22"/>
        </w:rPr>
      </w:pPr>
      <w:r>
        <w:rPr>
          <w:sz w:val="22"/>
        </w:rPr>
        <w:t>Este medicamento contiene menos de 1 mmol de sodio (23 mg) por 7,5 ml; esto es, esencialmente «exento de sodio».</w:t>
      </w:r>
    </w:p>
    <w:p w14:paraId="7A33A7DC" w14:textId="77777777" w:rsidR="006E3229" w:rsidRDefault="006E3229">
      <w:pPr>
        <w:spacing w:line="240" w:lineRule="auto"/>
        <w:ind w:left="567" w:hanging="567"/>
        <w:outlineLvl w:val="0"/>
        <w:rPr>
          <w:b/>
        </w:rPr>
      </w:pPr>
    </w:p>
    <w:p w14:paraId="2ABB9723" w14:textId="77777777" w:rsidR="006E3229" w:rsidRDefault="00B43C9C">
      <w:pPr>
        <w:keepNext/>
        <w:spacing w:line="240" w:lineRule="auto"/>
        <w:ind w:left="567" w:hanging="567"/>
        <w:outlineLvl w:val="0"/>
      </w:pPr>
      <w:r>
        <w:rPr>
          <w:rStyle w:val="DNEx2"/>
        </w:rPr>
        <w:t>4.5</w:t>
      </w:r>
      <w:r>
        <w:rPr>
          <w:rStyle w:val="DNEx2"/>
        </w:rPr>
        <w:tab/>
      </w:r>
      <w:r>
        <w:rPr>
          <w:b/>
        </w:rPr>
        <w:t>Interacción con otros medicamentos y otras formas de interacción</w:t>
      </w:r>
    </w:p>
    <w:p w14:paraId="79A1E910" w14:textId="77777777" w:rsidR="006E3229" w:rsidRDefault="006E3229">
      <w:pPr>
        <w:keepNext/>
        <w:spacing w:line="240" w:lineRule="auto"/>
      </w:pPr>
    </w:p>
    <w:p w14:paraId="5376F25D" w14:textId="77777777" w:rsidR="006E3229" w:rsidRDefault="00B43C9C">
      <w:pPr>
        <w:keepNext/>
        <w:spacing w:line="240" w:lineRule="auto"/>
        <w:rPr>
          <w:szCs w:val="22"/>
          <w:u w:val="single"/>
        </w:rPr>
      </w:pPr>
      <w:bookmarkStart w:id="9" w:name="_Hlk133589472"/>
      <w:r>
        <w:rPr>
          <w:u w:val="single"/>
        </w:rPr>
        <w:t>Interacciones farmacodinámicas</w:t>
      </w:r>
    </w:p>
    <w:p w14:paraId="153CB4D3" w14:textId="77777777" w:rsidR="006E3229" w:rsidRDefault="006E3229">
      <w:pPr>
        <w:keepNext/>
        <w:spacing w:line="240" w:lineRule="auto"/>
        <w:rPr>
          <w:u w:val="single"/>
        </w:rPr>
      </w:pPr>
    </w:p>
    <w:p w14:paraId="54F1D0BA" w14:textId="77777777" w:rsidR="006E3229" w:rsidRDefault="00B43C9C">
      <w:pPr>
        <w:spacing w:line="240" w:lineRule="auto"/>
      </w:pPr>
      <w:r>
        <w:t xml:space="preserve">La </w:t>
      </w:r>
      <w:proofErr w:type="spellStart"/>
      <w:r>
        <w:t>vamorolona</w:t>
      </w:r>
      <w:proofErr w:type="spellEnd"/>
      <w:r>
        <w:t xml:space="preserve"> actúa como antagonista del receptor mineralocorticoide. El uso de </w:t>
      </w:r>
      <w:proofErr w:type="spellStart"/>
      <w:r>
        <w:t>vamorolona</w:t>
      </w:r>
      <w:proofErr w:type="spellEnd"/>
      <w:r>
        <w:t xml:space="preserve"> en combinación con un antagonista de los receptores de mineralocorticoides puede aumentar el riesgo de hiperpotasemia. No se han observado casos de hiperpotasemia en pacientes que toman </w:t>
      </w:r>
      <w:proofErr w:type="spellStart"/>
      <w:r>
        <w:t>vamorolona</w:t>
      </w:r>
      <w:proofErr w:type="spellEnd"/>
      <w:r>
        <w:t xml:space="preserve"> en monoterapia o en combinación con </w:t>
      </w:r>
      <w:proofErr w:type="spellStart"/>
      <w:r>
        <w:t>eplerenona</w:t>
      </w:r>
      <w:proofErr w:type="spellEnd"/>
      <w:r>
        <w:t xml:space="preserve"> o espironolactona. Se recomienda controlar los niveles de potasio un mes después del inicio de una combinación entre la </w:t>
      </w:r>
      <w:proofErr w:type="spellStart"/>
      <w:r>
        <w:t>vamorolona</w:t>
      </w:r>
      <w:proofErr w:type="spellEnd"/>
      <w:r>
        <w:t xml:space="preserve"> y un antagonista de los receptores de mineralocorticoides. En caso de hiperpotasemia, debe considerarse una reducción de la dosis del antagonista de los receptores de mineralocorticoides.</w:t>
      </w:r>
    </w:p>
    <w:p w14:paraId="5BE153C0" w14:textId="77777777" w:rsidR="006E3229" w:rsidRDefault="006E3229">
      <w:pPr>
        <w:spacing w:line="240" w:lineRule="auto"/>
        <w:rPr>
          <w:u w:val="single"/>
        </w:rPr>
      </w:pPr>
    </w:p>
    <w:p w14:paraId="6E56C0F8" w14:textId="77777777" w:rsidR="006E3229" w:rsidRDefault="00B43C9C">
      <w:pPr>
        <w:keepNext/>
        <w:spacing w:line="240" w:lineRule="auto"/>
        <w:rPr>
          <w:u w:val="single"/>
        </w:rPr>
      </w:pPr>
      <w:r>
        <w:rPr>
          <w:u w:val="single"/>
        </w:rPr>
        <w:lastRenderedPageBreak/>
        <w:t>Interacciones farmacocinéticas</w:t>
      </w:r>
    </w:p>
    <w:p w14:paraId="1135CA3B" w14:textId="77777777" w:rsidR="006E3229" w:rsidRDefault="006E3229">
      <w:pPr>
        <w:keepNext/>
        <w:spacing w:line="240" w:lineRule="auto"/>
        <w:rPr>
          <w:u w:val="single"/>
        </w:rPr>
      </w:pPr>
    </w:p>
    <w:p w14:paraId="579BEEB5" w14:textId="77777777" w:rsidR="006E3229" w:rsidRDefault="00B43C9C">
      <w:pPr>
        <w:keepNext/>
        <w:spacing w:line="240" w:lineRule="auto"/>
        <w:rPr>
          <w:i/>
        </w:rPr>
      </w:pPr>
      <w:r>
        <w:rPr>
          <w:i/>
        </w:rPr>
        <w:t xml:space="preserve">Efecto de otros medicamentos sobre la </w:t>
      </w:r>
      <w:proofErr w:type="spellStart"/>
      <w:r>
        <w:rPr>
          <w:i/>
        </w:rPr>
        <w:t>vamorolona</w:t>
      </w:r>
      <w:proofErr w:type="spellEnd"/>
    </w:p>
    <w:p w14:paraId="14217537" w14:textId="77777777" w:rsidR="006E3229" w:rsidRDefault="00B43C9C">
      <w:pPr>
        <w:spacing w:line="240" w:lineRule="auto"/>
      </w:pPr>
      <w:r>
        <w:t xml:space="preserve">La administración concomitante con itraconazol, un inhibidor potente de la enzima CYP3A4, produjo un aumento del área de </w:t>
      </w:r>
      <w:proofErr w:type="spellStart"/>
      <w:r>
        <w:t>vamorolona</w:t>
      </w:r>
      <w:proofErr w:type="spellEnd"/>
      <w:r>
        <w:t xml:space="preserve"> bajo la curva de concentración plasmática-tiempo de 1,45 veces en personas sanas. La dosis recomendada de </w:t>
      </w:r>
      <w:proofErr w:type="spellStart"/>
      <w:r>
        <w:t>vamorolona</w:t>
      </w:r>
      <w:proofErr w:type="spellEnd"/>
      <w:r>
        <w:t xml:space="preserve"> cuando se administra con inhibidores potentes de la CYP3A4 (p. ej. telitromicina, claritromicina, voriconazol, zumo de pomelo) es de 4 mg/kg/día.</w:t>
      </w:r>
    </w:p>
    <w:p w14:paraId="629A8230" w14:textId="77777777" w:rsidR="006E3229" w:rsidRDefault="006E3229">
      <w:pPr>
        <w:spacing w:line="240" w:lineRule="auto"/>
      </w:pPr>
    </w:p>
    <w:p w14:paraId="5C816904" w14:textId="77777777" w:rsidR="006E3229" w:rsidRDefault="00B43C9C">
      <w:pPr>
        <w:spacing w:line="240" w:lineRule="auto"/>
      </w:pPr>
      <w:r>
        <w:t xml:space="preserve">Los inductores potentes de la CYP3A4 o los inductores potentes del receptor PXR (p. ej. carbamazepina, fenitoína, rifampicina, hierba de San Juan) pueden disminuir las concentraciones plasmáticas de </w:t>
      </w:r>
      <w:proofErr w:type="spellStart"/>
      <w:r>
        <w:t>vamorolona</w:t>
      </w:r>
      <w:proofErr w:type="spellEnd"/>
      <w:r>
        <w:t xml:space="preserve"> y provocar una falta de eficacia, por lo que deben considerarse tratamientos alternativos que no sean inductores potentes de la actividad de la CYP3A4. El tratamiento concomitante con un inductor moderado del PXR o de la CYP3A4 debe utilizarse con precaución, ya que la concentración plasmática de </w:t>
      </w:r>
      <w:proofErr w:type="spellStart"/>
      <w:r>
        <w:t>vamorolona</w:t>
      </w:r>
      <w:proofErr w:type="spellEnd"/>
      <w:r>
        <w:t xml:space="preserve"> puede disminuir de forma relevante.</w:t>
      </w:r>
    </w:p>
    <w:p w14:paraId="6BA6A8C6" w14:textId="77777777" w:rsidR="006E3229" w:rsidRDefault="006E3229">
      <w:pPr>
        <w:spacing w:line="240" w:lineRule="auto"/>
      </w:pPr>
    </w:p>
    <w:bookmarkEnd w:id="9"/>
    <w:p w14:paraId="73A5AA77" w14:textId="77777777" w:rsidR="006E3229" w:rsidRDefault="00B43C9C">
      <w:pPr>
        <w:keepNext/>
        <w:spacing w:line="240" w:lineRule="auto"/>
        <w:ind w:left="567" w:hanging="567"/>
        <w:outlineLvl w:val="0"/>
        <w:rPr>
          <w:szCs w:val="22"/>
        </w:rPr>
      </w:pPr>
      <w:r>
        <w:rPr>
          <w:rStyle w:val="DNEx2"/>
        </w:rPr>
        <w:t>4.6</w:t>
      </w:r>
      <w:r>
        <w:rPr>
          <w:rStyle w:val="DNEx2"/>
        </w:rPr>
        <w:tab/>
      </w:r>
      <w:r>
        <w:rPr>
          <w:b/>
        </w:rPr>
        <w:t>Fertilidad, embarazo y lactancia</w:t>
      </w:r>
    </w:p>
    <w:p w14:paraId="35897EDB" w14:textId="77777777" w:rsidR="006E3229" w:rsidRDefault="006E3229">
      <w:pPr>
        <w:keepNext/>
        <w:spacing w:line="240" w:lineRule="auto"/>
        <w:rPr>
          <w:szCs w:val="22"/>
        </w:rPr>
      </w:pPr>
    </w:p>
    <w:p w14:paraId="76D4797D" w14:textId="77777777" w:rsidR="006E3229" w:rsidRDefault="00B43C9C">
      <w:pPr>
        <w:keepNext/>
        <w:spacing w:line="240" w:lineRule="auto"/>
        <w:rPr>
          <w:u w:val="single"/>
        </w:rPr>
      </w:pPr>
      <w:r>
        <w:rPr>
          <w:u w:val="single"/>
        </w:rPr>
        <w:t>Embarazo</w:t>
      </w:r>
    </w:p>
    <w:p w14:paraId="504599C2" w14:textId="77777777" w:rsidR="006E3229" w:rsidRDefault="006E3229">
      <w:pPr>
        <w:keepNext/>
        <w:spacing w:line="240" w:lineRule="auto"/>
        <w:rPr>
          <w:u w:val="single"/>
        </w:rPr>
      </w:pPr>
    </w:p>
    <w:p w14:paraId="1928904E" w14:textId="045AAD4A" w:rsidR="006E3229" w:rsidRDefault="00B43C9C">
      <w:pPr>
        <w:spacing w:line="240" w:lineRule="auto"/>
      </w:pPr>
      <w:r>
        <w:t xml:space="preserve">No se dispone de datos sobre el uso de </w:t>
      </w:r>
      <w:proofErr w:type="spellStart"/>
      <w:r>
        <w:t>vamorolona</w:t>
      </w:r>
      <w:proofErr w:type="spellEnd"/>
      <w:r>
        <w:t xml:space="preserve"> en mujeres embarazadas. </w:t>
      </w:r>
      <w:r w:rsidR="001200DC">
        <w:t>Los</w:t>
      </w:r>
      <w:r>
        <w:t xml:space="preserve"> estudios de toxicidad para la reproducción en animales con </w:t>
      </w:r>
      <w:proofErr w:type="spellStart"/>
      <w:r>
        <w:t>vamorolona</w:t>
      </w:r>
      <w:proofErr w:type="spellEnd"/>
      <w:r w:rsidR="001200DC">
        <w:t xml:space="preserve"> han</w:t>
      </w:r>
      <w:r w:rsidR="00E04B59">
        <w:t xml:space="preserve"> </w:t>
      </w:r>
      <w:r w:rsidR="001200DC">
        <w:t xml:space="preserve">mostrado </w:t>
      </w:r>
      <w:r w:rsidR="001200DC">
        <w:rPr>
          <w:szCs w:val="22"/>
          <w:lang w:val="es-ES_tradnl"/>
        </w:rPr>
        <w:t>toxicidad para la reproducción (ver sección 5.3)</w:t>
      </w:r>
      <w:r>
        <w:t xml:space="preserve">. En estudios realizados con animales, los glucocorticoides se </w:t>
      </w:r>
      <w:r w:rsidR="001200DC">
        <w:t xml:space="preserve">han asociado </w:t>
      </w:r>
      <w:r>
        <w:t>a varios tipos de malformaciones (fisura palatina, malformaciones esqueléticas).</w:t>
      </w:r>
    </w:p>
    <w:p w14:paraId="4434B83C" w14:textId="77777777" w:rsidR="006E3229" w:rsidRDefault="006E3229">
      <w:pPr>
        <w:spacing w:line="240" w:lineRule="auto"/>
      </w:pPr>
    </w:p>
    <w:p w14:paraId="358C9C9B" w14:textId="30D7ED7C" w:rsidR="006E3229" w:rsidRDefault="00B43C9C">
      <w:pPr>
        <w:spacing w:line="240" w:lineRule="auto"/>
      </w:pPr>
      <w:r>
        <w:t xml:space="preserve">No se debe administrar AGAMREE durante el embarazo a menos que el estado clínico de la mujer requiera un tratamiento con </w:t>
      </w:r>
      <w:proofErr w:type="spellStart"/>
      <w:r>
        <w:t>vamorolona</w:t>
      </w:r>
      <w:proofErr w:type="spellEnd"/>
      <w:r>
        <w:t>.</w:t>
      </w:r>
    </w:p>
    <w:p w14:paraId="6E60B2BC" w14:textId="77777777" w:rsidR="006E3229" w:rsidRDefault="006E3229">
      <w:pPr>
        <w:spacing w:line="240" w:lineRule="auto"/>
      </w:pPr>
    </w:p>
    <w:p w14:paraId="0EB5BAA1" w14:textId="66BE6F4F" w:rsidR="006E3229" w:rsidRDefault="00B43C9C">
      <w:pPr>
        <w:spacing w:line="240" w:lineRule="auto"/>
      </w:pPr>
      <w:r>
        <w:t>Las mujeres en edad fértil deben utilizar métodos anticonceptivos eficaces durante el tratamiento con AGAMREE.</w:t>
      </w:r>
    </w:p>
    <w:p w14:paraId="6CC56E5B" w14:textId="77777777" w:rsidR="006E3229" w:rsidRDefault="006E3229">
      <w:pPr>
        <w:spacing w:line="240" w:lineRule="auto"/>
        <w:rPr>
          <w:szCs w:val="22"/>
        </w:rPr>
      </w:pPr>
    </w:p>
    <w:p w14:paraId="6D2777EA" w14:textId="77777777" w:rsidR="006E3229" w:rsidRDefault="00B43C9C">
      <w:pPr>
        <w:keepNext/>
        <w:spacing w:line="240" w:lineRule="auto"/>
        <w:rPr>
          <w:u w:val="single"/>
        </w:rPr>
      </w:pPr>
      <w:r>
        <w:rPr>
          <w:u w:val="single"/>
        </w:rPr>
        <w:t>Lactancia</w:t>
      </w:r>
    </w:p>
    <w:p w14:paraId="1E304AB7" w14:textId="77777777" w:rsidR="006E3229" w:rsidRDefault="006E3229">
      <w:pPr>
        <w:keepNext/>
        <w:spacing w:line="240" w:lineRule="auto"/>
      </w:pPr>
    </w:p>
    <w:p w14:paraId="3DAF07F3" w14:textId="77777777" w:rsidR="006E3229" w:rsidRDefault="00B43C9C">
      <w:pPr>
        <w:spacing w:line="240" w:lineRule="auto"/>
      </w:pPr>
      <w:r>
        <w:t xml:space="preserve">No se dispone de datos sobre la excreción de </w:t>
      </w:r>
      <w:proofErr w:type="spellStart"/>
      <w:r>
        <w:t>vamorolona</w:t>
      </w:r>
      <w:proofErr w:type="spellEnd"/>
      <w:r>
        <w:t xml:space="preserve"> o de sus metabolitos en la leche materna. No se puede excluir el riesgo en recién nacidos/lactantes. La lactancia materna debe interrumpirse durante el tratamiento con AGAMREE.</w:t>
      </w:r>
    </w:p>
    <w:p w14:paraId="7ED0DB53" w14:textId="77777777" w:rsidR="006E3229" w:rsidRDefault="006E3229">
      <w:pPr>
        <w:spacing w:line="240" w:lineRule="auto"/>
        <w:rPr>
          <w:b/>
          <w:szCs w:val="22"/>
        </w:rPr>
      </w:pPr>
    </w:p>
    <w:p w14:paraId="2D7B0E7E" w14:textId="77777777" w:rsidR="006E3229" w:rsidRDefault="00B43C9C">
      <w:pPr>
        <w:keepNext/>
        <w:spacing w:line="240" w:lineRule="auto"/>
        <w:rPr>
          <w:u w:val="single"/>
        </w:rPr>
      </w:pPr>
      <w:r>
        <w:rPr>
          <w:u w:val="single"/>
        </w:rPr>
        <w:t>Fertilidad</w:t>
      </w:r>
    </w:p>
    <w:p w14:paraId="64E7BDAE" w14:textId="77777777" w:rsidR="006E3229" w:rsidRDefault="006E3229">
      <w:pPr>
        <w:keepNext/>
        <w:spacing w:line="240" w:lineRule="auto"/>
      </w:pPr>
    </w:p>
    <w:p w14:paraId="2964A81C" w14:textId="77777777" w:rsidR="006E3229" w:rsidRDefault="00B43C9C">
      <w:pPr>
        <w:spacing w:line="240" w:lineRule="auto"/>
      </w:pPr>
      <w:r>
        <w:t xml:space="preserve">No hay datos clínicos sobre los efectos de la </w:t>
      </w:r>
      <w:proofErr w:type="spellStart"/>
      <w:r>
        <w:t>vamorolona</w:t>
      </w:r>
      <w:proofErr w:type="spellEnd"/>
      <w:r>
        <w:t xml:space="preserve"> en la fertilidad.</w:t>
      </w:r>
    </w:p>
    <w:p w14:paraId="1592033B" w14:textId="77777777" w:rsidR="006E3229" w:rsidRDefault="006E3229">
      <w:pPr>
        <w:spacing w:line="240" w:lineRule="auto"/>
      </w:pPr>
    </w:p>
    <w:p w14:paraId="1D92A5BC" w14:textId="77777777" w:rsidR="006E3229" w:rsidRDefault="00B43C9C">
      <w:pPr>
        <w:spacing w:line="240" w:lineRule="auto"/>
      </w:pPr>
      <w:r>
        <w:t xml:space="preserve">El tratamiento a largo plazo con </w:t>
      </w:r>
      <w:proofErr w:type="spellStart"/>
      <w:r>
        <w:t>vamorolona</w:t>
      </w:r>
      <w:proofErr w:type="spellEnd"/>
      <w:r>
        <w:t xml:space="preserve"> inhibió la fertilidad de machos y hembras en perros (ver sección 5.3).</w:t>
      </w:r>
    </w:p>
    <w:p w14:paraId="1DECD2B9" w14:textId="77777777" w:rsidR="006E3229" w:rsidRDefault="006E3229">
      <w:pPr>
        <w:spacing w:line="240" w:lineRule="auto"/>
        <w:jc w:val="both"/>
        <w:rPr>
          <w:szCs w:val="22"/>
        </w:rPr>
      </w:pPr>
    </w:p>
    <w:p w14:paraId="215CCA3E" w14:textId="77777777" w:rsidR="006E3229" w:rsidRDefault="00B43C9C">
      <w:pPr>
        <w:keepNext/>
        <w:spacing w:line="240" w:lineRule="auto"/>
        <w:ind w:left="567" w:hanging="567"/>
        <w:outlineLvl w:val="0"/>
        <w:rPr>
          <w:szCs w:val="22"/>
        </w:rPr>
      </w:pPr>
      <w:r>
        <w:rPr>
          <w:rStyle w:val="DNEx2"/>
        </w:rPr>
        <w:t>4.7</w:t>
      </w:r>
      <w:r>
        <w:rPr>
          <w:rStyle w:val="DNEx2"/>
        </w:rPr>
        <w:tab/>
      </w:r>
      <w:r>
        <w:rPr>
          <w:b/>
        </w:rPr>
        <w:t>Efectos sobre la capacidad para conducir y utilizar máquinas</w:t>
      </w:r>
    </w:p>
    <w:p w14:paraId="7FC7677D" w14:textId="77777777" w:rsidR="006E3229" w:rsidRDefault="006E3229">
      <w:pPr>
        <w:keepNext/>
        <w:spacing w:line="240" w:lineRule="auto"/>
        <w:rPr>
          <w:szCs w:val="22"/>
        </w:rPr>
      </w:pPr>
    </w:p>
    <w:p w14:paraId="1FDA24BE" w14:textId="77777777" w:rsidR="006E3229" w:rsidRDefault="00B43C9C">
      <w:pPr>
        <w:spacing w:line="240" w:lineRule="auto"/>
      </w:pPr>
      <w:r>
        <w:t>La influencia de AGAMREE sobre la capacidad para conducir y utilizar máquinas es nula.</w:t>
      </w:r>
    </w:p>
    <w:p w14:paraId="0EC04A18" w14:textId="77777777" w:rsidR="006E3229" w:rsidRDefault="006E3229">
      <w:pPr>
        <w:spacing w:line="240" w:lineRule="auto"/>
        <w:rPr>
          <w:szCs w:val="22"/>
        </w:rPr>
      </w:pPr>
    </w:p>
    <w:p w14:paraId="01E72F9F" w14:textId="77777777" w:rsidR="006E3229" w:rsidRDefault="00B43C9C">
      <w:pPr>
        <w:keepNext/>
        <w:spacing w:line="240" w:lineRule="auto"/>
        <w:outlineLvl w:val="0"/>
        <w:rPr>
          <w:b/>
          <w:szCs w:val="22"/>
        </w:rPr>
      </w:pPr>
      <w:r>
        <w:rPr>
          <w:rStyle w:val="DNEx2"/>
        </w:rPr>
        <w:t>4.8</w:t>
      </w:r>
      <w:r>
        <w:rPr>
          <w:rStyle w:val="DNEx2"/>
        </w:rPr>
        <w:tab/>
      </w:r>
      <w:r>
        <w:rPr>
          <w:b/>
        </w:rPr>
        <w:t>Reacciones adversas</w:t>
      </w:r>
    </w:p>
    <w:p w14:paraId="1D1AA362" w14:textId="77777777" w:rsidR="006E3229" w:rsidRDefault="006E3229">
      <w:pPr>
        <w:keepNext/>
        <w:autoSpaceDE w:val="0"/>
        <w:autoSpaceDN w:val="0"/>
        <w:adjustRightInd w:val="0"/>
        <w:spacing w:line="240" w:lineRule="auto"/>
        <w:jc w:val="both"/>
        <w:rPr>
          <w:szCs w:val="22"/>
        </w:rPr>
      </w:pPr>
    </w:p>
    <w:p w14:paraId="21FA980F" w14:textId="77777777" w:rsidR="006E3229" w:rsidRDefault="00B43C9C">
      <w:pPr>
        <w:pStyle w:val="NormalWeb"/>
        <w:keepNext/>
        <w:spacing w:before="0" w:beforeAutospacing="0" w:after="0" w:afterAutospacing="0"/>
        <w:rPr>
          <w:sz w:val="22"/>
          <w:szCs w:val="22"/>
          <w:u w:val="single"/>
        </w:rPr>
      </w:pPr>
      <w:bookmarkStart w:id="10" w:name="_Hlk131173549"/>
      <w:r>
        <w:rPr>
          <w:sz w:val="22"/>
          <w:u w:val="single"/>
        </w:rPr>
        <w:t>Resumen del perfil de seguridad</w:t>
      </w:r>
    </w:p>
    <w:p w14:paraId="25A83D6F" w14:textId="77777777" w:rsidR="006E3229" w:rsidRDefault="006E3229">
      <w:pPr>
        <w:keepNext/>
        <w:spacing w:line="240" w:lineRule="auto"/>
      </w:pPr>
    </w:p>
    <w:p w14:paraId="424997D4" w14:textId="77777777" w:rsidR="006E3229" w:rsidRDefault="00B43C9C">
      <w:pPr>
        <w:spacing w:line="240" w:lineRule="auto"/>
      </w:pPr>
      <w:r>
        <w:t xml:space="preserve">Las reacciones adversas notificadas con más frecuencia en relación con la </w:t>
      </w:r>
      <w:proofErr w:type="spellStart"/>
      <w:r>
        <w:t>vamorolona</w:t>
      </w:r>
      <w:proofErr w:type="spellEnd"/>
      <w:r>
        <w:t xml:space="preserve"> 6 mg/kg/día son síntomas del síndrome de Cushing (28,6 %), vómitos (14,3 %), aumento del peso (10,7 %) e irritabilidad (10,7 %). Estas reacciones, normalmente notificadas en los primeros meses de </w:t>
      </w:r>
      <w:r>
        <w:lastRenderedPageBreak/>
        <w:t>tratamiento, dependen de la dosis y tienden a disminuir o estabilizarse a lo largo del tiempo con un tratamiento continuo.</w:t>
      </w:r>
    </w:p>
    <w:p w14:paraId="1C5264F4" w14:textId="77777777" w:rsidR="006E3229" w:rsidRDefault="006E3229">
      <w:pPr>
        <w:spacing w:line="240" w:lineRule="auto"/>
      </w:pPr>
    </w:p>
    <w:p w14:paraId="1FF79C51" w14:textId="77777777" w:rsidR="006E3229" w:rsidRDefault="00B43C9C">
      <w:pPr>
        <w:spacing w:line="240" w:lineRule="auto"/>
      </w:pPr>
      <w:r>
        <w:t xml:space="preserve">La </w:t>
      </w:r>
      <w:proofErr w:type="spellStart"/>
      <w:r>
        <w:t>vamorolona</w:t>
      </w:r>
      <w:proofErr w:type="spellEnd"/>
      <w:r>
        <w:t xml:space="preserve"> provoca la supresión del eje hipotálamo-hipofisario-suprarrenal, que se correlaciona con la dosis y la duración del tratamiento. La insuficiencia suprarrenal aguda (crisis suprarrenal) es un efecto grave que puede producirse durante un período de aumento del estrés o si la dosis de </w:t>
      </w:r>
      <w:proofErr w:type="spellStart"/>
      <w:r>
        <w:t>vamorolona</w:t>
      </w:r>
      <w:proofErr w:type="spellEnd"/>
      <w:r>
        <w:t xml:space="preserve"> se reduce o se interrumpe bruscamente (ver sección 4.4).</w:t>
      </w:r>
    </w:p>
    <w:p w14:paraId="79348153" w14:textId="77777777" w:rsidR="006E3229" w:rsidRDefault="006E3229">
      <w:pPr>
        <w:spacing w:line="240" w:lineRule="auto"/>
      </w:pPr>
    </w:p>
    <w:p w14:paraId="6E524C4E" w14:textId="77777777" w:rsidR="006E3229" w:rsidRDefault="00B43C9C">
      <w:pPr>
        <w:pStyle w:val="NormalWeb"/>
        <w:keepNext/>
        <w:spacing w:before="0" w:beforeAutospacing="0" w:after="0" w:afterAutospacing="0"/>
        <w:rPr>
          <w:sz w:val="22"/>
          <w:szCs w:val="22"/>
          <w:u w:val="single"/>
        </w:rPr>
      </w:pPr>
      <w:r>
        <w:rPr>
          <w:sz w:val="22"/>
          <w:u w:val="single"/>
        </w:rPr>
        <w:t>Tabla de reacciones adversas</w:t>
      </w:r>
    </w:p>
    <w:p w14:paraId="66462F9D" w14:textId="77777777" w:rsidR="006E3229" w:rsidRDefault="006E3229">
      <w:pPr>
        <w:pStyle w:val="NormalWeb"/>
        <w:keepNext/>
        <w:spacing w:before="0" w:beforeAutospacing="0" w:after="0" w:afterAutospacing="0"/>
        <w:rPr>
          <w:sz w:val="22"/>
          <w:szCs w:val="22"/>
          <w:lang w:eastAsia="en-US"/>
        </w:rPr>
      </w:pPr>
    </w:p>
    <w:p w14:paraId="2D9D8DCD" w14:textId="77777777" w:rsidR="006E3229" w:rsidRDefault="00B43C9C">
      <w:pPr>
        <w:spacing w:line="240" w:lineRule="auto"/>
      </w:pPr>
      <w:r>
        <w:t xml:space="preserve">A </w:t>
      </w:r>
      <w:proofErr w:type="gramStart"/>
      <w:r>
        <w:t>continuación</w:t>
      </w:r>
      <w:proofErr w:type="gramEnd"/>
      <w:r>
        <w:t xml:space="preserve"> se enumeran las reacciones adversas de acuerdo con la clasificación por órganos y sistemas de MedDRA y en función de la frecuencia. La tabla contiene reacciones adversas en pacientes tratados en el estudio controlado con placebo para pacientes tratados con </w:t>
      </w:r>
      <w:proofErr w:type="spellStart"/>
      <w:r>
        <w:t>vamorolona</w:t>
      </w:r>
      <w:proofErr w:type="spellEnd"/>
      <w:r>
        <w:t xml:space="preserve"> 6 mg/kg/día (Grupo 1). Las frecuencias se definen de la siguiente manera: muy frecuentes (≥ 1/10), frecuentes (≥ 1/100 a &lt; 1/10), poco frecuentes (≥ 1/1 000 a &lt; 1/100), raras (≥ 1/10 000 a &lt; 1/1 000), muy raras (&lt; 1/10 000) (incluidos casos aislados) y frecuencia no conocida (no puede estimarse a partir de los datos disponibles).</w:t>
      </w:r>
    </w:p>
    <w:p w14:paraId="1055BD4E" w14:textId="77777777" w:rsidR="006E3229" w:rsidRDefault="00B43C9C">
      <w:pPr>
        <w:pStyle w:val="Caption"/>
        <w:rPr>
          <w:b w:val="0"/>
          <w:bCs w:val="0"/>
          <w:highlight w:val="yellow"/>
        </w:rPr>
      </w:pPr>
      <w:r>
        <w:t>Tabla </w:t>
      </w:r>
      <w:r>
        <w:fldChar w:fldCharType="begin"/>
      </w:r>
      <w:r>
        <w:instrText>SEQ Table \* ARABIC</w:instrText>
      </w:r>
      <w:r>
        <w:fldChar w:fldCharType="separate"/>
      </w:r>
      <w:r>
        <w:t>2</w:t>
      </w:r>
      <w:r>
        <w:fldChar w:fldCharType="end"/>
      </w:r>
      <w:r>
        <w:t>:</w:t>
      </w:r>
      <w:r>
        <w:rPr>
          <w:rStyle w:val="DNEx2"/>
        </w:rPr>
        <w:tab/>
      </w:r>
      <w:r>
        <w:t>Reacciones adversas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06"/>
        <w:gridCol w:w="3007"/>
        <w:gridCol w:w="3048"/>
      </w:tblGrid>
      <w:tr w:rsidR="006E3229" w14:paraId="35AF2902" w14:textId="77777777">
        <w:tc>
          <w:tcPr>
            <w:tcW w:w="3006" w:type="dxa"/>
          </w:tcPr>
          <w:p w14:paraId="444C05EB" w14:textId="77777777" w:rsidR="006E3229" w:rsidRDefault="00B43C9C">
            <w:pPr>
              <w:pStyle w:val="NormalWeb"/>
              <w:keepNext/>
              <w:spacing w:before="0" w:beforeAutospacing="0" w:after="0" w:afterAutospacing="0"/>
              <w:rPr>
                <w:b/>
                <w:bCs/>
                <w:sz w:val="22"/>
                <w:szCs w:val="22"/>
              </w:rPr>
            </w:pPr>
            <w:r>
              <w:rPr>
                <w:b/>
                <w:sz w:val="22"/>
              </w:rPr>
              <w:t>Clasificación por órganos y sistemas (SOC</w:t>
            </w:r>
            <w:r>
              <w:rPr>
                <w:sz w:val="22"/>
              </w:rPr>
              <w:t>, por sus siglas en inglés</w:t>
            </w:r>
            <w:r>
              <w:rPr>
                <w:b/>
                <w:sz w:val="22"/>
              </w:rPr>
              <w:t>)</w:t>
            </w:r>
          </w:p>
        </w:tc>
        <w:tc>
          <w:tcPr>
            <w:tcW w:w="3007" w:type="dxa"/>
          </w:tcPr>
          <w:p w14:paraId="338BE522" w14:textId="77777777" w:rsidR="006E3229" w:rsidRDefault="00B43C9C">
            <w:pPr>
              <w:pStyle w:val="NormalWeb"/>
              <w:keepNext/>
              <w:spacing w:before="0" w:beforeAutospacing="0" w:after="0" w:afterAutospacing="0"/>
              <w:rPr>
                <w:b/>
                <w:bCs/>
                <w:sz w:val="22"/>
                <w:szCs w:val="22"/>
              </w:rPr>
            </w:pPr>
            <w:r>
              <w:rPr>
                <w:b/>
                <w:sz w:val="22"/>
              </w:rPr>
              <w:t>Reacción adversa (término preferente)</w:t>
            </w:r>
          </w:p>
        </w:tc>
        <w:tc>
          <w:tcPr>
            <w:tcW w:w="3048" w:type="dxa"/>
          </w:tcPr>
          <w:p w14:paraId="18E21E3F" w14:textId="77777777" w:rsidR="006E3229" w:rsidRDefault="00B43C9C">
            <w:pPr>
              <w:pStyle w:val="NormalWeb"/>
              <w:keepNext/>
              <w:spacing w:before="0" w:beforeAutospacing="0" w:after="0" w:afterAutospacing="0"/>
              <w:rPr>
                <w:b/>
                <w:sz w:val="22"/>
                <w:szCs w:val="22"/>
              </w:rPr>
            </w:pPr>
            <w:r>
              <w:rPr>
                <w:b/>
                <w:sz w:val="22"/>
              </w:rPr>
              <w:t>Frecuencia</w:t>
            </w:r>
          </w:p>
        </w:tc>
      </w:tr>
      <w:tr w:rsidR="006E3229" w14:paraId="2A7F459F" w14:textId="77777777">
        <w:tc>
          <w:tcPr>
            <w:tcW w:w="3006" w:type="dxa"/>
          </w:tcPr>
          <w:p w14:paraId="1BC50E91" w14:textId="77777777" w:rsidR="006E3229" w:rsidRDefault="00B43C9C">
            <w:pPr>
              <w:pStyle w:val="NormalWeb"/>
              <w:spacing w:before="0" w:beforeAutospacing="0" w:after="0" w:afterAutospacing="0"/>
              <w:rPr>
                <w:sz w:val="22"/>
                <w:szCs w:val="22"/>
              </w:rPr>
            </w:pPr>
            <w:r>
              <w:rPr>
                <w:sz w:val="22"/>
              </w:rPr>
              <w:t>Trastornos endocrinos</w:t>
            </w:r>
          </w:p>
        </w:tc>
        <w:tc>
          <w:tcPr>
            <w:tcW w:w="3007" w:type="dxa"/>
          </w:tcPr>
          <w:p w14:paraId="71CC862C" w14:textId="77777777" w:rsidR="006E3229" w:rsidRDefault="00B43C9C">
            <w:pPr>
              <w:pStyle w:val="NormalWeb"/>
              <w:spacing w:before="0" w:beforeAutospacing="0" w:after="0" w:afterAutospacing="0"/>
              <w:rPr>
                <w:sz w:val="22"/>
                <w:szCs w:val="22"/>
              </w:rPr>
            </w:pPr>
            <w:r>
              <w:rPr>
                <w:sz w:val="22"/>
              </w:rPr>
              <w:t>Síndrome de Cushing</w:t>
            </w:r>
          </w:p>
        </w:tc>
        <w:tc>
          <w:tcPr>
            <w:tcW w:w="3048" w:type="dxa"/>
          </w:tcPr>
          <w:p w14:paraId="4E443A59" w14:textId="77777777" w:rsidR="006E3229" w:rsidRDefault="00B43C9C">
            <w:pPr>
              <w:pStyle w:val="NormalWeb"/>
              <w:spacing w:before="0" w:beforeAutospacing="0" w:after="0" w:afterAutospacing="0"/>
              <w:rPr>
                <w:sz w:val="22"/>
                <w:szCs w:val="22"/>
              </w:rPr>
            </w:pPr>
            <w:r>
              <w:rPr>
                <w:sz w:val="22"/>
              </w:rPr>
              <w:t>Muy frecuentes</w:t>
            </w:r>
          </w:p>
        </w:tc>
      </w:tr>
      <w:tr w:rsidR="006E3229" w14:paraId="4052F754" w14:textId="77777777">
        <w:tc>
          <w:tcPr>
            <w:tcW w:w="3006" w:type="dxa"/>
          </w:tcPr>
          <w:p w14:paraId="6F9E9DB4" w14:textId="77777777" w:rsidR="006E3229" w:rsidRDefault="00B43C9C">
            <w:pPr>
              <w:pStyle w:val="NormalWeb"/>
              <w:spacing w:before="0" w:beforeAutospacing="0" w:after="0" w:afterAutospacing="0"/>
              <w:rPr>
                <w:sz w:val="22"/>
                <w:szCs w:val="22"/>
              </w:rPr>
            </w:pPr>
            <w:r>
              <w:rPr>
                <w:sz w:val="22"/>
              </w:rPr>
              <w:t>Trastornos del metabolismo y de la nutrición</w:t>
            </w:r>
          </w:p>
        </w:tc>
        <w:tc>
          <w:tcPr>
            <w:tcW w:w="3007" w:type="dxa"/>
          </w:tcPr>
          <w:p w14:paraId="33150464" w14:textId="77777777" w:rsidR="006E3229" w:rsidRDefault="00B43C9C">
            <w:pPr>
              <w:pStyle w:val="NormalWeb"/>
              <w:spacing w:before="0" w:beforeAutospacing="0" w:after="0" w:afterAutospacing="0"/>
              <w:rPr>
                <w:sz w:val="22"/>
                <w:szCs w:val="22"/>
              </w:rPr>
            </w:pPr>
            <w:r>
              <w:rPr>
                <w:sz w:val="22"/>
              </w:rPr>
              <w:t>Aumento de peso</w:t>
            </w:r>
          </w:p>
          <w:p w14:paraId="48564FDD" w14:textId="77777777" w:rsidR="006E3229" w:rsidRDefault="00B43C9C">
            <w:pPr>
              <w:pStyle w:val="NormalWeb"/>
              <w:spacing w:before="0" w:beforeAutospacing="0" w:after="0" w:afterAutospacing="0"/>
              <w:rPr>
                <w:sz w:val="22"/>
                <w:szCs w:val="22"/>
              </w:rPr>
            </w:pPr>
            <w:r>
              <w:rPr>
                <w:sz w:val="22"/>
              </w:rPr>
              <w:t>Aumento del apetito</w:t>
            </w:r>
          </w:p>
        </w:tc>
        <w:tc>
          <w:tcPr>
            <w:tcW w:w="3048" w:type="dxa"/>
          </w:tcPr>
          <w:p w14:paraId="32429B77" w14:textId="77777777" w:rsidR="006E3229" w:rsidRDefault="00B43C9C">
            <w:pPr>
              <w:pStyle w:val="NormalWeb"/>
              <w:spacing w:before="0" w:beforeAutospacing="0" w:after="0" w:afterAutospacing="0"/>
              <w:rPr>
                <w:sz w:val="22"/>
                <w:szCs w:val="22"/>
              </w:rPr>
            </w:pPr>
            <w:r>
              <w:rPr>
                <w:sz w:val="22"/>
              </w:rPr>
              <w:t>Muy frecuentes</w:t>
            </w:r>
          </w:p>
        </w:tc>
      </w:tr>
      <w:tr w:rsidR="006E3229" w14:paraId="2F03422F" w14:textId="77777777">
        <w:tc>
          <w:tcPr>
            <w:tcW w:w="3006" w:type="dxa"/>
          </w:tcPr>
          <w:p w14:paraId="49E715DA" w14:textId="77777777" w:rsidR="006E3229" w:rsidRDefault="00B43C9C">
            <w:pPr>
              <w:pStyle w:val="NormalWeb"/>
              <w:spacing w:before="0" w:beforeAutospacing="0" w:after="0" w:afterAutospacing="0"/>
              <w:rPr>
                <w:sz w:val="22"/>
                <w:szCs w:val="22"/>
              </w:rPr>
            </w:pPr>
            <w:r>
              <w:rPr>
                <w:sz w:val="22"/>
              </w:rPr>
              <w:t>Trastornos psiquiátricos</w:t>
            </w:r>
          </w:p>
        </w:tc>
        <w:tc>
          <w:tcPr>
            <w:tcW w:w="3007" w:type="dxa"/>
          </w:tcPr>
          <w:p w14:paraId="413E18D9" w14:textId="77777777" w:rsidR="006E3229" w:rsidRDefault="00B43C9C">
            <w:pPr>
              <w:pStyle w:val="NormalWeb"/>
              <w:spacing w:before="0" w:beforeAutospacing="0" w:after="0" w:afterAutospacing="0"/>
              <w:rPr>
                <w:sz w:val="22"/>
                <w:szCs w:val="22"/>
              </w:rPr>
            </w:pPr>
            <w:r>
              <w:rPr>
                <w:sz w:val="22"/>
              </w:rPr>
              <w:t>Irritabilidad</w:t>
            </w:r>
          </w:p>
        </w:tc>
        <w:tc>
          <w:tcPr>
            <w:tcW w:w="3048" w:type="dxa"/>
          </w:tcPr>
          <w:p w14:paraId="064C0FB5" w14:textId="77777777" w:rsidR="006E3229" w:rsidRDefault="00B43C9C">
            <w:pPr>
              <w:pStyle w:val="NormalWeb"/>
              <w:spacing w:before="0" w:beforeAutospacing="0" w:after="0" w:afterAutospacing="0"/>
              <w:rPr>
                <w:sz w:val="22"/>
                <w:szCs w:val="22"/>
              </w:rPr>
            </w:pPr>
            <w:r>
              <w:rPr>
                <w:sz w:val="22"/>
              </w:rPr>
              <w:t>Muy frecuentes</w:t>
            </w:r>
          </w:p>
        </w:tc>
      </w:tr>
      <w:tr w:rsidR="006E3229" w14:paraId="5204B3E2" w14:textId="77777777">
        <w:tc>
          <w:tcPr>
            <w:tcW w:w="3006" w:type="dxa"/>
          </w:tcPr>
          <w:p w14:paraId="2B0EDE17" w14:textId="77777777" w:rsidR="006E3229" w:rsidRDefault="00B43C9C">
            <w:pPr>
              <w:pStyle w:val="NormalWeb"/>
              <w:spacing w:before="0" w:beforeAutospacing="0" w:after="0" w:afterAutospacing="0"/>
              <w:rPr>
                <w:sz w:val="22"/>
                <w:szCs w:val="22"/>
              </w:rPr>
            </w:pPr>
            <w:r>
              <w:rPr>
                <w:sz w:val="22"/>
              </w:rPr>
              <w:t>Trastornos gastrointestinales</w:t>
            </w:r>
          </w:p>
        </w:tc>
        <w:tc>
          <w:tcPr>
            <w:tcW w:w="3007" w:type="dxa"/>
          </w:tcPr>
          <w:p w14:paraId="746AEA19" w14:textId="77777777" w:rsidR="006E3229" w:rsidRDefault="00B43C9C">
            <w:pPr>
              <w:pStyle w:val="NormalWeb"/>
              <w:spacing w:before="0" w:beforeAutospacing="0" w:after="0" w:afterAutospacing="0"/>
              <w:rPr>
                <w:sz w:val="22"/>
                <w:szCs w:val="22"/>
              </w:rPr>
            </w:pPr>
            <w:r>
              <w:rPr>
                <w:sz w:val="22"/>
              </w:rPr>
              <w:t>Vómitos</w:t>
            </w:r>
          </w:p>
          <w:p w14:paraId="44A3C7CE" w14:textId="77777777" w:rsidR="006E3229" w:rsidRDefault="00B43C9C">
            <w:pPr>
              <w:pStyle w:val="NormalWeb"/>
              <w:spacing w:before="0" w:beforeAutospacing="0" w:after="0" w:afterAutospacing="0"/>
              <w:rPr>
                <w:sz w:val="22"/>
                <w:szCs w:val="22"/>
              </w:rPr>
            </w:pPr>
            <w:r>
              <w:rPr>
                <w:sz w:val="22"/>
              </w:rPr>
              <w:t>Dolor abdominal,</w:t>
            </w:r>
          </w:p>
          <w:p w14:paraId="5A34F417" w14:textId="77777777" w:rsidR="006E3229" w:rsidRDefault="00B43C9C">
            <w:pPr>
              <w:pStyle w:val="NormalWeb"/>
              <w:spacing w:before="0" w:beforeAutospacing="0" w:after="0" w:afterAutospacing="0"/>
              <w:rPr>
                <w:sz w:val="22"/>
                <w:szCs w:val="22"/>
              </w:rPr>
            </w:pPr>
            <w:r>
              <w:rPr>
                <w:sz w:val="22"/>
              </w:rPr>
              <w:t>Dolor abdominal superior</w:t>
            </w:r>
          </w:p>
          <w:p w14:paraId="3C84F06B" w14:textId="77777777" w:rsidR="006E3229" w:rsidRDefault="00B43C9C">
            <w:pPr>
              <w:pStyle w:val="NormalWeb"/>
              <w:spacing w:before="0" w:beforeAutospacing="0" w:after="0" w:afterAutospacing="0"/>
              <w:rPr>
                <w:sz w:val="22"/>
                <w:szCs w:val="22"/>
              </w:rPr>
            </w:pPr>
            <w:r>
              <w:rPr>
                <w:sz w:val="22"/>
              </w:rPr>
              <w:t>Diarrea</w:t>
            </w:r>
          </w:p>
        </w:tc>
        <w:tc>
          <w:tcPr>
            <w:tcW w:w="3048" w:type="dxa"/>
          </w:tcPr>
          <w:p w14:paraId="53081F72" w14:textId="77777777" w:rsidR="006E3229" w:rsidRDefault="00B43C9C">
            <w:pPr>
              <w:pStyle w:val="NormalWeb"/>
              <w:spacing w:before="0" w:beforeAutospacing="0" w:after="0" w:afterAutospacing="0"/>
              <w:rPr>
                <w:sz w:val="22"/>
                <w:szCs w:val="22"/>
              </w:rPr>
            </w:pPr>
            <w:r>
              <w:rPr>
                <w:sz w:val="22"/>
              </w:rPr>
              <w:t>Muy frecuente</w:t>
            </w:r>
          </w:p>
          <w:p w14:paraId="79AB4BCD" w14:textId="77777777" w:rsidR="006E3229" w:rsidRDefault="00B43C9C">
            <w:pPr>
              <w:pStyle w:val="NormalWeb"/>
              <w:spacing w:before="0" w:beforeAutospacing="0" w:after="0" w:afterAutospacing="0"/>
              <w:rPr>
                <w:sz w:val="22"/>
                <w:szCs w:val="22"/>
              </w:rPr>
            </w:pPr>
            <w:r>
              <w:rPr>
                <w:sz w:val="22"/>
              </w:rPr>
              <w:t>Frecuentes</w:t>
            </w:r>
          </w:p>
          <w:p w14:paraId="3B87ED30" w14:textId="77777777" w:rsidR="006E3229" w:rsidRDefault="00B43C9C">
            <w:pPr>
              <w:pStyle w:val="NormalWeb"/>
              <w:spacing w:before="0" w:beforeAutospacing="0" w:after="0" w:afterAutospacing="0"/>
              <w:rPr>
                <w:sz w:val="22"/>
                <w:szCs w:val="22"/>
              </w:rPr>
            </w:pPr>
            <w:r>
              <w:rPr>
                <w:sz w:val="22"/>
              </w:rPr>
              <w:t>Frecuentes</w:t>
            </w:r>
          </w:p>
          <w:p w14:paraId="68A30BB3" w14:textId="77777777" w:rsidR="006E3229" w:rsidRDefault="00B43C9C">
            <w:pPr>
              <w:pStyle w:val="NormalWeb"/>
              <w:spacing w:before="0" w:beforeAutospacing="0" w:after="0" w:afterAutospacing="0"/>
              <w:rPr>
                <w:sz w:val="22"/>
                <w:szCs w:val="22"/>
              </w:rPr>
            </w:pPr>
            <w:r>
              <w:rPr>
                <w:sz w:val="22"/>
              </w:rPr>
              <w:t>Frecuentes</w:t>
            </w:r>
          </w:p>
        </w:tc>
      </w:tr>
      <w:tr w:rsidR="006E3229" w14:paraId="7744F56B" w14:textId="77777777">
        <w:tc>
          <w:tcPr>
            <w:tcW w:w="3006" w:type="dxa"/>
          </w:tcPr>
          <w:p w14:paraId="1975C77C" w14:textId="77777777" w:rsidR="006E3229" w:rsidRDefault="00B43C9C">
            <w:pPr>
              <w:pStyle w:val="NormalWeb"/>
              <w:spacing w:before="0" w:beforeAutospacing="0" w:after="0" w:afterAutospacing="0"/>
              <w:rPr>
                <w:sz w:val="22"/>
                <w:szCs w:val="22"/>
              </w:rPr>
            </w:pPr>
            <w:r>
              <w:rPr>
                <w:sz w:val="22"/>
              </w:rPr>
              <w:t>Trastornos del sistema nervioso</w:t>
            </w:r>
          </w:p>
        </w:tc>
        <w:tc>
          <w:tcPr>
            <w:tcW w:w="3007" w:type="dxa"/>
          </w:tcPr>
          <w:p w14:paraId="5672A67A" w14:textId="77777777" w:rsidR="006E3229" w:rsidRDefault="00B43C9C">
            <w:pPr>
              <w:pStyle w:val="NormalWeb"/>
              <w:spacing w:before="0" w:beforeAutospacing="0" w:after="0" w:afterAutospacing="0"/>
              <w:rPr>
                <w:sz w:val="22"/>
                <w:szCs w:val="22"/>
              </w:rPr>
            </w:pPr>
            <w:r>
              <w:rPr>
                <w:sz w:val="22"/>
              </w:rPr>
              <w:t>Cefalea</w:t>
            </w:r>
          </w:p>
        </w:tc>
        <w:tc>
          <w:tcPr>
            <w:tcW w:w="3048" w:type="dxa"/>
          </w:tcPr>
          <w:p w14:paraId="07698CA3" w14:textId="77777777" w:rsidR="006E3229" w:rsidRDefault="00B43C9C">
            <w:pPr>
              <w:pStyle w:val="NormalWeb"/>
              <w:spacing w:before="0" w:beforeAutospacing="0" w:after="0" w:afterAutospacing="0"/>
              <w:rPr>
                <w:sz w:val="22"/>
                <w:szCs w:val="22"/>
              </w:rPr>
            </w:pPr>
            <w:r>
              <w:rPr>
                <w:sz w:val="22"/>
              </w:rPr>
              <w:t>Frecuentes</w:t>
            </w:r>
          </w:p>
        </w:tc>
      </w:tr>
    </w:tbl>
    <w:p w14:paraId="2B881085" w14:textId="77777777" w:rsidR="006E3229" w:rsidRDefault="006E3229">
      <w:pPr>
        <w:jc w:val="both"/>
        <w:rPr>
          <w:i/>
        </w:rPr>
      </w:pPr>
    </w:p>
    <w:p w14:paraId="1DEE8188" w14:textId="77777777" w:rsidR="006E3229" w:rsidRDefault="00B43C9C">
      <w:pPr>
        <w:pStyle w:val="NormalWeb"/>
        <w:keepNext/>
        <w:spacing w:before="0" w:beforeAutospacing="0" w:after="0" w:afterAutospacing="0"/>
        <w:rPr>
          <w:sz w:val="22"/>
          <w:szCs w:val="22"/>
          <w:u w:val="single"/>
        </w:rPr>
      </w:pPr>
      <w:r>
        <w:rPr>
          <w:sz w:val="22"/>
          <w:u w:val="single"/>
        </w:rPr>
        <w:t>Descripción de reacciones adversas seleccionadas</w:t>
      </w:r>
    </w:p>
    <w:p w14:paraId="61EBEF42" w14:textId="77777777" w:rsidR="006E3229" w:rsidRDefault="006E3229">
      <w:pPr>
        <w:pStyle w:val="NormalWeb"/>
        <w:keepNext/>
        <w:spacing w:before="0" w:beforeAutospacing="0" w:after="0" w:afterAutospacing="0"/>
        <w:rPr>
          <w:sz w:val="22"/>
          <w:szCs w:val="22"/>
          <w:lang w:eastAsia="en-US"/>
        </w:rPr>
      </w:pPr>
    </w:p>
    <w:p w14:paraId="3346A14D" w14:textId="77777777" w:rsidR="006E3229" w:rsidRDefault="00B43C9C">
      <w:pPr>
        <w:pStyle w:val="NormalWeb"/>
        <w:keepNext/>
        <w:spacing w:before="0" w:beforeAutospacing="0" w:after="0" w:afterAutospacing="0"/>
        <w:rPr>
          <w:i/>
          <w:iCs/>
          <w:sz w:val="22"/>
          <w:szCs w:val="22"/>
        </w:rPr>
      </w:pPr>
      <w:r>
        <w:rPr>
          <w:i/>
          <w:sz w:val="22"/>
        </w:rPr>
        <w:t>Síntomas del síndrome de Cushing</w:t>
      </w:r>
    </w:p>
    <w:p w14:paraId="37A6D726" w14:textId="77777777" w:rsidR="006E3229" w:rsidRDefault="00B43C9C">
      <w:pPr>
        <w:pStyle w:val="NormalWeb"/>
        <w:spacing w:before="0" w:beforeAutospacing="0" w:after="0" w:afterAutospacing="0"/>
        <w:rPr>
          <w:sz w:val="22"/>
          <w:szCs w:val="22"/>
        </w:rPr>
      </w:pPr>
      <w:r>
        <w:rPr>
          <w:sz w:val="22"/>
        </w:rPr>
        <w:t>Los síntomas del síndrome de Cushing (</w:t>
      </w:r>
      <w:proofErr w:type="spellStart"/>
      <w:r>
        <w:rPr>
          <w:sz w:val="22"/>
        </w:rPr>
        <w:t>hipercortisolismo</w:t>
      </w:r>
      <w:proofErr w:type="spellEnd"/>
      <w:r>
        <w:rPr>
          <w:sz w:val="22"/>
        </w:rPr>
        <w:t xml:space="preserve">) fueron la reacción adversa notificada con mayor frecuencia con </w:t>
      </w:r>
      <w:proofErr w:type="spellStart"/>
      <w:r>
        <w:rPr>
          <w:sz w:val="22"/>
        </w:rPr>
        <w:t>vamorolona</w:t>
      </w:r>
      <w:proofErr w:type="spellEnd"/>
      <w:r>
        <w:rPr>
          <w:sz w:val="22"/>
        </w:rPr>
        <w:t xml:space="preserve"> 6 mg/kg/día (28,6 %). La frecuencia de los síntomas del síndrome de Cushing fue menor en el grupo de </w:t>
      </w:r>
      <w:proofErr w:type="spellStart"/>
      <w:r>
        <w:rPr>
          <w:sz w:val="22"/>
        </w:rPr>
        <w:t>vamorolona</w:t>
      </w:r>
      <w:proofErr w:type="spellEnd"/>
      <w:r>
        <w:rPr>
          <w:sz w:val="22"/>
        </w:rPr>
        <w:t xml:space="preserve"> 2 mg/kg/día (6,7 %). En el estudio clínico, los síntomas del síndrome de Cushing se notificaron como «aumento de peso en la cara», o «cara de luna llena», de leve a moderado. La mayoría de los pacientes presentaron síntomas del síndrome de Cushing en los primeros 6 meses de tratamiento (28,6 % en los meses 0 a 6 frente al 3,6 % en los meses 6 a 12 con </w:t>
      </w:r>
      <w:proofErr w:type="spellStart"/>
      <w:r>
        <w:rPr>
          <w:sz w:val="22"/>
        </w:rPr>
        <w:t>vamorolona</w:t>
      </w:r>
      <w:proofErr w:type="spellEnd"/>
      <w:r>
        <w:rPr>
          <w:sz w:val="22"/>
        </w:rPr>
        <w:t xml:space="preserve"> 6 mg/kg/día) y no dieron lugar a la interrupción del tratamiento.</w:t>
      </w:r>
    </w:p>
    <w:p w14:paraId="16988DEC" w14:textId="77777777" w:rsidR="006E3229" w:rsidRDefault="006E3229">
      <w:pPr>
        <w:pStyle w:val="NormalWeb"/>
        <w:spacing w:before="0" w:beforeAutospacing="0" w:after="0" w:afterAutospacing="0"/>
        <w:rPr>
          <w:i/>
          <w:sz w:val="22"/>
          <w:szCs w:val="22"/>
          <w:lang w:eastAsia="en-US"/>
        </w:rPr>
      </w:pPr>
    </w:p>
    <w:p w14:paraId="7589444A" w14:textId="77777777" w:rsidR="006E3229" w:rsidRDefault="00B43C9C">
      <w:pPr>
        <w:pStyle w:val="NormalWeb"/>
        <w:keepNext/>
        <w:spacing w:before="0" w:beforeAutospacing="0" w:after="0" w:afterAutospacing="0"/>
        <w:rPr>
          <w:i/>
          <w:sz w:val="22"/>
          <w:szCs w:val="22"/>
        </w:rPr>
      </w:pPr>
      <w:r>
        <w:rPr>
          <w:i/>
          <w:sz w:val="22"/>
        </w:rPr>
        <w:t>Problemas de comportamiento</w:t>
      </w:r>
    </w:p>
    <w:p w14:paraId="2E0DB582" w14:textId="77777777" w:rsidR="006E3229" w:rsidRDefault="00B43C9C">
      <w:pPr>
        <w:pStyle w:val="NormalWeb"/>
        <w:spacing w:before="0" w:beforeAutospacing="0" w:after="0" w:afterAutospacing="0"/>
        <w:rPr>
          <w:rFonts w:ascii="CIDFont+F1" w:eastAsia="CIDFont+F1" w:cs="CIDFont+F1"/>
          <w:sz w:val="20"/>
          <w:szCs w:val="20"/>
        </w:rPr>
      </w:pPr>
      <w:r>
        <w:rPr>
          <w:sz w:val="22"/>
        </w:rPr>
        <w:t xml:space="preserve">Se notificaron problemas de comportamiento en los primeros 6 meses de tratamiento con una frecuencia más elevada con </w:t>
      </w:r>
      <w:proofErr w:type="spellStart"/>
      <w:r>
        <w:rPr>
          <w:sz w:val="22"/>
        </w:rPr>
        <w:t>vamorolona</w:t>
      </w:r>
      <w:proofErr w:type="spellEnd"/>
      <w:r>
        <w:rPr>
          <w:sz w:val="22"/>
        </w:rPr>
        <w:t xml:space="preserve"> 6 mg/kg/día (21,4 %) que con </w:t>
      </w:r>
      <w:proofErr w:type="spellStart"/>
      <w:r>
        <w:rPr>
          <w:sz w:val="22"/>
        </w:rPr>
        <w:t>vamorolona</w:t>
      </w:r>
      <w:proofErr w:type="spellEnd"/>
      <w:r>
        <w:rPr>
          <w:sz w:val="22"/>
        </w:rPr>
        <w:t xml:space="preserve"> 2 mg/kg/día (16,7 %) o placebo (13,8 %), debido a una mayor frecuencia de eventos descritos como irritabilidad leve (10,7 % con 6 mg/kg/día, ningún paciente con 2 mg/kg/día o placebo). La mayoría de los problemas de comportamiento se produjeron en los primeros 3 meses de tratamiento y se resolvieron sin interrupción del tratamiento. Entre el mes 6 y el mes 12, la frecuencia de los problemas de comportamiento disminuyó en ambas dosis de </w:t>
      </w:r>
      <w:proofErr w:type="spellStart"/>
      <w:r>
        <w:rPr>
          <w:sz w:val="22"/>
        </w:rPr>
        <w:t>vamorolona</w:t>
      </w:r>
      <w:proofErr w:type="spellEnd"/>
      <w:r>
        <w:rPr>
          <w:sz w:val="22"/>
        </w:rPr>
        <w:t xml:space="preserve"> (10,7 % con </w:t>
      </w:r>
      <w:proofErr w:type="spellStart"/>
      <w:r>
        <w:rPr>
          <w:sz w:val="22"/>
        </w:rPr>
        <w:t>vamorolona</w:t>
      </w:r>
      <w:proofErr w:type="spellEnd"/>
      <w:r>
        <w:rPr>
          <w:sz w:val="22"/>
        </w:rPr>
        <w:t xml:space="preserve"> 6 mg/kg/día y 7,1 % con </w:t>
      </w:r>
      <w:proofErr w:type="spellStart"/>
      <w:r>
        <w:rPr>
          <w:sz w:val="22"/>
        </w:rPr>
        <w:t>vamorolona</w:t>
      </w:r>
      <w:proofErr w:type="spellEnd"/>
      <w:r>
        <w:rPr>
          <w:sz w:val="22"/>
        </w:rPr>
        <w:t xml:space="preserve"> 2 mg/kg/día).</w:t>
      </w:r>
    </w:p>
    <w:p w14:paraId="5EF901FC" w14:textId="77777777" w:rsidR="006E3229" w:rsidRDefault="006E3229">
      <w:pPr>
        <w:pStyle w:val="NormalWeb"/>
        <w:spacing w:before="0" w:beforeAutospacing="0" w:after="0" w:afterAutospacing="0"/>
        <w:rPr>
          <w:sz w:val="22"/>
          <w:szCs w:val="22"/>
          <w:u w:val="single"/>
          <w:lang w:eastAsia="en-US"/>
        </w:rPr>
      </w:pPr>
    </w:p>
    <w:p w14:paraId="11CDFE83" w14:textId="77777777" w:rsidR="006E3229" w:rsidRDefault="00B43C9C">
      <w:pPr>
        <w:pStyle w:val="NormalWeb"/>
        <w:keepNext/>
        <w:spacing w:before="0" w:beforeAutospacing="0" w:after="0" w:afterAutospacing="0"/>
        <w:rPr>
          <w:i/>
          <w:sz w:val="22"/>
          <w:szCs w:val="22"/>
        </w:rPr>
      </w:pPr>
      <w:r>
        <w:rPr>
          <w:i/>
          <w:sz w:val="22"/>
        </w:rPr>
        <w:t>Aumento de peso</w:t>
      </w:r>
    </w:p>
    <w:p w14:paraId="26A99287" w14:textId="77777777" w:rsidR="006E3229" w:rsidRDefault="00B43C9C">
      <w:pPr>
        <w:pStyle w:val="C-BodyText"/>
        <w:spacing w:before="0" w:after="0" w:line="240" w:lineRule="auto"/>
        <w:rPr>
          <w:sz w:val="22"/>
          <w:szCs w:val="22"/>
        </w:rPr>
      </w:pPr>
      <w:r>
        <w:rPr>
          <w:sz w:val="22"/>
        </w:rPr>
        <w:t xml:space="preserve">La </w:t>
      </w:r>
      <w:proofErr w:type="spellStart"/>
      <w:r>
        <w:rPr>
          <w:sz w:val="22"/>
        </w:rPr>
        <w:t>vamorolona</w:t>
      </w:r>
      <w:proofErr w:type="spellEnd"/>
      <w:r>
        <w:rPr>
          <w:sz w:val="22"/>
        </w:rPr>
        <w:t xml:space="preserve"> se asocia a un aumento del apetito y del peso. La mayoría de los casos de aumento de peso en el grupo de 6 mg/kg/día de </w:t>
      </w:r>
      <w:proofErr w:type="spellStart"/>
      <w:r>
        <w:rPr>
          <w:sz w:val="22"/>
        </w:rPr>
        <w:t>vamorolona</w:t>
      </w:r>
      <w:proofErr w:type="spellEnd"/>
      <w:r>
        <w:rPr>
          <w:sz w:val="22"/>
        </w:rPr>
        <w:t xml:space="preserve"> se notificaron en los primeros 6 meses de tratamiento </w:t>
      </w:r>
      <w:r>
        <w:rPr>
          <w:sz w:val="22"/>
        </w:rPr>
        <w:lastRenderedPageBreak/>
        <w:t xml:space="preserve">(17,9 % en los meses 0 a 6 frente a 0 % en los meses 6 a 12). El aumento de peso fue similar entre la </w:t>
      </w:r>
      <w:proofErr w:type="spellStart"/>
      <w:r>
        <w:rPr>
          <w:sz w:val="22"/>
        </w:rPr>
        <w:t>vamorolona</w:t>
      </w:r>
      <w:proofErr w:type="spellEnd"/>
      <w:r>
        <w:rPr>
          <w:sz w:val="22"/>
        </w:rPr>
        <w:t xml:space="preserve"> 2 mg/kg/día (3,3 %) y el placebo (6,9 %). Se deben proporcionar consejos dietéticos adecuados a la edad antes y durante el tratamiento con AGAMREE, de acuerdo con las recomendaciones generales para el manejo de la nutrición en pacientes con DMD (ver sección 4.4).</w:t>
      </w:r>
    </w:p>
    <w:p w14:paraId="5266FB97" w14:textId="77777777" w:rsidR="006E3229" w:rsidRDefault="006E3229">
      <w:pPr>
        <w:pStyle w:val="C-BodyText"/>
        <w:spacing w:before="0" w:after="0" w:line="240" w:lineRule="auto"/>
        <w:rPr>
          <w:sz w:val="22"/>
          <w:szCs w:val="22"/>
          <w:lang w:eastAsia="en-US"/>
        </w:rPr>
      </w:pPr>
    </w:p>
    <w:p w14:paraId="53CEB2AF" w14:textId="77777777" w:rsidR="006E3229" w:rsidRDefault="00B43C9C">
      <w:pPr>
        <w:pStyle w:val="NormalWeb"/>
        <w:keepNext/>
        <w:spacing w:before="0" w:beforeAutospacing="0" w:after="0" w:afterAutospacing="0"/>
        <w:rPr>
          <w:sz w:val="22"/>
          <w:szCs w:val="22"/>
          <w:u w:val="single"/>
        </w:rPr>
      </w:pPr>
      <w:r>
        <w:rPr>
          <w:sz w:val="22"/>
          <w:u w:val="single"/>
        </w:rPr>
        <w:t>Signos y síntomas de abstinencia</w:t>
      </w:r>
    </w:p>
    <w:p w14:paraId="3BA9D3D1" w14:textId="77777777" w:rsidR="006E3229" w:rsidRDefault="006E3229">
      <w:pPr>
        <w:pStyle w:val="NormalWeb"/>
        <w:keepNext/>
        <w:spacing w:before="0" w:beforeAutospacing="0" w:after="0" w:afterAutospacing="0"/>
        <w:jc w:val="both"/>
        <w:rPr>
          <w:sz w:val="22"/>
          <w:szCs w:val="22"/>
          <w:lang w:eastAsia="en-US"/>
        </w:rPr>
      </w:pPr>
    </w:p>
    <w:p w14:paraId="7D2FD682" w14:textId="77777777" w:rsidR="006E3229" w:rsidRDefault="00B43C9C">
      <w:pPr>
        <w:pStyle w:val="NormalWeb"/>
        <w:spacing w:before="0" w:beforeAutospacing="0" w:after="0" w:afterAutospacing="0"/>
        <w:rPr>
          <w:sz w:val="22"/>
          <w:szCs w:val="22"/>
        </w:rPr>
      </w:pPr>
      <w:r>
        <w:rPr>
          <w:sz w:val="22"/>
        </w:rPr>
        <w:t xml:space="preserve">La reducción brusca o la interrupción brusca de la dosis diaria de </w:t>
      </w:r>
      <w:proofErr w:type="spellStart"/>
      <w:r>
        <w:rPr>
          <w:sz w:val="22"/>
        </w:rPr>
        <w:t>vamorolona</w:t>
      </w:r>
      <w:proofErr w:type="spellEnd"/>
      <w:r>
        <w:rPr>
          <w:sz w:val="22"/>
        </w:rPr>
        <w:t xml:space="preserve"> tras un tratamiento prolongado durante más de una semana puede provocar una crisis suprarrenal (ver secciones 4.2 y 4.4).</w:t>
      </w:r>
    </w:p>
    <w:p w14:paraId="2F453469" w14:textId="77777777" w:rsidR="006E3229" w:rsidRDefault="006E3229">
      <w:pPr>
        <w:pStyle w:val="NormalWeb"/>
        <w:spacing w:before="0" w:beforeAutospacing="0" w:after="0" w:afterAutospacing="0"/>
        <w:jc w:val="both"/>
        <w:rPr>
          <w:sz w:val="22"/>
          <w:szCs w:val="22"/>
          <w:lang w:eastAsia="en-US"/>
        </w:rPr>
      </w:pPr>
    </w:p>
    <w:p w14:paraId="0CF86B4D" w14:textId="77777777" w:rsidR="006E3229" w:rsidRDefault="00B43C9C">
      <w:pPr>
        <w:pStyle w:val="NormalWeb"/>
        <w:keepNext/>
        <w:spacing w:before="0" w:beforeAutospacing="0" w:after="0" w:afterAutospacing="0"/>
        <w:rPr>
          <w:sz w:val="22"/>
          <w:szCs w:val="22"/>
          <w:u w:val="single"/>
        </w:rPr>
      </w:pPr>
      <w:r>
        <w:rPr>
          <w:sz w:val="22"/>
          <w:u w:val="single"/>
        </w:rPr>
        <w:t>Población pediátrica</w:t>
      </w:r>
    </w:p>
    <w:p w14:paraId="31392391" w14:textId="77777777" w:rsidR="006E3229" w:rsidRDefault="006E3229">
      <w:pPr>
        <w:pStyle w:val="NormalWeb"/>
        <w:keepNext/>
        <w:spacing w:before="0" w:beforeAutospacing="0" w:after="0" w:afterAutospacing="0"/>
        <w:jc w:val="both"/>
        <w:rPr>
          <w:sz w:val="22"/>
          <w:szCs w:val="22"/>
          <w:lang w:eastAsia="en-US"/>
        </w:rPr>
      </w:pPr>
    </w:p>
    <w:bookmarkEnd w:id="10"/>
    <w:p w14:paraId="78164D29" w14:textId="77777777" w:rsidR="006E3229" w:rsidRDefault="00B43C9C">
      <w:pPr>
        <w:autoSpaceDE w:val="0"/>
        <w:autoSpaceDN w:val="0"/>
        <w:adjustRightInd w:val="0"/>
        <w:spacing w:line="240" w:lineRule="auto"/>
      </w:pPr>
      <w:r>
        <w:t xml:space="preserve">Los acontecimientos adversos en pacientes pediátricos con DMD tratados con </w:t>
      </w:r>
      <w:proofErr w:type="spellStart"/>
      <w:r>
        <w:t>vamorolona</w:t>
      </w:r>
      <w:proofErr w:type="spellEnd"/>
      <w:r>
        <w:t xml:space="preserve"> fueron similares en frecuencia y tipo en pacientes de más de 4 años de edad.</w:t>
      </w:r>
    </w:p>
    <w:p w14:paraId="0A9B15C9" w14:textId="77777777" w:rsidR="006E3229" w:rsidRDefault="006E3229">
      <w:pPr>
        <w:autoSpaceDE w:val="0"/>
        <w:autoSpaceDN w:val="0"/>
        <w:adjustRightInd w:val="0"/>
        <w:spacing w:line="240" w:lineRule="auto"/>
        <w:jc w:val="both"/>
        <w:rPr>
          <w:szCs w:val="22"/>
        </w:rPr>
      </w:pPr>
    </w:p>
    <w:p w14:paraId="7A9F651B" w14:textId="77777777" w:rsidR="006E3229" w:rsidRDefault="00B43C9C">
      <w:pPr>
        <w:autoSpaceDE w:val="0"/>
        <w:autoSpaceDN w:val="0"/>
        <w:adjustRightInd w:val="0"/>
        <w:spacing w:line="240" w:lineRule="auto"/>
        <w:rPr>
          <w:szCs w:val="22"/>
        </w:rPr>
      </w:pPr>
      <w:r>
        <w:t xml:space="preserve">El tipo y la frecuencia de los acontecimientos adversos en pacientes mayores de 7 años fueron coherentes con los observados en pacientes de 4 a 7 años de edad. No se dispone de información sobre los efectos de la </w:t>
      </w:r>
      <w:proofErr w:type="spellStart"/>
      <w:r>
        <w:t>vamorolona</w:t>
      </w:r>
      <w:proofErr w:type="spellEnd"/>
      <w:r>
        <w:t xml:space="preserve"> en el desarrollo puberal.</w:t>
      </w:r>
    </w:p>
    <w:p w14:paraId="4FF6B9A3" w14:textId="77777777" w:rsidR="006E3229" w:rsidRDefault="006E3229">
      <w:pPr>
        <w:autoSpaceDE w:val="0"/>
        <w:autoSpaceDN w:val="0"/>
        <w:adjustRightInd w:val="0"/>
        <w:spacing w:line="240" w:lineRule="auto"/>
        <w:jc w:val="both"/>
        <w:rPr>
          <w:szCs w:val="22"/>
        </w:rPr>
      </w:pPr>
    </w:p>
    <w:p w14:paraId="473C93BB" w14:textId="77777777" w:rsidR="006E3229" w:rsidRDefault="00B43C9C">
      <w:pPr>
        <w:autoSpaceDE w:val="0"/>
        <w:autoSpaceDN w:val="0"/>
        <w:adjustRightInd w:val="0"/>
        <w:spacing w:line="240" w:lineRule="auto"/>
      </w:pPr>
      <w:r>
        <w:t xml:space="preserve">Se observó una mayor frecuencia de problemas de comportamiento en pacientes &lt; 5 años en comparación con pacientes ≥ 5 años cuando se trataron con </w:t>
      </w:r>
      <w:proofErr w:type="spellStart"/>
      <w:r>
        <w:t>vamorolona</w:t>
      </w:r>
      <w:proofErr w:type="spellEnd"/>
      <w:r>
        <w:t xml:space="preserve"> 2-6 mg/kg/día.</w:t>
      </w:r>
    </w:p>
    <w:p w14:paraId="79FC4DE3" w14:textId="77777777" w:rsidR="006E3229" w:rsidRDefault="006E3229">
      <w:pPr>
        <w:autoSpaceDE w:val="0"/>
        <w:autoSpaceDN w:val="0"/>
        <w:adjustRightInd w:val="0"/>
        <w:spacing w:line="240" w:lineRule="auto"/>
        <w:jc w:val="both"/>
        <w:rPr>
          <w:szCs w:val="22"/>
        </w:rPr>
      </w:pPr>
    </w:p>
    <w:p w14:paraId="5F44FF50" w14:textId="77777777" w:rsidR="006E3229" w:rsidRDefault="00B43C9C">
      <w:pPr>
        <w:keepNext/>
        <w:autoSpaceDE w:val="0"/>
        <w:autoSpaceDN w:val="0"/>
        <w:adjustRightInd w:val="0"/>
        <w:spacing w:line="240" w:lineRule="auto"/>
        <w:rPr>
          <w:szCs w:val="22"/>
          <w:u w:val="single"/>
        </w:rPr>
      </w:pPr>
      <w:r>
        <w:rPr>
          <w:u w:val="single"/>
        </w:rPr>
        <w:t>Notificación de sospechas de reacciones adversas</w:t>
      </w:r>
    </w:p>
    <w:p w14:paraId="677A164A" w14:textId="497B4EB4" w:rsidR="006E3229" w:rsidRDefault="00453C98">
      <w:pPr>
        <w:autoSpaceDE w:val="0"/>
        <w:autoSpaceDN w:val="0"/>
        <w:adjustRightInd w:val="0"/>
        <w:spacing w:line="240" w:lineRule="auto"/>
      </w:pPr>
      <w:r w:rsidRPr="00453C98">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sistema nacional de notificación incluido en el </w:t>
      </w:r>
      <w:hyperlink r:id="rId9" w:history="1">
        <w:r w:rsidRPr="00EB4D57">
          <w:rPr>
            <w:rStyle w:val="Hyperlink"/>
          </w:rPr>
          <w:t>Apéndice V</w:t>
        </w:r>
      </w:hyperlink>
      <w:r>
        <w:t>.</w:t>
      </w:r>
    </w:p>
    <w:p w14:paraId="04C4E696" w14:textId="77777777" w:rsidR="00453C98" w:rsidRDefault="00453C98">
      <w:pPr>
        <w:autoSpaceDE w:val="0"/>
        <w:autoSpaceDN w:val="0"/>
        <w:adjustRightInd w:val="0"/>
        <w:spacing w:line="240" w:lineRule="auto"/>
        <w:rPr>
          <w:szCs w:val="22"/>
        </w:rPr>
      </w:pPr>
    </w:p>
    <w:p w14:paraId="51B606A0" w14:textId="77777777" w:rsidR="006E3229" w:rsidRDefault="00B43C9C">
      <w:pPr>
        <w:keepNext/>
        <w:spacing w:line="240" w:lineRule="auto"/>
        <w:outlineLvl w:val="0"/>
        <w:rPr>
          <w:szCs w:val="22"/>
        </w:rPr>
      </w:pPr>
      <w:r>
        <w:rPr>
          <w:rStyle w:val="DNEx2"/>
        </w:rPr>
        <w:t>4.9</w:t>
      </w:r>
      <w:r>
        <w:rPr>
          <w:rStyle w:val="DNEx2"/>
        </w:rPr>
        <w:tab/>
      </w:r>
      <w:r>
        <w:rPr>
          <w:b/>
        </w:rPr>
        <w:t>Sobredosis</w:t>
      </w:r>
    </w:p>
    <w:p w14:paraId="4F28F7A0" w14:textId="77777777" w:rsidR="006E3229" w:rsidRDefault="006E3229">
      <w:pPr>
        <w:keepNext/>
        <w:spacing w:line="240" w:lineRule="auto"/>
        <w:rPr>
          <w:szCs w:val="22"/>
        </w:rPr>
      </w:pPr>
    </w:p>
    <w:p w14:paraId="71B0843F" w14:textId="77777777" w:rsidR="006E3229" w:rsidRDefault="00B43C9C">
      <w:pPr>
        <w:spacing w:line="240" w:lineRule="auto"/>
        <w:rPr>
          <w:rStyle w:val="normaltextrun"/>
          <w:color w:val="000000" w:themeColor="text1"/>
        </w:rPr>
      </w:pPr>
      <w:r>
        <w:rPr>
          <w:rStyle w:val="normaltextrun"/>
          <w:color w:val="000000" w:themeColor="text1"/>
        </w:rPr>
        <w:t xml:space="preserve">El tratamiento de la sobredosis aguda se realiza mediante un tratamiento de apoyo inmediato y sintomático. Puede considerarse el lavado gástrico o la </w:t>
      </w:r>
      <w:proofErr w:type="spellStart"/>
      <w:r>
        <w:rPr>
          <w:rStyle w:val="normaltextrun"/>
          <w:color w:val="000000" w:themeColor="text1"/>
        </w:rPr>
        <w:t>émesis</w:t>
      </w:r>
      <w:proofErr w:type="spellEnd"/>
      <w:r>
        <w:rPr>
          <w:rStyle w:val="normaltextrun"/>
          <w:color w:val="000000" w:themeColor="text1"/>
        </w:rPr>
        <w:t>.</w:t>
      </w:r>
    </w:p>
    <w:p w14:paraId="1BCE5DE6" w14:textId="77777777" w:rsidR="006E3229" w:rsidRDefault="006E3229">
      <w:pPr>
        <w:spacing w:line="240" w:lineRule="auto"/>
        <w:rPr>
          <w:rStyle w:val="normaltextrun"/>
          <w:color w:val="000000" w:themeColor="text1"/>
        </w:rPr>
      </w:pPr>
    </w:p>
    <w:p w14:paraId="56F50184" w14:textId="77777777" w:rsidR="006E3229" w:rsidRDefault="006E3229">
      <w:pPr>
        <w:spacing w:line="240" w:lineRule="auto"/>
        <w:rPr>
          <w:rStyle w:val="normaltextrun"/>
          <w:color w:val="000000" w:themeColor="text1"/>
        </w:rPr>
      </w:pPr>
    </w:p>
    <w:p w14:paraId="1048114D" w14:textId="77777777" w:rsidR="006E3229" w:rsidRDefault="00B43C9C">
      <w:pPr>
        <w:keepNext/>
        <w:spacing w:line="240" w:lineRule="auto"/>
      </w:pPr>
      <w:r>
        <w:rPr>
          <w:rStyle w:val="DNEx2"/>
        </w:rPr>
        <w:t>5.</w:t>
      </w:r>
      <w:r>
        <w:rPr>
          <w:rStyle w:val="DNEx2"/>
        </w:rPr>
        <w:tab/>
      </w:r>
      <w:r>
        <w:rPr>
          <w:b/>
        </w:rPr>
        <w:t>PROPIEDADES FARMACOLÓGICAS</w:t>
      </w:r>
    </w:p>
    <w:p w14:paraId="37CC837A" w14:textId="77777777" w:rsidR="006E3229" w:rsidRDefault="006E3229">
      <w:pPr>
        <w:keepNext/>
        <w:spacing w:line="240" w:lineRule="auto"/>
      </w:pPr>
    </w:p>
    <w:p w14:paraId="3BDCA441" w14:textId="77777777" w:rsidR="006E3229" w:rsidRDefault="00B43C9C">
      <w:pPr>
        <w:keepNext/>
        <w:spacing w:line="240" w:lineRule="auto"/>
        <w:ind w:left="567" w:hanging="567"/>
        <w:outlineLvl w:val="0"/>
      </w:pPr>
      <w:r>
        <w:rPr>
          <w:rStyle w:val="DNEx2"/>
        </w:rPr>
        <w:t xml:space="preserve">5.1 </w:t>
      </w:r>
      <w:r>
        <w:rPr>
          <w:rStyle w:val="DNEx2"/>
        </w:rPr>
        <w:tab/>
      </w:r>
      <w:r>
        <w:rPr>
          <w:b/>
        </w:rPr>
        <w:t>Propiedades farmacodinámicas</w:t>
      </w:r>
    </w:p>
    <w:p w14:paraId="1A962FA7" w14:textId="77777777" w:rsidR="006E3229" w:rsidRDefault="006E3229">
      <w:pPr>
        <w:keepNext/>
        <w:spacing w:line="240" w:lineRule="auto"/>
      </w:pPr>
    </w:p>
    <w:p w14:paraId="0EAECB93" w14:textId="77777777" w:rsidR="006E3229" w:rsidRPr="003D46BA" w:rsidRDefault="00B43C9C">
      <w:pPr>
        <w:spacing w:line="240" w:lineRule="auto"/>
        <w:rPr>
          <w:lang w:val="pt-BR"/>
        </w:rPr>
      </w:pPr>
      <w:r w:rsidRPr="003D46BA">
        <w:rPr>
          <w:lang w:val="pt-BR"/>
        </w:rPr>
        <w:t>Grupo farmacoterapéutico: Glucocorticoides, código ATC: H02AB18</w:t>
      </w:r>
    </w:p>
    <w:p w14:paraId="62C478D4" w14:textId="77777777" w:rsidR="006E3229" w:rsidRPr="003D46BA" w:rsidRDefault="006E3229">
      <w:pPr>
        <w:spacing w:line="240" w:lineRule="auto"/>
        <w:rPr>
          <w:lang w:val="pt-BR"/>
        </w:rPr>
      </w:pPr>
    </w:p>
    <w:p w14:paraId="265C4039" w14:textId="77777777" w:rsidR="006E3229" w:rsidRDefault="00B43C9C">
      <w:pPr>
        <w:keepNext/>
        <w:autoSpaceDE w:val="0"/>
        <w:autoSpaceDN w:val="0"/>
        <w:adjustRightInd w:val="0"/>
        <w:spacing w:line="240" w:lineRule="auto"/>
        <w:rPr>
          <w:szCs w:val="22"/>
        </w:rPr>
      </w:pPr>
      <w:r>
        <w:rPr>
          <w:u w:val="single"/>
        </w:rPr>
        <w:t>Mecanismo de acción</w:t>
      </w:r>
    </w:p>
    <w:p w14:paraId="3C189111" w14:textId="77777777" w:rsidR="006E3229" w:rsidRDefault="006E3229">
      <w:pPr>
        <w:keepNext/>
        <w:autoSpaceDE w:val="0"/>
        <w:autoSpaceDN w:val="0"/>
        <w:adjustRightInd w:val="0"/>
        <w:spacing w:line="240" w:lineRule="auto"/>
        <w:jc w:val="both"/>
      </w:pPr>
    </w:p>
    <w:p w14:paraId="15820229" w14:textId="77777777" w:rsidR="006E3229" w:rsidRDefault="00B43C9C">
      <w:pPr>
        <w:autoSpaceDE w:val="0"/>
        <w:autoSpaceDN w:val="0"/>
      </w:pPr>
      <w:r>
        <w:t xml:space="preserve">La </w:t>
      </w:r>
      <w:proofErr w:type="spellStart"/>
      <w:r>
        <w:t>vamorolona</w:t>
      </w:r>
      <w:proofErr w:type="spellEnd"/>
      <w:r>
        <w:t xml:space="preserve"> es un corticosteroide disociativo que se une de forma selectiva al receptor de los glucocorticoides y que desencadena efectos antiinflamatorios por medio de la inhibición de transcripciones de genes mediadas por el factor NF-kB, pero provoca una menor activación transcripcional de otros genes. Además, la </w:t>
      </w:r>
      <w:proofErr w:type="spellStart"/>
      <w:r>
        <w:t>vamorolona</w:t>
      </w:r>
      <w:proofErr w:type="spellEnd"/>
      <w:r>
        <w:t xml:space="preserve"> inhibe la activación del receptor mineralocorticoide por la aldosterona. Debido a su estructura específica, es probable que la </w:t>
      </w:r>
      <w:proofErr w:type="spellStart"/>
      <w:r>
        <w:t>vamorolona</w:t>
      </w:r>
      <w:proofErr w:type="spellEnd"/>
      <w:r>
        <w:t xml:space="preserve"> no sea un sustrato para las deshidrogenasas 11ß-hidroxisteroides y, por lo tanto, no está sujeta a la amplificación de tejidos locales. Se desconoce el mecanismo preciso mediante el cual la </w:t>
      </w:r>
      <w:proofErr w:type="spellStart"/>
      <w:r>
        <w:t>vamorolona</w:t>
      </w:r>
      <w:proofErr w:type="spellEnd"/>
      <w:r>
        <w:t xml:space="preserve"> ejerce sus efectos terapéuticos en pacientes con DMD.</w:t>
      </w:r>
    </w:p>
    <w:p w14:paraId="37998F39" w14:textId="77777777" w:rsidR="006E3229" w:rsidRDefault="006E3229">
      <w:pPr>
        <w:spacing w:line="240" w:lineRule="auto"/>
        <w:jc w:val="both"/>
      </w:pPr>
    </w:p>
    <w:p w14:paraId="19185D9E" w14:textId="77777777" w:rsidR="006E3229" w:rsidRDefault="00B43C9C">
      <w:pPr>
        <w:keepNext/>
        <w:autoSpaceDE w:val="0"/>
        <w:autoSpaceDN w:val="0"/>
        <w:adjustRightInd w:val="0"/>
        <w:spacing w:line="240" w:lineRule="auto"/>
        <w:rPr>
          <w:szCs w:val="22"/>
        </w:rPr>
      </w:pPr>
      <w:r>
        <w:rPr>
          <w:u w:val="single"/>
        </w:rPr>
        <w:t>Efectos farmacodinámicos</w:t>
      </w:r>
    </w:p>
    <w:p w14:paraId="56CC3D0E" w14:textId="77777777" w:rsidR="006E3229" w:rsidRDefault="006E3229">
      <w:pPr>
        <w:keepNext/>
        <w:autoSpaceDE w:val="0"/>
        <w:autoSpaceDN w:val="0"/>
        <w:adjustRightInd w:val="0"/>
        <w:spacing w:line="240" w:lineRule="auto"/>
      </w:pPr>
    </w:p>
    <w:p w14:paraId="744F26F0" w14:textId="77777777" w:rsidR="006E3229" w:rsidRDefault="00B43C9C">
      <w:pPr>
        <w:autoSpaceDE w:val="0"/>
        <w:autoSpaceDN w:val="0"/>
        <w:adjustRightInd w:val="0"/>
        <w:spacing w:line="240" w:lineRule="auto"/>
        <w:rPr>
          <w:color w:val="000000" w:themeColor="text1"/>
        </w:rPr>
      </w:pPr>
      <w:r>
        <w:t xml:space="preserve">En los estudios clínicos, la </w:t>
      </w:r>
      <w:proofErr w:type="spellStart"/>
      <w:r>
        <w:t>vamorolona</w:t>
      </w:r>
      <w:proofErr w:type="spellEnd"/>
      <w:r>
        <w:t xml:space="preserve"> produjo una disminución dependiente de la dosis en los niveles de cortisol por la mañana. En los estudios clínicos con </w:t>
      </w:r>
      <w:proofErr w:type="spellStart"/>
      <w:r>
        <w:t>vamorolona</w:t>
      </w:r>
      <w:proofErr w:type="spellEnd"/>
      <w:r>
        <w:t xml:space="preserve"> se observó un aumento dependiente de la dosis en la hemoglobina, los valores </w:t>
      </w:r>
      <w:proofErr w:type="spellStart"/>
      <w:r>
        <w:t>hematócritos</w:t>
      </w:r>
      <w:proofErr w:type="spellEnd"/>
      <w:r>
        <w:t xml:space="preserve">, los eritrocitos, los recuentos de </w:t>
      </w:r>
      <w:r>
        <w:lastRenderedPageBreak/>
        <w:t>leucocitos y los recuentos de linfocitos. No se observaron cambios relevantes en los recuentos medios de neutrófilos ni en los granulocitos inmaduros. Los valores de los triglicéridos y del colesterol de lipoproteínas de alta densidad (HDL) aumentaron en función de la dosis. No hubo ningún efecto relevante sobre el metabolismo de la glucosa hasta los 30 meses de tratamiento.</w:t>
      </w:r>
    </w:p>
    <w:p w14:paraId="1B95B1C3" w14:textId="77777777" w:rsidR="006E3229" w:rsidRDefault="006E3229">
      <w:pPr>
        <w:spacing w:line="240" w:lineRule="auto"/>
        <w:jc w:val="both"/>
        <w:rPr>
          <w:color w:val="000000" w:themeColor="text1"/>
        </w:rPr>
      </w:pPr>
    </w:p>
    <w:p w14:paraId="58D140F5" w14:textId="77777777" w:rsidR="006E3229" w:rsidRDefault="00B43C9C">
      <w:pPr>
        <w:spacing w:line="240" w:lineRule="auto"/>
        <w:rPr>
          <w:color w:val="000000" w:themeColor="text1"/>
        </w:rPr>
      </w:pPr>
      <w:r>
        <w:rPr>
          <w:color w:val="000000" w:themeColor="text1"/>
        </w:rPr>
        <w:t xml:space="preserve">A diferencia de los corticosteroides, la </w:t>
      </w:r>
      <w:proofErr w:type="spellStart"/>
      <w:r>
        <w:rPr>
          <w:color w:val="000000" w:themeColor="text1"/>
        </w:rPr>
        <w:t>vamorolona</w:t>
      </w:r>
      <w:proofErr w:type="spellEnd"/>
      <w:r>
        <w:rPr>
          <w:color w:val="000000" w:themeColor="text1"/>
        </w:rPr>
        <w:t xml:space="preserve"> no dio lugar a una reducción del metabolismo óseo medido mediante marcadores de remodelado óseo, ni a una reducción significativa en los parámetros de mineralización ósea de las vértebras lumbares cuantificada mediante </w:t>
      </w:r>
      <w:proofErr w:type="spellStart"/>
      <w:r>
        <w:rPr>
          <w:color w:val="000000" w:themeColor="text1"/>
        </w:rPr>
        <w:t>absorciometría</w:t>
      </w:r>
      <w:proofErr w:type="spellEnd"/>
      <w:r>
        <w:rPr>
          <w:color w:val="000000" w:themeColor="text1"/>
        </w:rPr>
        <w:t xml:space="preserve"> de rayos X de doble energía (densitometría ósea o DXA) después de 48 semanas en los estudios clínicos. No se ha establecido el riesgo de fracturas óseas en pacientes con DMD tratados con </w:t>
      </w:r>
      <w:proofErr w:type="spellStart"/>
      <w:r>
        <w:rPr>
          <w:color w:val="000000" w:themeColor="text1"/>
        </w:rPr>
        <w:t>vamorolona</w:t>
      </w:r>
      <w:proofErr w:type="spellEnd"/>
      <w:r>
        <w:rPr>
          <w:color w:val="000000" w:themeColor="text1"/>
        </w:rPr>
        <w:t>.</w:t>
      </w:r>
    </w:p>
    <w:p w14:paraId="6EB5DCE7" w14:textId="77777777" w:rsidR="006E3229" w:rsidRDefault="006E3229">
      <w:pPr>
        <w:autoSpaceDE w:val="0"/>
        <w:autoSpaceDN w:val="0"/>
        <w:adjustRightInd w:val="0"/>
        <w:spacing w:line="240" w:lineRule="auto"/>
        <w:rPr>
          <w:b/>
          <w:u w:val="single"/>
        </w:rPr>
      </w:pPr>
    </w:p>
    <w:p w14:paraId="51E88B52" w14:textId="77777777" w:rsidR="006E3229" w:rsidRDefault="00B43C9C">
      <w:pPr>
        <w:keepNext/>
        <w:autoSpaceDE w:val="0"/>
        <w:autoSpaceDN w:val="0"/>
        <w:adjustRightInd w:val="0"/>
        <w:spacing w:line="240" w:lineRule="auto"/>
        <w:rPr>
          <w:szCs w:val="22"/>
        </w:rPr>
      </w:pPr>
      <w:r>
        <w:rPr>
          <w:u w:val="single"/>
        </w:rPr>
        <w:t>Eficacia clínica y seguridad</w:t>
      </w:r>
    </w:p>
    <w:p w14:paraId="613596F0" w14:textId="77777777" w:rsidR="006E3229" w:rsidRDefault="006E3229">
      <w:pPr>
        <w:keepNext/>
        <w:autoSpaceDE w:val="0"/>
        <w:autoSpaceDN w:val="0"/>
        <w:adjustRightInd w:val="0"/>
        <w:spacing w:line="240" w:lineRule="auto"/>
      </w:pPr>
    </w:p>
    <w:p w14:paraId="5FEC6055" w14:textId="77777777" w:rsidR="006E3229" w:rsidRDefault="00B43C9C">
      <w:pPr>
        <w:autoSpaceDE w:val="0"/>
        <w:autoSpaceDN w:val="0"/>
        <w:adjustRightInd w:val="0"/>
        <w:spacing w:line="240" w:lineRule="auto"/>
      </w:pPr>
      <w:r>
        <w:t xml:space="preserve">La eficacia de AGAMREE para el tratamiento de la DMD se evaluó en el Estudio 1, un estudio multicéntrico, aleatorizado, doble ciego, en grupos paralelos, controlado con placebo y con control activo de 24 semanas de duración, seguido de una fase de extensión doble ciego. </w:t>
      </w:r>
      <w:bookmarkStart w:id="11" w:name="_Hlk149569414"/>
      <w:r>
        <w:t>La población estudiada estaba formada por 121 pacientes pediátricos varones con un diagnóstico confirmado de DMD, de entre 4 y 7 años de edad en el momento de la inscripción en el estudio, sin tratamiento previo con corticosteroides y en fase ambulatoria.</w:t>
      </w:r>
    </w:p>
    <w:bookmarkEnd w:id="11"/>
    <w:p w14:paraId="0A389358" w14:textId="77777777" w:rsidR="006E3229" w:rsidRDefault="006E3229">
      <w:pPr>
        <w:autoSpaceDE w:val="0"/>
        <w:autoSpaceDN w:val="0"/>
        <w:adjustRightInd w:val="0"/>
        <w:spacing w:line="240" w:lineRule="auto"/>
      </w:pPr>
    </w:p>
    <w:p w14:paraId="3779511D" w14:textId="77777777" w:rsidR="006E3229" w:rsidRDefault="00B43C9C">
      <w:pPr>
        <w:autoSpaceDE w:val="0"/>
        <w:autoSpaceDN w:val="0"/>
        <w:adjustRightInd w:val="0"/>
        <w:spacing w:line="240" w:lineRule="auto"/>
      </w:pPr>
      <w:r>
        <w:t xml:space="preserve">En el Estudio 1 se aleatorizó a 121 pacientes a uno de los tratamientos siguientes: </w:t>
      </w:r>
      <w:proofErr w:type="spellStart"/>
      <w:r>
        <w:t>vamorolona</w:t>
      </w:r>
      <w:proofErr w:type="spellEnd"/>
      <w:r>
        <w:t xml:space="preserve"> 6 mg/kg/día (n = 30), </w:t>
      </w:r>
      <w:proofErr w:type="spellStart"/>
      <w:r>
        <w:t>vamorolona</w:t>
      </w:r>
      <w:proofErr w:type="spellEnd"/>
      <w:r>
        <w:t xml:space="preserve"> 2 mg/kg/día (n = 30), prednisona 0,75 mg/kg/día como comparador activo (n = 31) o placebo (n = 30). Tras 24 semanas (período 1, análisis primario de eficacia), los pacientes que habían recibido prednisona o placebo se reasignaron, de acuerdo con un sistema de aleatorización inicialmente definido, a </w:t>
      </w:r>
      <w:proofErr w:type="spellStart"/>
      <w:r>
        <w:t>vamorolona</w:t>
      </w:r>
      <w:proofErr w:type="spellEnd"/>
      <w:r>
        <w:t xml:space="preserve"> 6 mg/kg/día o a </w:t>
      </w:r>
      <w:proofErr w:type="spellStart"/>
      <w:r>
        <w:t>vamorolona</w:t>
      </w:r>
      <w:proofErr w:type="spellEnd"/>
      <w:r>
        <w:t xml:space="preserve"> 2 mg/kg/día durante otras 20 semanas de tratamiento (período 2).</w:t>
      </w:r>
    </w:p>
    <w:p w14:paraId="44299D93" w14:textId="77777777" w:rsidR="006E3229" w:rsidRDefault="006E3229">
      <w:pPr>
        <w:autoSpaceDE w:val="0"/>
        <w:autoSpaceDN w:val="0"/>
        <w:adjustRightInd w:val="0"/>
        <w:spacing w:line="240" w:lineRule="auto"/>
      </w:pPr>
    </w:p>
    <w:p w14:paraId="0B8EFAA7" w14:textId="77777777" w:rsidR="006E3229" w:rsidRDefault="00B43C9C">
      <w:pPr>
        <w:autoSpaceDE w:val="0"/>
        <w:autoSpaceDN w:val="0"/>
        <w:adjustRightInd w:val="0"/>
        <w:spacing w:line="240" w:lineRule="auto"/>
      </w:pPr>
      <w:r>
        <w:t xml:space="preserve">En el Estudio 1, la eficacia se evaluó analizando el cambio entre </w:t>
      </w:r>
      <w:proofErr w:type="gramStart"/>
      <w:r>
        <w:t>el situación basal</w:t>
      </w:r>
      <w:proofErr w:type="gramEnd"/>
      <w:r>
        <w:t xml:space="preserve"> y la semana 24 en la velocidad de la prueba cronometrada de levantarse del suelo (también conocida como TTSTAND) para </w:t>
      </w:r>
      <w:proofErr w:type="spellStart"/>
      <w:r>
        <w:t>vamorolona</w:t>
      </w:r>
      <w:proofErr w:type="spellEnd"/>
      <w:r>
        <w:t xml:space="preserve"> 6 mg/kg/día en comparación con el placebo. Un análisis jerárquico predeterminado de las variables secundarias relevantes consistió en un cambio con respecto a la situación basal en la velocidad de TTSTAND para el grupo de </w:t>
      </w:r>
      <w:proofErr w:type="spellStart"/>
      <w:r>
        <w:t>vamorolona</w:t>
      </w:r>
      <w:proofErr w:type="spellEnd"/>
      <w:r>
        <w:t xml:space="preserve"> de 2 mg/kg/día frente al grupo de placebo, un cambio con respecto a la situación basal en la prueba de la marcha de 6 minutos (6MWT) para </w:t>
      </w:r>
      <w:proofErr w:type="spellStart"/>
      <w:r>
        <w:t>vamorolona</w:t>
      </w:r>
      <w:proofErr w:type="spellEnd"/>
      <w:r>
        <w:t xml:space="preserve"> de 6 mg/kg/día seguido de 2 mg/kg/día frente a placebo.</w:t>
      </w:r>
    </w:p>
    <w:p w14:paraId="0732A1E0" w14:textId="77777777" w:rsidR="006E3229" w:rsidRDefault="006E3229">
      <w:pPr>
        <w:autoSpaceDE w:val="0"/>
        <w:autoSpaceDN w:val="0"/>
        <w:adjustRightInd w:val="0"/>
        <w:spacing w:line="240" w:lineRule="auto"/>
      </w:pPr>
    </w:p>
    <w:p w14:paraId="3C78D39C" w14:textId="7B7D9B2C" w:rsidR="006E3229" w:rsidRDefault="00B43C9C">
      <w:pPr>
        <w:autoSpaceDE w:val="0"/>
        <w:autoSpaceDN w:val="0"/>
        <w:adjustRightInd w:val="0"/>
        <w:spacing w:line="240" w:lineRule="auto"/>
      </w:pPr>
      <w:r>
        <w:t xml:space="preserve">El tratamiento con </w:t>
      </w:r>
      <w:proofErr w:type="spellStart"/>
      <w:r>
        <w:t>vamorolona</w:t>
      </w:r>
      <w:proofErr w:type="spellEnd"/>
      <w:r>
        <w:t xml:space="preserve"> 6 mg/kg/día y 2 mg/kg/día dio lugar a una mejora estadísticamente significativa en el cambio en la velocidad de TTSTAND y en la distancia de 6MWT entre la situación basal y la semana 24 en comparación con el placebo (véase la tabla 2). El Estudio 1 no se diseñó para mantener la tasa de error global de tipo I para las comparaciones de cada grupo de </w:t>
      </w:r>
      <w:proofErr w:type="spellStart"/>
      <w:r>
        <w:t>vamorolona</w:t>
      </w:r>
      <w:proofErr w:type="spellEnd"/>
      <w:r>
        <w:t xml:space="preserve"> frente a la prednisona, por lo que en la Figura 1 se presenta una evaluación global de las diferencias de tratamiento entre las variables, expresadas en un cambio porcentual respecto a la situación basal con intervalos de confianza del 95 % para estos criterios de valoración.</w:t>
      </w:r>
    </w:p>
    <w:p w14:paraId="025ADB39" w14:textId="77777777" w:rsidR="006E3229" w:rsidRDefault="006E3229">
      <w:pPr>
        <w:autoSpaceDE w:val="0"/>
        <w:autoSpaceDN w:val="0"/>
        <w:adjustRightInd w:val="0"/>
        <w:spacing w:line="240" w:lineRule="auto"/>
      </w:pPr>
    </w:p>
    <w:p w14:paraId="7298BB1F" w14:textId="77777777" w:rsidR="006E3229" w:rsidRDefault="00B43C9C">
      <w:pPr>
        <w:pStyle w:val="Caption"/>
        <w:rPr>
          <w:b w:val="0"/>
          <w:bCs w:val="0"/>
        </w:rPr>
      </w:pPr>
      <w:r>
        <w:t>Tabla </w:t>
      </w:r>
      <w:r>
        <w:fldChar w:fldCharType="begin"/>
      </w:r>
      <w:r>
        <w:instrText>SEQ Table \* ARABIC</w:instrText>
      </w:r>
      <w:r>
        <w:fldChar w:fldCharType="separate"/>
      </w:r>
      <w:r>
        <w:t>3</w:t>
      </w:r>
      <w:r>
        <w:fldChar w:fldCharType="end"/>
      </w:r>
      <w:r>
        <w:t>:</w:t>
      </w:r>
      <w:r>
        <w:rPr>
          <w:rStyle w:val="DNEx2"/>
        </w:rPr>
        <w:tab/>
      </w:r>
      <w:r>
        <w:t xml:space="preserve">Análisis del cambio con respecto a la situación basal con </w:t>
      </w:r>
      <w:proofErr w:type="spellStart"/>
      <w:r>
        <w:t>vamorolona</w:t>
      </w:r>
      <w:proofErr w:type="spellEnd"/>
      <w:r>
        <w:t xml:space="preserve"> 6 mg/kg/día o </w:t>
      </w:r>
      <w:proofErr w:type="spellStart"/>
      <w:r>
        <w:t>vamorolona</w:t>
      </w:r>
      <w:proofErr w:type="spellEnd"/>
      <w:r>
        <w:t xml:space="preserve"> 2 mg/kg/día en comparación con el placebo en la semana 24 (estudio 1)</w:t>
      </w:r>
    </w:p>
    <w:tbl>
      <w:tblPr>
        <w:tblStyle w:val="TableGrid"/>
        <w:tblW w:w="9283" w:type="dxa"/>
        <w:tblLayout w:type="fixed"/>
        <w:tblLook w:val="04A0" w:firstRow="1" w:lastRow="0" w:firstColumn="1" w:lastColumn="0" w:noHBand="0" w:noVBand="1"/>
      </w:tblPr>
      <w:tblGrid>
        <w:gridCol w:w="2830"/>
        <w:gridCol w:w="1134"/>
        <w:gridCol w:w="1701"/>
        <w:gridCol w:w="1701"/>
        <w:gridCol w:w="1917"/>
      </w:tblGrid>
      <w:tr w:rsidR="006E3229" w14:paraId="2539A2E5" w14:textId="77777777">
        <w:trPr>
          <w:cantSplit/>
          <w:trHeight w:val="57"/>
        </w:trPr>
        <w:tc>
          <w:tcPr>
            <w:tcW w:w="2830" w:type="dxa"/>
            <w:shd w:val="clear" w:color="auto" w:fill="F2F2F2" w:themeFill="background1" w:themeFillShade="F2"/>
            <w:vAlign w:val="center"/>
          </w:tcPr>
          <w:p w14:paraId="684F94EA" w14:textId="77777777" w:rsidR="006E3229" w:rsidRDefault="00B43C9C">
            <w:pPr>
              <w:keepNext/>
              <w:tabs>
                <w:tab w:val="clear" w:pos="567"/>
              </w:tabs>
              <w:spacing w:before="120" w:line="240" w:lineRule="auto"/>
              <w:rPr>
                <w:b/>
                <w:bCs/>
                <w:color w:val="000000"/>
                <w:sz w:val="20"/>
              </w:rPr>
            </w:pPr>
            <w:r>
              <w:rPr>
                <w:b/>
                <w:color w:val="000000" w:themeColor="text1"/>
                <w:sz w:val="20"/>
              </w:rPr>
              <w:t>Velocidad TTSTAND (subidas/</w:t>
            </w:r>
            <w:proofErr w:type="spellStart"/>
            <w:r>
              <w:rPr>
                <w:b/>
                <w:color w:val="000000" w:themeColor="text1"/>
                <w:sz w:val="20"/>
              </w:rPr>
              <w:t>seg</w:t>
            </w:r>
            <w:proofErr w:type="spellEnd"/>
            <w:r>
              <w:rPr>
                <w:b/>
                <w:color w:val="000000" w:themeColor="text1"/>
                <w:sz w:val="20"/>
              </w:rPr>
              <w:t>)/TTSTAND en segundos (</w:t>
            </w:r>
            <w:proofErr w:type="spellStart"/>
            <w:r>
              <w:rPr>
                <w:b/>
                <w:color w:val="000000" w:themeColor="text1"/>
                <w:sz w:val="20"/>
              </w:rPr>
              <w:t>seg</w:t>
            </w:r>
            <w:proofErr w:type="spellEnd"/>
            <w:r>
              <w:rPr>
                <w:b/>
                <w:color w:val="000000" w:themeColor="text1"/>
                <w:sz w:val="20"/>
              </w:rPr>
              <w:t>/bajada)</w:t>
            </w:r>
          </w:p>
        </w:tc>
        <w:tc>
          <w:tcPr>
            <w:tcW w:w="1134" w:type="dxa"/>
            <w:shd w:val="clear" w:color="auto" w:fill="F2F2F2" w:themeFill="background1" w:themeFillShade="F2"/>
            <w:vAlign w:val="center"/>
          </w:tcPr>
          <w:p w14:paraId="5010C121" w14:textId="77777777" w:rsidR="006E3229" w:rsidRDefault="00B43C9C">
            <w:pPr>
              <w:keepNext/>
              <w:tabs>
                <w:tab w:val="clear" w:pos="567"/>
              </w:tabs>
              <w:spacing w:before="120" w:line="240" w:lineRule="auto"/>
              <w:jc w:val="center"/>
              <w:rPr>
                <w:b/>
                <w:bCs/>
                <w:color w:val="000000"/>
                <w:sz w:val="20"/>
              </w:rPr>
            </w:pPr>
            <w:r>
              <w:rPr>
                <w:b/>
                <w:color w:val="000000" w:themeColor="text1"/>
                <w:sz w:val="20"/>
              </w:rPr>
              <w:t>Placebo</w:t>
            </w:r>
          </w:p>
        </w:tc>
        <w:tc>
          <w:tcPr>
            <w:tcW w:w="1701" w:type="dxa"/>
            <w:shd w:val="clear" w:color="auto" w:fill="F2F2F2" w:themeFill="background1" w:themeFillShade="F2"/>
            <w:vAlign w:val="center"/>
          </w:tcPr>
          <w:p w14:paraId="2DCDECF3" w14:textId="77777777" w:rsidR="006E3229" w:rsidRDefault="00B43C9C">
            <w:pPr>
              <w:keepNext/>
              <w:tabs>
                <w:tab w:val="clear" w:pos="567"/>
              </w:tabs>
              <w:spacing w:before="120" w:line="240" w:lineRule="auto"/>
              <w:jc w:val="center"/>
              <w:rPr>
                <w:b/>
                <w:bCs/>
                <w:color w:val="000000"/>
                <w:sz w:val="20"/>
              </w:rPr>
            </w:pPr>
            <w:proofErr w:type="spellStart"/>
            <w:r>
              <w:rPr>
                <w:b/>
                <w:color w:val="000000" w:themeColor="text1"/>
                <w:sz w:val="20"/>
              </w:rPr>
              <w:t>Vam</w:t>
            </w:r>
            <w:proofErr w:type="spellEnd"/>
            <w:r>
              <w:rPr>
                <w:b/>
                <w:color w:val="000000" w:themeColor="text1"/>
                <w:sz w:val="20"/>
              </w:rPr>
              <w:t xml:space="preserve"> 2 mg/kg/día</w:t>
            </w:r>
          </w:p>
        </w:tc>
        <w:tc>
          <w:tcPr>
            <w:tcW w:w="1701" w:type="dxa"/>
            <w:shd w:val="clear" w:color="auto" w:fill="F2F2F2" w:themeFill="background1" w:themeFillShade="F2"/>
            <w:vAlign w:val="center"/>
          </w:tcPr>
          <w:p w14:paraId="5007F793" w14:textId="77777777" w:rsidR="006E3229" w:rsidRDefault="00B43C9C">
            <w:pPr>
              <w:keepNext/>
              <w:tabs>
                <w:tab w:val="clear" w:pos="567"/>
              </w:tabs>
              <w:spacing w:before="120" w:line="240" w:lineRule="auto"/>
              <w:jc w:val="center"/>
              <w:rPr>
                <w:b/>
                <w:bCs/>
                <w:color w:val="000000"/>
                <w:sz w:val="20"/>
              </w:rPr>
            </w:pPr>
            <w:proofErr w:type="spellStart"/>
            <w:r>
              <w:rPr>
                <w:b/>
                <w:color w:val="000000" w:themeColor="text1"/>
                <w:sz w:val="20"/>
              </w:rPr>
              <w:t>Vam</w:t>
            </w:r>
            <w:proofErr w:type="spellEnd"/>
            <w:r>
              <w:rPr>
                <w:b/>
                <w:color w:val="000000" w:themeColor="text1"/>
                <w:sz w:val="20"/>
              </w:rPr>
              <w:t xml:space="preserve"> 6 mg/kg/día</w:t>
            </w:r>
          </w:p>
        </w:tc>
        <w:tc>
          <w:tcPr>
            <w:tcW w:w="1917" w:type="dxa"/>
            <w:shd w:val="clear" w:color="auto" w:fill="F2F2F2" w:themeFill="background1" w:themeFillShade="F2"/>
            <w:vAlign w:val="center"/>
          </w:tcPr>
          <w:p w14:paraId="5CB19F50" w14:textId="77777777" w:rsidR="006E3229" w:rsidRDefault="00B43C9C">
            <w:pPr>
              <w:keepNext/>
              <w:tabs>
                <w:tab w:val="clear" w:pos="567"/>
              </w:tabs>
              <w:spacing w:before="120" w:line="240" w:lineRule="auto"/>
              <w:jc w:val="center"/>
              <w:rPr>
                <w:b/>
                <w:bCs/>
                <w:color w:val="000000"/>
                <w:sz w:val="20"/>
              </w:rPr>
            </w:pPr>
            <w:proofErr w:type="spellStart"/>
            <w:r>
              <w:rPr>
                <w:b/>
                <w:color w:val="000000" w:themeColor="text1"/>
                <w:sz w:val="20"/>
              </w:rPr>
              <w:t>Pred</w:t>
            </w:r>
            <w:proofErr w:type="spellEnd"/>
            <w:r>
              <w:rPr>
                <w:b/>
                <w:color w:val="000000" w:themeColor="text1"/>
                <w:sz w:val="20"/>
              </w:rPr>
              <w:t xml:space="preserve"> 0,75 mg/kg/día</w:t>
            </w:r>
          </w:p>
        </w:tc>
      </w:tr>
      <w:tr w:rsidR="006E3229" w14:paraId="2215E4D0" w14:textId="77777777">
        <w:trPr>
          <w:cantSplit/>
          <w:trHeight w:val="766"/>
        </w:trPr>
        <w:tc>
          <w:tcPr>
            <w:tcW w:w="2830" w:type="dxa"/>
            <w:vAlign w:val="center"/>
          </w:tcPr>
          <w:p w14:paraId="2F2AF512" w14:textId="77777777" w:rsidR="006E3229" w:rsidRDefault="00B43C9C">
            <w:pPr>
              <w:tabs>
                <w:tab w:val="clear" w:pos="567"/>
              </w:tabs>
              <w:spacing w:line="240" w:lineRule="auto"/>
              <w:rPr>
                <w:color w:val="000000"/>
                <w:sz w:val="20"/>
              </w:rPr>
            </w:pPr>
            <w:r>
              <w:rPr>
                <w:color w:val="000000" w:themeColor="text1"/>
                <w:sz w:val="20"/>
              </w:rPr>
              <w:t>Situación basal, subidas/</w:t>
            </w:r>
            <w:proofErr w:type="spellStart"/>
            <w:r>
              <w:rPr>
                <w:color w:val="000000" w:themeColor="text1"/>
                <w:sz w:val="20"/>
              </w:rPr>
              <w:t>seg</w:t>
            </w:r>
            <w:proofErr w:type="spellEnd"/>
          </w:p>
          <w:p w14:paraId="1E089120" w14:textId="77777777" w:rsidR="006E3229" w:rsidRDefault="00B43C9C">
            <w:pPr>
              <w:tabs>
                <w:tab w:val="clear" w:pos="567"/>
              </w:tabs>
              <w:spacing w:line="240" w:lineRule="auto"/>
              <w:rPr>
                <w:color w:val="000000"/>
                <w:sz w:val="20"/>
              </w:rPr>
            </w:pPr>
            <w:r>
              <w:rPr>
                <w:color w:val="000000" w:themeColor="text1"/>
                <w:sz w:val="20"/>
              </w:rPr>
              <w:t xml:space="preserve">Situación basal, </w:t>
            </w:r>
            <w:proofErr w:type="spellStart"/>
            <w:r>
              <w:rPr>
                <w:color w:val="000000" w:themeColor="text1"/>
                <w:sz w:val="20"/>
              </w:rPr>
              <w:t>seg</w:t>
            </w:r>
            <w:proofErr w:type="spellEnd"/>
            <w:r>
              <w:rPr>
                <w:color w:val="000000" w:themeColor="text1"/>
                <w:sz w:val="20"/>
              </w:rPr>
              <w:t>/subida</w:t>
            </w:r>
          </w:p>
        </w:tc>
        <w:tc>
          <w:tcPr>
            <w:tcW w:w="1134" w:type="dxa"/>
            <w:vAlign w:val="center"/>
          </w:tcPr>
          <w:p w14:paraId="49B44D72" w14:textId="77777777" w:rsidR="006E3229" w:rsidRDefault="00B43C9C">
            <w:pPr>
              <w:tabs>
                <w:tab w:val="clear" w:pos="567"/>
              </w:tabs>
              <w:spacing w:line="240" w:lineRule="auto"/>
              <w:jc w:val="center"/>
              <w:rPr>
                <w:color w:val="000000"/>
                <w:sz w:val="20"/>
              </w:rPr>
            </w:pPr>
            <w:r>
              <w:rPr>
                <w:color w:val="000000" w:themeColor="text1"/>
                <w:sz w:val="20"/>
              </w:rPr>
              <w:t>0,20</w:t>
            </w:r>
          </w:p>
          <w:p w14:paraId="250BD992" w14:textId="77777777" w:rsidR="006E3229" w:rsidRDefault="00B43C9C">
            <w:pPr>
              <w:tabs>
                <w:tab w:val="clear" w:pos="567"/>
              </w:tabs>
              <w:spacing w:line="240" w:lineRule="auto"/>
              <w:jc w:val="center"/>
              <w:rPr>
                <w:color w:val="000000"/>
                <w:sz w:val="20"/>
              </w:rPr>
            </w:pPr>
            <w:r>
              <w:rPr>
                <w:color w:val="000000" w:themeColor="text1"/>
                <w:sz w:val="20"/>
              </w:rPr>
              <w:t>5,555</w:t>
            </w:r>
          </w:p>
        </w:tc>
        <w:tc>
          <w:tcPr>
            <w:tcW w:w="1701" w:type="dxa"/>
            <w:vAlign w:val="center"/>
          </w:tcPr>
          <w:p w14:paraId="52A670A2" w14:textId="77777777" w:rsidR="006E3229" w:rsidRDefault="00B43C9C">
            <w:pPr>
              <w:tabs>
                <w:tab w:val="clear" w:pos="567"/>
              </w:tabs>
              <w:spacing w:line="240" w:lineRule="auto"/>
              <w:jc w:val="center"/>
              <w:rPr>
                <w:color w:val="000000"/>
                <w:sz w:val="20"/>
              </w:rPr>
            </w:pPr>
            <w:r>
              <w:rPr>
                <w:color w:val="000000" w:themeColor="text1"/>
                <w:sz w:val="20"/>
              </w:rPr>
              <w:t>0,18</w:t>
            </w:r>
          </w:p>
          <w:p w14:paraId="563BD257" w14:textId="77777777" w:rsidR="006E3229" w:rsidRDefault="00B43C9C">
            <w:pPr>
              <w:tabs>
                <w:tab w:val="clear" w:pos="567"/>
              </w:tabs>
              <w:spacing w:line="240" w:lineRule="auto"/>
              <w:jc w:val="center"/>
              <w:rPr>
                <w:color w:val="000000"/>
                <w:sz w:val="20"/>
              </w:rPr>
            </w:pPr>
            <w:r>
              <w:rPr>
                <w:color w:val="000000" w:themeColor="text1"/>
                <w:sz w:val="20"/>
              </w:rPr>
              <w:t xml:space="preserve"> 6,07</w:t>
            </w:r>
          </w:p>
        </w:tc>
        <w:tc>
          <w:tcPr>
            <w:tcW w:w="1701" w:type="dxa"/>
            <w:vAlign w:val="center"/>
          </w:tcPr>
          <w:p w14:paraId="50012520" w14:textId="77777777" w:rsidR="006E3229" w:rsidRDefault="00B43C9C">
            <w:pPr>
              <w:tabs>
                <w:tab w:val="clear" w:pos="567"/>
              </w:tabs>
              <w:spacing w:line="240" w:lineRule="auto"/>
              <w:jc w:val="center"/>
              <w:rPr>
                <w:color w:val="000000"/>
                <w:sz w:val="20"/>
              </w:rPr>
            </w:pPr>
            <w:r>
              <w:rPr>
                <w:color w:val="000000" w:themeColor="text1"/>
                <w:sz w:val="20"/>
              </w:rPr>
              <w:t>0,19</w:t>
            </w:r>
          </w:p>
          <w:p w14:paraId="56FA2E71" w14:textId="77777777" w:rsidR="006E3229" w:rsidRDefault="00B43C9C">
            <w:pPr>
              <w:tabs>
                <w:tab w:val="clear" w:pos="567"/>
              </w:tabs>
              <w:spacing w:line="240" w:lineRule="auto"/>
              <w:jc w:val="center"/>
              <w:rPr>
                <w:color w:val="000000"/>
                <w:sz w:val="20"/>
              </w:rPr>
            </w:pPr>
            <w:r>
              <w:rPr>
                <w:color w:val="000000" w:themeColor="text1"/>
                <w:sz w:val="20"/>
              </w:rPr>
              <w:t>5,97</w:t>
            </w:r>
          </w:p>
        </w:tc>
        <w:tc>
          <w:tcPr>
            <w:tcW w:w="1917" w:type="dxa"/>
            <w:vAlign w:val="center"/>
          </w:tcPr>
          <w:p w14:paraId="56D47B84" w14:textId="77777777" w:rsidR="006E3229" w:rsidRDefault="00B43C9C">
            <w:pPr>
              <w:tabs>
                <w:tab w:val="clear" w:pos="567"/>
              </w:tabs>
              <w:spacing w:line="240" w:lineRule="auto"/>
              <w:jc w:val="center"/>
              <w:rPr>
                <w:color w:val="000000"/>
                <w:sz w:val="20"/>
              </w:rPr>
            </w:pPr>
            <w:r>
              <w:rPr>
                <w:color w:val="000000" w:themeColor="text1"/>
                <w:sz w:val="20"/>
              </w:rPr>
              <w:t>0,22</w:t>
            </w:r>
          </w:p>
          <w:p w14:paraId="30936852" w14:textId="77777777" w:rsidR="006E3229" w:rsidRDefault="00B43C9C">
            <w:pPr>
              <w:tabs>
                <w:tab w:val="clear" w:pos="567"/>
              </w:tabs>
              <w:spacing w:line="240" w:lineRule="auto"/>
              <w:jc w:val="center"/>
              <w:rPr>
                <w:color w:val="000000"/>
                <w:sz w:val="20"/>
              </w:rPr>
            </w:pPr>
            <w:r>
              <w:rPr>
                <w:color w:val="000000" w:themeColor="text1"/>
                <w:sz w:val="20"/>
              </w:rPr>
              <w:t>4,92</w:t>
            </w:r>
          </w:p>
        </w:tc>
      </w:tr>
      <w:tr w:rsidR="006E3229" w14:paraId="3A2A9D6F" w14:textId="77777777">
        <w:trPr>
          <w:cantSplit/>
          <w:trHeight w:val="1047"/>
        </w:trPr>
        <w:tc>
          <w:tcPr>
            <w:tcW w:w="2830" w:type="dxa"/>
            <w:vAlign w:val="center"/>
          </w:tcPr>
          <w:p w14:paraId="3CF7BCEE" w14:textId="77777777" w:rsidR="006E3229" w:rsidRDefault="00B43C9C">
            <w:pPr>
              <w:tabs>
                <w:tab w:val="clear" w:pos="567"/>
              </w:tabs>
              <w:spacing w:line="240" w:lineRule="auto"/>
              <w:rPr>
                <w:color w:val="000000"/>
                <w:sz w:val="20"/>
              </w:rPr>
            </w:pPr>
            <w:r>
              <w:rPr>
                <w:color w:val="000000" w:themeColor="text1"/>
                <w:sz w:val="20"/>
              </w:rPr>
              <w:lastRenderedPageBreak/>
              <w:t>Cambio medio a las 24 semanas</w:t>
            </w:r>
          </w:p>
          <w:p w14:paraId="0717C73D" w14:textId="77777777" w:rsidR="006E3229" w:rsidRDefault="00B43C9C">
            <w:pPr>
              <w:tabs>
                <w:tab w:val="clear" w:pos="567"/>
              </w:tabs>
              <w:spacing w:line="240" w:lineRule="auto"/>
              <w:rPr>
                <w:color w:val="000000"/>
                <w:sz w:val="20"/>
              </w:rPr>
            </w:pPr>
            <w:r>
              <w:rPr>
                <w:color w:val="000000" w:themeColor="text1"/>
                <w:sz w:val="20"/>
              </w:rPr>
              <w:t>Subidas/</w:t>
            </w:r>
            <w:proofErr w:type="spellStart"/>
            <w:r>
              <w:rPr>
                <w:color w:val="000000" w:themeColor="text1"/>
                <w:sz w:val="20"/>
              </w:rPr>
              <w:t>seg</w:t>
            </w:r>
            <w:proofErr w:type="spellEnd"/>
          </w:p>
          <w:p w14:paraId="36431B4B" w14:textId="77777777" w:rsidR="006E3229" w:rsidRDefault="00B43C9C">
            <w:pPr>
              <w:tabs>
                <w:tab w:val="clear" w:pos="567"/>
              </w:tabs>
              <w:spacing w:line="240" w:lineRule="auto"/>
              <w:rPr>
                <w:color w:val="000000"/>
                <w:sz w:val="20"/>
              </w:rPr>
            </w:pPr>
            <w:r>
              <w:rPr>
                <w:color w:val="000000" w:themeColor="text1"/>
                <w:sz w:val="20"/>
              </w:rPr>
              <w:t xml:space="preserve">Mejoría en </w:t>
            </w:r>
            <w:proofErr w:type="spellStart"/>
            <w:r>
              <w:rPr>
                <w:color w:val="000000" w:themeColor="text1"/>
                <w:sz w:val="20"/>
              </w:rPr>
              <w:t>seg</w:t>
            </w:r>
            <w:proofErr w:type="spellEnd"/>
            <w:r>
              <w:rPr>
                <w:color w:val="000000" w:themeColor="text1"/>
                <w:sz w:val="20"/>
              </w:rPr>
              <w:t>/subida</w:t>
            </w:r>
          </w:p>
        </w:tc>
        <w:tc>
          <w:tcPr>
            <w:tcW w:w="1134" w:type="dxa"/>
            <w:vAlign w:val="center"/>
          </w:tcPr>
          <w:p w14:paraId="477AE58F" w14:textId="77777777" w:rsidR="006E3229" w:rsidRDefault="006E3229">
            <w:pPr>
              <w:tabs>
                <w:tab w:val="clear" w:pos="567"/>
              </w:tabs>
              <w:spacing w:line="240" w:lineRule="auto"/>
              <w:jc w:val="center"/>
              <w:rPr>
                <w:color w:val="000000"/>
                <w:sz w:val="20"/>
                <w:lang w:eastAsia="en-GB"/>
              </w:rPr>
            </w:pPr>
          </w:p>
          <w:p w14:paraId="50C58C92" w14:textId="77777777" w:rsidR="006E3229" w:rsidRDefault="006E3229">
            <w:pPr>
              <w:tabs>
                <w:tab w:val="clear" w:pos="567"/>
              </w:tabs>
              <w:spacing w:line="240" w:lineRule="auto"/>
              <w:jc w:val="center"/>
              <w:rPr>
                <w:color w:val="000000"/>
                <w:sz w:val="20"/>
                <w:lang w:eastAsia="en-GB"/>
              </w:rPr>
            </w:pPr>
          </w:p>
          <w:p w14:paraId="45AE8CEA" w14:textId="77777777" w:rsidR="006E3229" w:rsidRDefault="00B43C9C">
            <w:pPr>
              <w:tabs>
                <w:tab w:val="clear" w:pos="567"/>
              </w:tabs>
              <w:spacing w:line="240" w:lineRule="auto"/>
              <w:jc w:val="center"/>
              <w:rPr>
                <w:color w:val="000000"/>
                <w:sz w:val="20"/>
              </w:rPr>
            </w:pPr>
            <w:r>
              <w:rPr>
                <w:color w:val="000000" w:themeColor="text1"/>
                <w:sz w:val="20"/>
              </w:rPr>
              <w:t>-0,012</w:t>
            </w:r>
          </w:p>
          <w:p w14:paraId="5460B89C" w14:textId="77777777" w:rsidR="006E3229" w:rsidRDefault="00B43C9C">
            <w:pPr>
              <w:tabs>
                <w:tab w:val="clear" w:pos="567"/>
              </w:tabs>
              <w:spacing w:line="240" w:lineRule="auto"/>
              <w:jc w:val="center"/>
              <w:rPr>
                <w:color w:val="000000"/>
                <w:sz w:val="20"/>
              </w:rPr>
            </w:pPr>
            <w:r>
              <w:rPr>
                <w:color w:val="000000" w:themeColor="text1"/>
                <w:sz w:val="20"/>
              </w:rPr>
              <w:t>-0,62</w:t>
            </w:r>
          </w:p>
          <w:p w14:paraId="1D971D14" w14:textId="77777777" w:rsidR="006E3229" w:rsidRDefault="006E3229">
            <w:pPr>
              <w:tabs>
                <w:tab w:val="clear" w:pos="567"/>
              </w:tabs>
              <w:spacing w:line="240" w:lineRule="auto"/>
              <w:jc w:val="center"/>
              <w:rPr>
                <w:color w:val="000000"/>
                <w:sz w:val="20"/>
                <w:lang w:eastAsia="en-GB"/>
              </w:rPr>
            </w:pPr>
          </w:p>
        </w:tc>
        <w:tc>
          <w:tcPr>
            <w:tcW w:w="1701" w:type="dxa"/>
            <w:vAlign w:val="center"/>
          </w:tcPr>
          <w:p w14:paraId="49434B07" w14:textId="77777777" w:rsidR="006E3229" w:rsidRDefault="006E3229">
            <w:pPr>
              <w:tabs>
                <w:tab w:val="clear" w:pos="567"/>
              </w:tabs>
              <w:spacing w:line="240" w:lineRule="auto"/>
              <w:jc w:val="center"/>
              <w:rPr>
                <w:color w:val="000000"/>
                <w:sz w:val="20"/>
                <w:lang w:eastAsia="en-GB"/>
              </w:rPr>
            </w:pPr>
          </w:p>
          <w:p w14:paraId="35A21F50" w14:textId="77777777" w:rsidR="006E3229" w:rsidRDefault="006E3229">
            <w:pPr>
              <w:tabs>
                <w:tab w:val="clear" w:pos="567"/>
              </w:tabs>
              <w:spacing w:line="240" w:lineRule="auto"/>
              <w:jc w:val="center"/>
              <w:rPr>
                <w:color w:val="000000"/>
                <w:sz w:val="20"/>
                <w:lang w:eastAsia="en-GB"/>
              </w:rPr>
            </w:pPr>
          </w:p>
          <w:p w14:paraId="27981CC0" w14:textId="77777777" w:rsidR="006E3229" w:rsidRDefault="00B43C9C">
            <w:pPr>
              <w:tabs>
                <w:tab w:val="clear" w:pos="567"/>
              </w:tabs>
              <w:spacing w:line="240" w:lineRule="auto"/>
              <w:jc w:val="center"/>
              <w:rPr>
                <w:color w:val="000000"/>
                <w:sz w:val="20"/>
              </w:rPr>
            </w:pPr>
            <w:r>
              <w:rPr>
                <w:color w:val="000000" w:themeColor="text1"/>
                <w:sz w:val="20"/>
              </w:rPr>
              <w:t>0,031</w:t>
            </w:r>
          </w:p>
          <w:p w14:paraId="1193BFAE" w14:textId="77777777" w:rsidR="006E3229" w:rsidRDefault="00B43C9C">
            <w:pPr>
              <w:tabs>
                <w:tab w:val="clear" w:pos="567"/>
              </w:tabs>
              <w:spacing w:line="240" w:lineRule="auto"/>
              <w:jc w:val="center"/>
              <w:rPr>
                <w:color w:val="000000"/>
                <w:sz w:val="20"/>
              </w:rPr>
            </w:pPr>
            <w:r>
              <w:rPr>
                <w:color w:val="000000" w:themeColor="text1"/>
                <w:sz w:val="20"/>
              </w:rPr>
              <w:t>0,31</w:t>
            </w:r>
          </w:p>
          <w:p w14:paraId="6C2D2616" w14:textId="77777777" w:rsidR="006E3229" w:rsidRDefault="006E3229">
            <w:pPr>
              <w:tabs>
                <w:tab w:val="clear" w:pos="567"/>
              </w:tabs>
              <w:spacing w:line="240" w:lineRule="auto"/>
              <w:jc w:val="center"/>
              <w:rPr>
                <w:color w:val="000000"/>
                <w:sz w:val="20"/>
                <w:lang w:eastAsia="en-GB"/>
              </w:rPr>
            </w:pPr>
          </w:p>
        </w:tc>
        <w:tc>
          <w:tcPr>
            <w:tcW w:w="1701" w:type="dxa"/>
            <w:vAlign w:val="center"/>
          </w:tcPr>
          <w:p w14:paraId="1B1B1CD2" w14:textId="77777777" w:rsidR="006E3229" w:rsidRDefault="006E3229">
            <w:pPr>
              <w:tabs>
                <w:tab w:val="clear" w:pos="567"/>
              </w:tabs>
              <w:spacing w:line="240" w:lineRule="auto"/>
              <w:jc w:val="center"/>
              <w:rPr>
                <w:color w:val="000000"/>
                <w:sz w:val="20"/>
                <w:lang w:eastAsia="en-GB"/>
              </w:rPr>
            </w:pPr>
          </w:p>
          <w:p w14:paraId="7A2D5D75" w14:textId="77777777" w:rsidR="006E3229" w:rsidRDefault="006E3229">
            <w:pPr>
              <w:tabs>
                <w:tab w:val="clear" w:pos="567"/>
              </w:tabs>
              <w:spacing w:line="240" w:lineRule="auto"/>
              <w:jc w:val="center"/>
              <w:rPr>
                <w:color w:val="000000"/>
                <w:sz w:val="20"/>
                <w:lang w:eastAsia="en-GB"/>
              </w:rPr>
            </w:pPr>
          </w:p>
          <w:p w14:paraId="3967420C" w14:textId="77777777" w:rsidR="006E3229" w:rsidRDefault="00B43C9C">
            <w:pPr>
              <w:tabs>
                <w:tab w:val="clear" w:pos="567"/>
              </w:tabs>
              <w:spacing w:line="240" w:lineRule="auto"/>
              <w:jc w:val="center"/>
              <w:rPr>
                <w:color w:val="000000"/>
                <w:sz w:val="20"/>
              </w:rPr>
            </w:pPr>
            <w:r>
              <w:rPr>
                <w:color w:val="000000" w:themeColor="text1"/>
                <w:sz w:val="20"/>
              </w:rPr>
              <w:t>0,046</w:t>
            </w:r>
          </w:p>
          <w:p w14:paraId="495D999B" w14:textId="77777777" w:rsidR="006E3229" w:rsidRDefault="00B43C9C">
            <w:pPr>
              <w:tabs>
                <w:tab w:val="clear" w:pos="567"/>
              </w:tabs>
              <w:spacing w:line="240" w:lineRule="auto"/>
              <w:jc w:val="center"/>
              <w:rPr>
                <w:color w:val="000000"/>
                <w:sz w:val="20"/>
              </w:rPr>
            </w:pPr>
            <w:r>
              <w:rPr>
                <w:color w:val="000000" w:themeColor="text1"/>
                <w:sz w:val="20"/>
              </w:rPr>
              <w:t>1,05</w:t>
            </w:r>
          </w:p>
          <w:p w14:paraId="26DAA195" w14:textId="77777777" w:rsidR="006E3229" w:rsidRDefault="006E3229">
            <w:pPr>
              <w:tabs>
                <w:tab w:val="clear" w:pos="567"/>
              </w:tabs>
              <w:spacing w:line="240" w:lineRule="auto"/>
              <w:jc w:val="center"/>
              <w:rPr>
                <w:color w:val="000000"/>
                <w:sz w:val="20"/>
                <w:lang w:eastAsia="en-GB"/>
              </w:rPr>
            </w:pPr>
          </w:p>
        </w:tc>
        <w:tc>
          <w:tcPr>
            <w:tcW w:w="1917" w:type="dxa"/>
            <w:vAlign w:val="center"/>
          </w:tcPr>
          <w:p w14:paraId="2C75958A" w14:textId="77777777" w:rsidR="006E3229" w:rsidRDefault="006E3229">
            <w:pPr>
              <w:tabs>
                <w:tab w:val="clear" w:pos="567"/>
              </w:tabs>
              <w:spacing w:line="240" w:lineRule="auto"/>
              <w:jc w:val="center"/>
              <w:rPr>
                <w:color w:val="000000"/>
                <w:sz w:val="20"/>
                <w:lang w:eastAsia="en-GB"/>
              </w:rPr>
            </w:pPr>
          </w:p>
          <w:p w14:paraId="35F6A2C1" w14:textId="77777777" w:rsidR="006E3229" w:rsidRDefault="006E3229">
            <w:pPr>
              <w:tabs>
                <w:tab w:val="clear" w:pos="567"/>
              </w:tabs>
              <w:spacing w:line="240" w:lineRule="auto"/>
              <w:jc w:val="center"/>
              <w:rPr>
                <w:color w:val="000000"/>
                <w:sz w:val="20"/>
                <w:lang w:eastAsia="en-GB"/>
              </w:rPr>
            </w:pPr>
          </w:p>
          <w:p w14:paraId="51CE94DD" w14:textId="77777777" w:rsidR="006E3229" w:rsidRDefault="00B43C9C">
            <w:pPr>
              <w:tabs>
                <w:tab w:val="clear" w:pos="567"/>
              </w:tabs>
              <w:spacing w:line="240" w:lineRule="auto"/>
              <w:jc w:val="center"/>
              <w:rPr>
                <w:color w:val="000000"/>
                <w:sz w:val="20"/>
              </w:rPr>
            </w:pPr>
            <w:r>
              <w:rPr>
                <w:color w:val="000000" w:themeColor="text1"/>
                <w:sz w:val="20"/>
              </w:rPr>
              <w:t>0,066</w:t>
            </w:r>
          </w:p>
          <w:p w14:paraId="7D31B873" w14:textId="77777777" w:rsidR="006E3229" w:rsidRDefault="00B43C9C">
            <w:pPr>
              <w:tabs>
                <w:tab w:val="clear" w:pos="567"/>
              </w:tabs>
              <w:spacing w:line="240" w:lineRule="auto"/>
              <w:jc w:val="center"/>
              <w:rPr>
                <w:color w:val="000000"/>
                <w:sz w:val="20"/>
              </w:rPr>
            </w:pPr>
            <w:r>
              <w:rPr>
                <w:color w:val="000000" w:themeColor="text1"/>
                <w:sz w:val="20"/>
              </w:rPr>
              <w:t>1,24</w:t>
            </w:r>
          </w:p>
          <w:p w14:paraId="777E0FA1" w14:textId="77777777" w:rsidR="006E3229" w:rsidRDefault="006E3229">
            <w:pPr>
              <w:tabs>
                <w:tab w:val="clear" w:pos="567"/>
              </w:tabs>
              <w:spacing w:line="240" w:lineRule="auto"/>
              <w:jc w:val="center"/>
              <w:rPr>
                <w:color w:val="000000"/>
                <w:sz w:val="20"/>
                <w:lang w:eastAsia="en-GB"/>
              </w:rPr>
            </w:pPr>
          </w:p>
        </w:tc>
      </w:tr>
      <w:tr w:rsidR="006E3229" w14:paraId="65281AFB" w14:textId="77777777">
        <w:trPr>
          <w:cantSplit/>
          <w:trHeight w:val="482"/>
        </w:trPr>
        <w:tc>
          <w:tcPr>
            <w:tcW w:w="2830" w:type="dxa"/>
            <w:vAlign w:val="center"/>
          </w:tcPr>
          <w:p w14:paraId="0FE66E3D" w14:textId="77777777" w:rsidR="006E3229" w:rsidRDefault="006E3229">
            <w:pPr>
              <w:tabs>
                <w:tab w:val="clear" w:pos="567"/>
              </w:tabs>
              <w:spacing w:line="240" w:lineRule="auto"/>
              <w:rPr>
                <w:color w:val="000000" w:themeColor="text1"/>
                <w:sz w:val="20"/>
                <w:lang w:eastAsia="en-GB"/>
              </w:rPr>
            </w:pPr>
          </w:p>
          <w:p w14:paraId="161FD582" w14:textId="77777777" w:rsidR="006E3229" w:rsidRDefault="00B43C9C">
            <w:pPr>
              <w:tabs>
                <w:tab w:val="clear" w:pos="567"/>
              </w:tabs>
              <w:spacing w:line="240" w:lineRule="auto"/>
              <w:rPr>
                <w:color w:val="000000"/>
                <w:sz w:val="20"/>
              </w:rPr>
            </w:pPr>
            <w:r>
              <w:rPr>
                <w:color w:val="000000" w:themeColor="text1"/>
                <w:sz w:val="20"/>
              </w:rPr>
              <w:t>Diferencia frente al placebo*</w:t>
            </w:r>
          </w:p>
          <w:p w14:paraId="5E4E8A4E" w14:textId="77777777" w:rsidR="006E3229" w:rsidRDefault="00B43C9C">
            <w:pPr>
              <w:tabs>
                <w:tab w:val="clear" w:pos="567"/>
              </w:tabs>
              <w:spacing w:line="240" w:lineRule="auto"/>
              <w:rPr>
                <w:color w:val="000000"/>
                <w:sz w:val="20"/>
              </w:rPr>
            </w:pPr>
            <w:r>
              <w:rPr>
                <w:color w:val="000000" w:themeColor="text1"/>
                <w:sz w:val="20"/>
              </w:rPr>
              <w:t>Subidas/</w:t>
            </w:r>
            <w:proofErr w:type="spellStart"/>
            <w:r>
              <w:rPr>
                <w:color w:val="000000" w:themeColor="text1"/>
                <w:sz w:val="20"/>
              </w:rPr>
              <w:t>seg</w:t>
            </w:r>
            <w:proofErr w:type="spellEnd"/>
          </w:p>
          <w:p w14:paraId="061CC761" w14:textId="77777777" w:rsidR="006E3229" w:rsidRDefault="00B43C9C">
            <w:pPr>
              <w:tabs>
                <w:tab w:val="clear" w:pos="567"/>
              </w:tabs>
              <w:spacing w:line="240" w:lineRule="auto"/>
              <w:rPr>
                <w:color w:val="000000" w:themeColor="text1"/>
                <w:sz w:val="20"/>
              </w:rPr>
            </w:pPr>
            <w:proofErr w:type="spellStart"/>
            <w:r>
              <w:rPr>
                <w:color w:val="000000" w:themeColor="text1"/>
                <w:sz w:val="20"/>
              </w:rPr>
              <w:t>Seg</w:t>
            </w:r>
            <w:proofErr w:type="spellEnd"/>
            <w:r>
              <w:rPr>
                <w:color w:val="000000" w:themeColor="text1"/>
                <w:sz w:val="20"/>
              </w:rPr>
              <w:t>/subida</w:t>
            </w:r>
          </w:p>
          <w:p w14:paraId="19197D14" w14:textId="77777777" w:rsidR="006E3229" w:rsidRDefault="006E3229">
            <w:pPr>
              <w:tabs>
                <w:tab w:val="clear" w:pos="567"/>
              </w:tabs>
              <w:spacing w:line="240" w:lineRule="auto"/>
              <w:rPr>
                <w:color w:val="000000"/>
                <w:sz w:val="20"/>
                <w:lang w:eastAsia="en-GB"/>
              </w:rPr>
            </w:pPr>
          </w:p>
        </w:tc>
        <w:tc>
          <w:tcPr>
            <w:tcW w:w="1134" w:type="dxa"/>
            <w:vAlign w:val="center"/>
          </w:tcPr>
          <w:p w14:paraId="01E01B85" w14:textId="77777777" w:rsidR="006E3229" w:rsidRDefault="00B43C9C">
            <w:pPr>
              <w:tabs>
                <w:tab w:val="clear" w:pos="567"/>
              </w:tabs>
              <w:spacing w:line="240" w:lineRule="auto"/>
              <w:jc w:val="center"/>
              <w:rPr>
                <w:color w:val="000000"/>
                <w:sz w:val="20"/>
              </w:rPr>
            </w:pPr>
            <w:r>
              <w:rPr>
                <w:color w:val="000000" w:themeColor="text1"/>
                <w:sz w:val="20"/>
                <w:lang w:eastAsia="en-GB"/>
              </w:rPr>
              <w:t>-</w:t>
            </w:r>
          </w:p>
        </w:tc>
        <w:tc>
          <w:tcPr>
            <w:tcW w:w="1701" w:type="dxa"/>
            <w:vAlign w:val="center"/>
          </w:tcPr>
          <w:p w14:paraId="0D8C7A16" w14:textId="77777777" w:rsidR="006E3229" w:rsidRDefault="006E3229">
            <w:pPr>
              <w:tabs>
                <w:tab w:val="clear" w:pos="567"/>
              </w:tabs>
              <w:spacing w:line="240" w:lineRule="auto"/>
              <w:jc w:val="center"/>
              <w:rPr>
                <w:color w:val="000000"/>
                <w:sz w:val="20"/>
                <w:lang w:eastAsia="en-GB"/>
              </w:rPr>
            </w:pPr>
          </w:p>
          <w:p w14:paraId="61345D62" w14:textId="77777777" w:rsidR="006E3229" w:rsidRDefault="00B43C9C">
            <w:pPr>
              <w:tabs>
                <w:tab w:val="clear" w:pos="567"/>
              </w:tabs>
              <w:spacing w:line="240" w:lineRule="auto"/>
              <w:jc w:val="center"/>
              <w:rPr>
                <w:color w:val="000000" w:themeColor="text1"/>
                <w:sz w:val="20"/>
              </w:rPr>
            </w:pPr>
            <w:r>
              <w:rPr>
                <w:color w:val="000000" w:themeColor="text1"/>
                <w:sz w:val="20"/>
              </w:rPr>
              <w:t>0,043</w:t>
            </w:r>
          </w:p>
          <w:p w14:paraId="30EF5CB5" w14:textId="77777777" w:rsidR="006E3229" w:rsidRDefault="00B43C9C">
            <w:pPr>
              <w:tabs>
                <w:tab w:val="clear" w:pos="567"/>
              </w:tabs>
              <w:spacing w:line="240" w:lineRule="auto"/>
              <w:jc w:val="center"/>
              <w:rPr>
                <w:color w:val="000000"/>
                <w:sz w:val="20"/>
              </w:rPr>
            </w:pPr>
            <w:r>
              <w:rPr>
                <w:color w:val="000000" w:themeColor="text1"/>
                <w:sz w:val="20"/>
              </w:rPr>
              <w:t>(</w:t>
            </w:r>
            <w:proofErr w:type="gramStart"/>
            <w:r>
              <w:rPr>
                <w:color w:val="000000" w:themeColor="text1"/>
                <w:sz w:val="20"/>
              </w:rPr>
              <w:t>0,007 ;</w:t>
            </w:r>
            <w:proofErr w:type="gramEnd"/>
            <w:r>
              <w:rPr>
                <w:color w:val="000000" w:themeColor="text1"/>
                <w:sz w:val="20"/>
              </w:rPr>
              <w:t xml:space="preserve"> 0,079)</w:t>
            </w:r>
          </w:p>
          <w:p w14:paraId="69C45901" w14:textId="77777777" w:rsidR="006E3229" w:rsidRDefault="00B43C9C">
            <w:pPr>
              <w:tabs>
                <w:tab w:val="clear" w:pos="567"/>
              </w:tabs>
              <w:spacing w:line="240" w:lineRule="auto"/>
              <w:jc w:val="center"/>
              <w:rPr>
                <w:color w:val="000000"/>
                <w:sz w:val="20"/>
              </w:rPr>
            </w:pPr>
            <w:r>
              <w:rPr>
                <w:color w:val="000000" w:themeColor="text1"/>
                <w:sz w:val="20"/>
              </w:rPr>
              <w:t xml:space="preserve">0,927 (0,042 ; 1,895) </w:t>
            </w:r>
          </w:p>
        </w:tc>
        <w:tc>
          <w:tcPr>
            <w:tcW w:w="1701" w:type="dxa"/>
            <w:vAlign w:val="center"/>
          </w:tcPr>
          <w:p w14:paraId="2C975F9E" w14:textId="77777777" w:rsidR="006E3229" w:rsidRDefault="006E3229">
            <w:pPr>
              <w:tabs>
                <w:tab w:val="clear" w:pos="567"/>
              </w:tabs>
              <w:spacing w:line="240" w:lineRule="auto"/>
              <w:jc w:val="center"/>
              <w:rPr>
                <w:color w:val="000000"/>
                <w:sz w:val="20"/>
                <w:lang w:eastAsia="en-GB"/>
              </w:rPr>
            </w:pPr>
          </w:p>
          <w:p w14:paraId="463C0B96" w14:textId="77777777" w:rsidR="006E3229" w:rsidRDefault="00B43C9C">
            <w:pPr>
              <w:tabs>
                <w:tab w:val="clear" w:pos="567"/>
              </w:tabs>
              <w:spacing w:line="240" w:lineRule="auto"/>
              <w:jc w:val="center"/>
              <w:rPr>
                <w:color w:val="000000" w:themeColor="text1"/>
                <w:sz w:val="20"/>
              </w:rPr>
            </w:pPr>
            <w:r>
              <w:rPr>
                <w:color w:val="000000" w:themeColor="text1"/>
                <w:sz w:val="20"/>
              </w:rPr>
              <w:t>0,059</w:t>
            </w:r>
          </w:p>
          <w:p w14:paraId="08955582" w14:textId="77777777" w:rsidR="006E3229" w:rsidRDefault="00B43C9C">
            <w:pPr>
              <w:tabs>
                <w:tab w:val="clear" w:pos="567"/>
              </w:tabs>
              <w:spacing w:line="240" w:lineRule="auto"/>
              <w:jc w:val="center"/>
              <w:rPr>
                <w:color w:val="000000"/>
                <w:sz w:val="20"/>
              </w:rPr>
            </w:pPr>
            <w:r>
              <w:rPr>
                <w:color w:val="000000" w:themeColor="text1"/>
                <w:sz w:val="20"/>
              </w:rPr>
              <w:t>(</w:t>
            </w:r>
            <w:proofErr w:type="gramStart"/>
            <w:r>
              <w:rPr>
                <w:color w:val="000000" w:themeColor="text1"/>
                <w:sz w:val="20"/>
              </w:rPr>
              <w:t>0,022 ;</w:t>
            </w:r>
            <w:proofErr w:type="gramEnd"/>
            <w:r>
              <w:rPr>
                <w:color w:val="000000" w:themeColor="text1"/>
                <w:sz w:val="20"/>
              </w:rPr>
              <w:t xml:space="preserve"> 0,095)</w:t>
            </w:r>
          </w:p>
          <w:p w14:paraId="63FE11CC" w14:textId="77777777" w:rsidR="006E3229" w:rsidRDefault="00B43C9C">
            <w:pPr>
              <w:tabs>
                <w:tab w:val="clear" w:pos="567"/>
              </w:tabs>
              <w:spacing w:line="240" w:lineRule="auto"/>
              <w:jc w:val="center"/>
              <w:rPr>
                <w:color w:val="000000"/>
                <w:sz w:val="20"/>
              </w:rPr>
            </w:pPr>
            <w:r>
              <w:rPr>
                <w:color w:val="000000" w:themeColor="text1"/>
                <w:sz w:val="20"/>
              </w:rPr>
              <w:t>1,67 (0,684 ; 2,658)</w:t>
            </w:r>
          </w:p>
        </w:tc>
        <w:tc>
          <w:tcPr>
            <w:tcW w:w="1917" w:type="dxa"/>
            <w:vAlign w:val="center"/>
          </w:tcPr>
          <w:p w14:paraId="24FDBA71" w14:textId="77777777" w:rsidR="006E3229" w:rsidRDefault="006E3229">
            <w:pPr>
              <w:tabs>
                <w:tab w:val="clear" w:pos="567"/>
              </w:tabs>
              <w:spacing w:line="240" w:lineRule="auto"/>
              <w:jc w:val="center"/>
              <w:rPr>
                <w:color w:val="000000"/>
                <w:sz w:val="20"/>
                <w:lang w:eastAsia="en-GB"/>
              </w:rPr>
            </w:pPr>
          </w:p>
          <w:p w14:paraId="34E65A24" w14:textId="77777777" w:rsidR="006E3229" w:rsidRDefault="00B43C9C">
            <w:pPr>
              <w:tabs>
                <w:tab w:val="clear" w:pos="567"/>
              </w:tabs>
              <w:spacing w:line="240" w:lineRule="auto"/>
              <w:jc w:val="center"/>
              <w:rPr>
                <w:color w:val="000000"/>
                <w:sz w:val="20"/>
              </w:rPr>
            </w:pPr>
            <w:r>
              <w:rPr>
                <w:color w:val="000000" w:themeColor="text1"/>
                <w:sz w:val="20"/>
              </w:rPr>
              <w:t>no se ha administrado</w:t>
            </w:r>
          </w:p>
          <w:p w14:paraId="041CEFCC" w14:textId="77777777" w:rsidR="006E3229" w:rsidRDefault="00B43C9C">
            <w:pPr>
              <w:tabs>
                <w:tab w:val="clear" w:pos="567"/>
              </w:tabs>
              <w:spacing w:line="240" w:lineRule="auto"/>
              <w:jc w:val="center"/>
              <w:rPr>
                <w:color w:val="000000"/>
                <w:sz w:val="20"/>
              </w:rPr>
            </w:pPr>
            <w:r>
              <w:rPr>
                <w:color w:val="000000" w:themeColor="text1"/>
                <w:sz w:val="20"/>
              </w:rPr>
              <w:t>no se ha administrado</w:t>
            </w:r>
          </w:p>
        </w:tc>
      </w:tr>
      <w:tr w:rsidR="006E3229" w14:paraId="513D53D6" w14:textId="77777777">
        <w:trPr>
          <w:cantSplit/>
          <w:trHeight w:val="57"/>
        </w:trPr>
        <w:tc>
          <w:tcPr>
            <w:tcW w:w="2830" w:type="dxa"/>
            <w:vAlign w:val="center"/>
          </w:tcPr>
          <w:p w14:paraId="4EA00006" w14:textId="77777777" w:rsidR="006E3229" w:rsidRDefault="00B43C9C">
            <w:pPr>
              <w:tabs>
                <w:tab w:val="clear" w:pos="567"/>
              </w:tabs>
              <w:spacing w:line="240" w:lineRule="auto"/>
              <w:rPr>
                <w:color w:val="000000"/>
                <w:sz w:val="20"/>
              </w:rPr>
            </w:pPr>
            <w:r>
              <w:rPr>
                <w:color w:val="000000" w:themeColor="text1"/>
                <w:sz w:val="20"/>
              </w:rPr>
              <w:t xml:space="preserve">Valor de p </w:t>
            </w:r>
          </w:p>
        </w:tc>
        <w:tc>
          <w:tcPr>
            <w:tcW w:w="1134" w:type="dxa"/>
            <w:vAlign w:val="center"/>
          </w:tcPr>
          <w:p w14:paraId="6B2DD525" w14:textId="77777777" w:rsidR="006E3229" w:rsidRDefault="00B43C9C">
            <w:pPr>
              <w:tabs>
                <w:tab w:val="clear" w:pos="567"/>
              </w:tabs>
              <w:spacing w:line="240" w:lineRule="auto"/>
              <w:jc w:val="center"/>
              <w:rPr>
                <w:color w:val="000000"/>
                <w:sz w:val="20"/>
              </w:rPr>
            </w:pPr>
            <w:r>
              <w:rPr>
                <w:color w:val="000000" w:themeColor="text1"/>
                <w:sz w:val="20"/>
                <w:lang w:eastAsia="en-GB"/>
              </w:rPr>
              <w:t>-</w:t>
            </w:r>
          </w:p>
        </w:tc>
        <w:tc>
          <w:tcPr>
            <w:tcW w:w="1701" w:type="dxa"/>
            <w:vAlign w:val="center"/>
          </w:tcPr>
          <w:p w14:paraId="5856ED04" w14:textId="77777777" w:rsidR="006E3229" w:rsidRDefault="00B43C9C">
            <w:pPr>
              <w:tabs>
                <w:tab w:val="clear" w:pos="567"/>
              </w:tabs>
              <w:spacing w:line="240" w:lineRule="auto"/>
              <w:jc w:val="center"/>
              <w:rPr>
                <w:color w:val="000000"/>
                <w:sz w:val="20"/>
              </w:rPr>
            </w:pPr>
            <w:r>
              <w:rPr>
                <w:color w:val="000000" w:themeColor="text1"/>
                <w:sz w:val="20"/>
              </w:rPr>
              <w:t>0,020</w:t>
            </w:r>
          </w:p>
        </w:tc>
        <w:tc>
          <w:tcPr>
            <w:tcW w:w="1701" w:type="dxa"/>
            <w:vAlign w:val="center"/>
          </w:tcPr>
          <w:p w14:paraId="19CFA6F8" w14:textId="77777777" w:rsidR="006E3229" w:rsidRDefault="00B43C9C">
            <w:pPr>
              <w:tabs>
                <w:tab w:val="clear" w:pos="567"/>
              </w:tabs>
              <w:spacing w:line="240" w:lineRule="auto"/>
              <w:jc w:val="center"/>
              <w:rPr>
                <w:color w:val="000000"/>
                <w:sz w:val="20"/>
              </w:rPr>
            </w:pPr>
            <w:r>
              <w:rPr>
                <w:color w:val="000000" w:themeColor="text1"/>
                <w:sz w:val="20"/>
              </w:rPr>
              <w:t>0,002</w:t>
            </w:r>
          </w:p>
        </w:tc>
        <w:tc>
          <w:tcPr>
            <w:tcW w:w="1917" w:type="dxa"/>
            <w:vAlign w:val="center"/>
          </w:tcPr>
          <w:p w14:paraId="4E453CE1" w14:textId="77777777" w:rsidR="006E3229" w:rsidRDefault="00B43C9C">
            <w:pPr>
              <w:tabs>
                <w:tab w:val="clear" w:pos="567"/>
              </w:tabs>
              <w:spacing w:line="240" w:lineRule="auto"/>
              <w:jc w:val="center"/>
              <w:rPr>
                <w:color w:val="000000"/>
                <w:sz w:val="20"/>
              </w:rPr>
            </w:pPr>
            <w:r>
              <w:rPr>
                <w:color w:val="000000" w:themeColor="text1"/>
                <w:sz w:val="20"/>
              </w:rPr>
              <w:t xml:space="preserve">no se ha administrado </w:t>
            </w:r>
          </w:p>
        </w:tc>
      </w:tr>
      <w:tr w:rsidR="006E3229" w14:paraId="0433D7A0" w14:textId="77777777">
        <w:trPr>
          <w:cantSplit/>
          <w:trHeight w:val="57"/>
        </w:trPr>
        <w:tc>
          <w:tcPr>
            <w:tcW w:w="2830" w:type="dxa"/>
            <w:shd w:val="clear" w:color="auto" w:fill="F2F2F2" w:themeFill="background1" w:themeFillShade="F2"/>
            <w:vAlign w:val="center"/>
          </w:tcPr>
          <w:p w14:paraId="38C61940" w14:textId="77777777" w:rsidR="006E3229" w:rsidRDefault="00B43C9C">
            <w:pPr>
              <w:tabs>
                <w:tab w:val="clear" w:pos="567"/>
              </w:tabs>
              <w:spacing w:before="120" w:line="240" w:lineRule="auto"/>
              <w:rPr>
                <w:b/>
                <w:bCs/>
                <w:color w:val="000000"/>
                <w:sz w:val="20"/>
              </w:rPr>
            </w:pPr>
            <w:r>
              <w:rPr>
                <w:b/>
                <w:color w:val="000000" w:themeColor="text1"/>
                <w:sz w:val="20"/>
              </w:rPr>
              <w:t>Distancia de 6 MWT (metros)</w:t>
            </w:r>
          </w:p>
        </w:tc>
        <w:tc>
          <w:tcPr>
            <w:tcW w:w="1134" w:type="dxa"/>
            <w:shd w:val="clear" w:color="auto" w:fill="F2F2F2" w:themeFill="background1" w:themeFillShade="F2"/>
            <w:vAlign w:val="center"/>
          </w:tcPr>
          <w:p w14:paraId="22C3844B" w14:textId="77777777" w:rsidR="006E3229" w:rsidRDefault="00B43C9C">
            <w:pPr>
              <w:tabs>
                <w:tab w:val="clear" w:pos="567"/>
              </w:tabs>
              <w:spacing w:before="120" w:line="240" w:lineRule="auto"/>
              <w:jc w:val="center"/>
              <w:rPr>
                <w:b/>
                <w:bCs/>
                <w:color w:val="000000"/>
                <w:sz w:val="20"/>
              </w:rPr>
            </w:pPr>
            <w:r>
              <w:rPr>
                <w:b/>
                <w:color w:val="000000" w:themeColor="text1"/>
                <w:sz w:val="20"/>
              </w:rPr>
              <w:t>Placebo</w:t>
            </w:r>
          </w:p>
        </w:tc>
        <w:tc>
          <w:tcPr>
            <w:tcW w:w="1701" w:type="dxa"/>
            <w:shd w:val="clear" w:color="auto" w:fill="F2F2F2" w:themeFill="background1" w:themeFillShade="F2"/>
            <w:vAlign w:val="center"/>
          </w:tcPr>
          <w:p w14:paraId="41B6F522" w14:textId="77777777" w:rsidR="006E3229" w:rsidRDefault="00B43C9C">
            <w:pPr>
              <w:tabs>
                <w:tab w:val="clear" w:pos="567"/>
              </w:tabs>
              <w:spacing w:before="120" w:line="240" w:lineRule="auto"/>
              <w:jc w:val="center"/>
              <w:rPr>
                <w:b/>
                <w:bCs/>
                <w:color w:val="000000"/>
                <w:sz w:val="20"/>
              </w:rPr>
            </w:pPr>
            <w:proofErr w:type="spellStart"/>
            <w:r>
              <w:rPr>
                <w:b/>
                <w:color w:val="000000" w:themeColor="text1"/>
                <w:sz w:val="20"/>
              </w:rPr>
              <w:t>Vam</w:t>
            </w:r>
            <w:proofErr w:type="spellEnd"/>
            <w:r>
              <w:rPr>
                <w:b/>
                <w:color w:val="000000" w:themeColor="text1"/>
                <w:sz w:val="20"/>
              </w:rPr>
              <w:t xml:space="preserve"> 2 mg/kg/día</w:t>
            </w:r>
          </w:p>
        </w:tc>
        <w:tc>
          <w:tcPr>
            <w:tcW w:w="1701" w:type="dxa"/>
            <w:shd w:val="clear" w:color="auto" w:fill="F2F2F2" w:themeFill="background1" w:themeFillShade="F2"/>
            <w:vAlign w:val="center"/>
          </w:tcPr>
          <w:p w14:paraId="22E6E28F" w14:textId="77777777" w:rsidR="006E3229" w:rsidRDefault="00B43C9C">
            <w:pPr>
              <w:tabs>
                <w:tab w:val="clear" w:pos="567"/>
              </w:tabs>
              <w:spacing w:before="120" w:line="240" w:lineRule="auto"/>
              <w:jc w:val="center"/>
              <w:rPr>
                <w:b/>
                <w:bCs/>
                <w:color w:val="000000"/>
                <w:sz w:val="20"/>
              </w:rPr>
            </w:pPr>
            <w:proofErr w:type="spellStart"/>
            <w:r>
              <w:rPr>
                <w:b/>
                <w:color w:val="000000" w:themeColor="text1"/>
                <w:sz w:val="20"/>
              </w:rPr>
              <w:t>Vam</w:t>
            </w:r>
            <w:proofErr w:type="spellEnd"/>
            <w:r>
              <w:rPr>
                <w:b/>
                <w:color w:val="000000" w:themeColor="text1"/>
                <w:sz w:val="20"/>
              </w:rPr>
              <w:t xml:space="preserve"> 6 mg/kg/día</w:t>
            </w:r>
          </w:p>
        </w:tc>
        <w:tc>
          <w:tcPr>
            <w:tcW w:w="1917" w:type="dxa"/>
            <w:shd w:val="clear" w:color="auto" w:fill="F2F2F2" w:themeFill="background1" w:themeFillShade="F2"/>
            <w:vAlign w:val="center"/>
          </w:tcPr>
          <w:p w14:paraId="0E8E4D30" w14:textId="77777777" w:rsidR="006E3229" w:rsidRDefault="00B43C9C">
            <w:pPr>
              <w:tabs>
                <w:tab w:val="clear" w:pos="567"/>
              </w:tabs>
              <w:spacing w:before="120" w:line="240" w:lineRule="auto"/>
              <w:jc w:val="center"/>
              <w:rPr>
                <w:b/>
                <w:bCs/>
                <w:color w:val="000000"/>
                <w:sz w:val="20"/>
              </w:rPr>
            </w:pPr>
            <w:proofErr w:type="spellStart"/>
            <w:r>
              <w:rPr>
                <w:b/>
                <w:color w:val="000000" w:themeColor="text1"/>
                <w:sz w:val="20"/>
              </w:rPr>
              <w:t>Pred</w:t>
            </w:r>
            <w:proofErr w:type="spellEnd"/>
            <w:r>
              <w:rPr>
                <w:b/>
                <w:color w:val="000000" w:themeColor="text1"/>
                <w:sz w:val="20"/>
              </w:rPr>
              <w:t xml:space="preserve"> 0,75 mg/kg/día</w:t>
            </w:r>
          </w:p>
        </w:tc>
      </w:tr>
      <w:tr w:rsidR="006E3229" w14:paraId="18F4C720" w14:textId="77777777">
        <w:trPr>
          <w:cantSplit/>
          <w:trHeight w:val="57"/>
        </w:trPr>
        <w:tc>
          <w:tcPr>
            <w:tcW w:w="2830" w:type="dxa"/>
            <w:vAlign w:val="center"/>
          </w:tcPr>
          <w:p w14:paraId="53E3B68B" w14:textId="77777777" w:rsidR="006E3229" w:rsidRDefault="00B43C9C">
            <w:pPr>
              <w:tabs>
                <w:tab w:val="clear" w:pos="567"/>
              </w:tabs>
              <w:spacing w:line="240" w:lineRule="auto"/>
              <w:rPr>
                <w:color w:val="000000"/>
                <w:sz w:val="20"/>
              </w:rPr>
            </w:pPr>
            <w:r>
              <w:rPr>
                <w:color w:val="000000" w:themeColor="text1"/>
                <w:sz w:val="20"/>
              </w:rPr>
              <w:t>Media de situación basal (m)</w:t>
            </w:r>
          </w:p>
        </w:tc>
        <w:tc>
          <w:tcPr>
            <w:tcW w:w="1134" w:type="dxa"/>
            <w:vAlign w:val="center"/>
          </w:tcPr>
          <w:p w14:paraId="61DECCC8" w14:textId="77777777" w:rsidR="006E3229" w:rsidRDefault="00B43C9C">
            <w:pPr>
              <w:tabs>
                <w:tab w:val="clear" w:pos="567"/>
              </w:tabs>
              <w:spacing w:line="240" w:lineRule="auto"/>
              <w:jc w:val="center"/>
              <w:rPr>
                <w:color w:val="000000"/>
                <w:sz w:val="20"/>
              </w:rPr>
            </w:pPr>
            <w:r>
              <w:rPr>
                <w:color w:val="000000" w:themeColor="text1"/>
                <w:sz w:val="20"/>
              </w:rPr>
              <w:t>354,5</w:t>
            </w:r>
          </w:p>
        </w:tc>
        <w:tc>
          <w:tcPr>
            <w:tcW w:w="1701" w:type="dxa"/>
            <w:vAlign w:val="center"/>
          </w:tcPr>
          <w:p w14:paraId="3B631024" w14:textId="77777777" w:rsidR="006E3229" w:rsidRDefault="00B43C9C">
            <w:pPr>
              <w:tabs>
                <w:tab w:val="clear" w:pos="567"/>
              </w:tabs>
              <w:spacing w:line="240" w:lineRule="auto"/>
              <w:jc w:val="center"/>
              <w:rPr>
                <w:color w:val="000000"/>
                <w:sz w:val="20"/>
              </w:rPr>
            </w:pPr>
            <w:r>
              <w:rPr>
                <w:color w:val="000000" w:themeColor="text1"/>
                <w:sz w:val="20"/>
              </w:rPr>
              <w:t>316,1</w:t>
            </w:r>
          </w:p>
        </w:tc>
        <w:tc>
          <w:tcPr>
            <w:tcW w:w="1701" w:type="dxa"/>
            <w:vAlign w:val="center"/>
          </w:tcPr>
          <w:p w14:paraId="626EF5BD" w14:textId="77777777" w:rsidR="006E3229" w:rsidRDefault="00B43C9C">
            <w:pPr>
              <w:tabs>
                <w:tab w:val="clear" w:pos="567"/>
              </w:tabs>
              <w:spacing w:line="240" w:lineRule="auto"/>
              <w:jc w:val="center"/>
              <w:rPr>
                <w:color w:val="000000"/>
                <w:sz w:val="20"/>
              </w:rPr>
            </w:pPr>
            <w:r>
              <w:rPr>
                <w:color w:val="000000" w:themeColor="text1"/>
                <w:sz w:val="20"/>
              </w:rPr>
              <w:t>312,5</w:t>
            </w:r>
          </w:p>
        </w:tc>
        <w:tc>
          <w:tcPr>
            <w:tcW w:w="1917" w:type="dxa"/>
            <w:vAlign w:val="center"/>
          </w:tcPr>
          <w:p w14:paraId="55D64A7F" w14:textId="77777777" w:rsidR="006E3229" w:rsidRDefault="00B43C9C">
            <w:pPr>
              <w:tabs>
                <w:tab w:val="clear" w:pos="567"/>
              </w:tabs>
              <w:spacing w:line="240" w:lineRule="auto"/>
              <w:jc w:val="center"/>
              <w:rPr>
                <w:color w:val="000000"/>
                <w:sz w:val="20"/>
              </w:rPr>
            </w:pPr>
            <w:r>
              <w:rPr>
                <w:color w:val="000000" w:themeColor="text1"/>
                <w:sz w:val="20"/>
              </w:rPr>
              <w:t>343,3</w:t>
            </w:r>
          </w:p>
        </w:tc>
      </w:tr>
      <w:tr w:rsidR="006E3229" w14:paraId="1D541B7F" w14:textId="77777777">
        <w:trPr>
          <w:cantSplit/>
          <w:trHeight w:val="57"/>
        </w:trPr>
        <w:tc>
          <w:tcPr>
            <w:tcW w:w="2830" w:type="dxa"/>
            <w:vAlign w:val="center"/>
          </w:tcPr>
          <w:p w14:paraId="0187DA11" w14:textId="77777777" w:rsidR="006E3229" w:rsidRDefault="00B43C9C">
            <w:pPr>
              <w:tabs>
                <w:tab w:val="clear" w:pos="567"/>
              </w:tabs>
              <w:spacing w:line="240" w:lineRule="auto"/>
              <w:rPr>
                <w:color w:val="000000"/>
                <w:sz w:val="20"/>
              </w:rPr>
            </w:pPr>
            <w:r>
              <w:rPr>
                <w:color w:val="000000" w:themeColor="text1"/>
                <w:sz w:val="20"/>
              </w:rPr>
              <w:t>Cambio medio a las 24 semanas  </w:t>
            </w:r>
          </w:p>
        </w:tc>
        <w:tc>
          <w:tcPr>
            <w:tcW w:w="1134" w:type="dxa"/>
            <w:vAlign w:val="center"/>
          </w:tcPr>
          <w:p w14:paraId="53C55D92" w14:textId="77777777" w:rsidR="006E3229" w:rsidRDefault="00B43C9C">
            <w:pPr>
              <w:tabs>
                <w:tab w:val="clear" w:pos="567"/>
              </w:tabs>
              <w:spacing w:line="240" w:lineRule="auto"/>
              <w:jc w:val="center"/>
              <w:rPr>
                <w:color w:val="000000"/>
                <w:sz w:val="20"/>
              </w:rPr>
            </w:pPr>
            <w:r>
              <w:rPr>
                <w:color w:val="000000" w:themeColor="text1"/>
                <w:sz w:val="20"/>
              </w:rPr>
              <w:t>-11,4</w:t>
            </w:r>
          </w:p>
        </w:tc>
        <w:tc>
          <w:tcPr>
            <w:tcW w:w="1701" w:type="dxa"/>
            <w:vAlign w:val="center"/>
          </w:tcPr>
          <w:p w14:paraId="55A38800" w14:textId="77777777" w:rsidR="006E3229" w:rsidRDefault="00B43C9C">
            <w:pPr>
              <w:tabs>
                <w:tab w:val="clear" w:pos="567"/>
              </w:tabs>
              <w:spacing w:line="240" w:lineRule="auto"/>
              <w:jc w:val="center"/>
              <w:rPr>
                <w:color w:val="000000" w:themeColor="text1"/>
                <w:sz w:val="20"/>
              </w:rPr>
            </w:pPr>
            <w:r>
              <w:rPr>
                <w:color w:val="000000" w:themeColor="text1"/>
                <w:sz w:val="20"/>
              </w:rPr>
              <w:t>+25,0</w:t>
            </w:r>
          </w:p>
        </w:tc>
        <w:tc>
          <w:tcPr>
            <w:tcW w:w="1701" w:type="dxa"/>
            <w:vAlign w:val="center"/>
          </w:tcPr>
          <w:p w14:paraId="7DA544C2" w14:textId="77777777" w:rsidR="006E3229" w:rsidRDefault="00B43C9C">
            <w:pPr>
              <w:tabs>
                <w:tab w:val="clear" w:pos="567"/>
              </w:tabs>
              <w:spacing w:line="240" w:lineRule="auto"/>
              <w:jc w:val="center"/>
              <w:rPr>
                <w:color w:val="000000" w:themeColor="text1"/>
                <w:sz w:val="20"/>
              </w:rPr>
            </w:pPr>
            <w:r>
              <w:rPr>
                <w:color w:val="000000" w:themeColor="text1"/>
                <w:sz w:val="20"/>
              </w:rPr>
              <w:t>+24,6</w:t>
            </w:r>
          </w:p>
        </w:tc>
        <w:tc>
          <w:tcPr>
            <w:tcW w:w="1917" w:type="dxa"/>
            <w:vAlign w:val="center"/>
          </w:tcPr>
          <w:p w14:paraId="484BC1BC" w14:textId="77777777" w:rsidR="006E3229" w:rsidRDefault="00B43C9C">
            <w:pPr>
              <w:tabs>
                <w:tab w:val="clear" w:pos="567"/>
              </w:tabs>
              <w:spacing w:line="240" w:lineRule="auto"/>
              <w:jc w:val="center"/>
              <w:rPr>
                <w:color w:val="000000"/>
                <w:sz w:val="20"/>
              </w:rPr>
            </w:pPr>
            <w:r>
              <w:rPr>
                <w:color w:val="000000" w:themeColor="text1"/>
                <w:sz w:val="20"/>
              </w:rPr>
              <w:t>+44,1</w:t>
            </w:r>
          </w:p>
        </w:tc>
      </w:tr>
      <w:tr w:rsidR="006E3229" w14:paraId="2D4FD500" w14:textId="77777777">
        <w:trPr>
          <w:cantSplit/>
          <w:trHeight w:val="57"/>
        </w:trPr>
        <w:tc>
          <w:tcPr>
            <w:tcW w:w="2830" w:type="dxa"/>
            <w:vAlign w:val="center"/>
          </w:tcPr>
          <w:p w14:paraId="3EAF9494" w14:textId="77777777" w:rsidR="006E3229" w:rsidRDefault="00B43C9C">
            <w:pPr>
              <w:tabs>
                <w:tab w:val="clear" w:pos="567"/>
              </w:tabs>
              <w:spacing w:line="240" w:lineRule="auto"/>
              <w:rPr>
                <w:color w:val="000000"/>
                <w:sz w:val="20"/>
              </w:rPr>
            </w:pPr>
            <w:r>
              <w:rPr>
                <w:color w:val="000000" w:themeColor="text1"/>
                <w:sz w:val="20"/>
              </w:rPr>
              <w:t>Diferencia frente al placebo*</w:t>
            </w:r>
          </w:p>
        </w:tc>
        <w:tc>
          <w:tcPr>
            <w:tcW w:w="1134" w:type="dxa"/>
            <w:vAlign w:val="center"/>
          </w:tcPr>
          <w:p w14:paraId="70E3C981" w14:textId="77777777" w:rsidR="006E3229" w:rsidRDefault="00B43C9C">
            <w:pPr>
              <w:tabs>
                <w:tab w:val="clear" w:pos="567"/>
              </w:tabs>
              <w:spacing w:line="240" w:lineRule="auto"/>
              <w:jc w:val="center"/>
              <w:rPr>
                <w:color w:val="000000"/>
                <w:sz w:val="20"/>
              </w:rPr>
            </w:pPr>
            <w:r>
              <w:rPr>
                <w:color w:val="000000" w:themeColor="text1"/>
                <w:sz w:val="20"/>
                <w:lang w:eastAsia="en-GB"/>
              </w:rPr>
              <w:t>-</w:t>
            </w:r>
          </w:p>
        </w:tc>
        <w:tc>
          <w:tcPr>
            <w:tcW w:w="1701" w:type="dxa"/>
            <w:vAlign w:val="center"/>
          </w:tcPr>
          <w:p w14:paraId="6DB64E99" w14:textId="77777777" w:rsidR="006E3229" w:rsidRDefault="00B43C9C">
            <w:pPr>
              <w:tabs>
                <w:tab w:val="clear" w:pos="567"/>
              </w:tabs>
              <w:spacing w:line="240" w:lineRule="auto"/>
              <w:jc w:val="center"/>
              <w:rPr>
                <w:color w:val="000000" w:themeColor="text1"/>
                <w:sz w:val="20"/>
              </w:rPr>
            </w:pPr>
            <w:r>
              <w:rPr>
                <w:color w:val="000000" w:themeColor="text1"/>
                <w:sz w:val="20"/>
              </w:rPr>
              <w:t>36,3</w:t>
            </w:r>
          </w:p>
          <w:p w14:paraId="05F243CA" w14:textId="77777777" w:rsidR="006E3229" w:rsidRDefault="00B43C9C">
            <w:pPr>
              <w:tabs>
                <w:tab w:val="clear" w:pos="567"/>
              </w:tabs>
              <w:spacing w:line="240" w:lineRule="auto"/>
              <w:jc w:val="center"/>
              <w:rPr>
                <w:color w:val="000000" w:themeColor="text1"/>
                <w:sz w:val="20"/>
              </w:rPr>
            </w:pPr>
            <w:r>
              <w:rPr>
                <w:color w:val="000000" w:themeColor="text1"/>
                <w:sz w:val="20"/>
              </w:rPr>
              <w:t>(8,3 ; 64,4)</w:t>
            </w:r>
          </w:p>
        </w:tc>
        <w:tc>
          <w:tcPr>
            <w:tcW w:w="1701" w:type="dxa"/>
            <w:vAlign w:val="center"/>
          </w:tcPr>
          <w:p w14:paraId="3A1F47C4" w14:textId="77777777" w:rsidR="006E3229" w:rsidRDefault="00B43C9C">
            <w:pPr>
              <w:tabs>
                <w:tab w:val="clear" w:pos="567"/>
              </w:tabs>
              <w:spacing w:line="240" w:lineRule="auto"/>
              <w:jc w:val="center"/>
              <w:rPr>
                <w:color w:val="000000" w:themeColor="text1"/>
                <w:sz w:val="20"/>
              </w:rPr>
            </w:pPr>
            <w:r>
              <w:rPr>
                <w:color w:val="000000" w:themeColor="text1"/>
                <w:sz w:val="20"/>
              </w:rPr>
              <w:t>35,9</w:t>
            </w:r>
          </w:p>
          <w:p w14:paraId="5D110A8F" w14:textId="77777777" w:rsidR="006E3229" w:rsidRDefault="00B43C9C">
            <w:pPr>
              <w:tabs>
                <w:tab w:val="clear" w:pos="567"/>
              </w:tabs>
              <w:spacing w:line="240" w:lineRule="auto"/>
              <w:jc w:val="center"/>
              <w:rPr>
                <w:color w:val="000000" w:themeColor="text1"/>
                <w:sz w:val="20"/>
              </w:rPr>
            </w:pPr>
            <w:r>
              <w:rPr>
                <w:color w:val="000000" w:themeColor="text1"/>
                <w:sz w:val="20"/>
              </w:rPr>
              <w:t>(8,0 ; 63,9)</w:t>
            </w:r>
          </w:p>
        </w:tc>
        <w:tc>
          <w:tcPr>
            <w:tcW w:w="1917" w:type="dxa"/>
            <w:vAlign w:val="center"/>
          </w:tcPr>
          <w:p w14:paraId="71CF006A" w14:textId="77777777" w:rsidR="006E3229" w:rsidRDefault="00B43C9C">
            <w:pPr>
              <w:tabs>
                <w:tab w:val="clear" w:pos="567"/>
              </w:tabs>
              <w:spacing w:line="240" w:lineRule="auto"/>
              <w:jc w:val="center"/>
              <w:rPr>
                <w:color w:val="000000"/>
                <w:sz w:val="20"/>
              </w:rPr>
            </w:pPr>
            <w:r>
              <w:rPr>
                <w:color w:val="000000" w:themeColor="text1"/>
                <w:sz w:val="20"/>
              </w:rPr>
              <w:t xml:space="preserve">no se ha administrado </w:t>
            </w:r>
          </w:p>
        </w:tc>
      </w:tr>
      <w:tr w:rsidR="006E3229" w14:paraId="558CAFC1" w14:textId="77777777">
        <w:trPr>
          <w:cantSplit/>
          <w:trHeight w:val="57"/>
        </w:trPr>
        <w:tc>
          <w:tcPr>
            <w:tcW w:w="2830" w:type="dxa"/>
            <w:vAlign w:val="center"/>
          </w:tcPr>
          <w:p w14:paraId="6AAB2974" w14:textId="77777777" w:rsidR="006E3229" w:rsidRDefault="00B43C9C">
            <w:pPr>
              <w:tabs>
                <w:tab w:val="clear" w:pos="567"/>
              </w:tabs>
              <w:spacing w:line="240" w:lineRule="auto"/>
              <w:rPr>
                <w:color w:val="000000"/>
                <w:sz w:val="20"/>
              </w:rPr>
            </w:pPr>
            <w:r>
              <w:rPr>
                <w:color w:val="000000" w:themeColor="text1"/>
                <w:sz w:val="20"/>
              </w:rPr>
              <w:t xml:space="preserve">Valor de p </w:t>
            </w:r>
          </w:p>
        </w:tc>
        <w:tc>
          <w:tcPr>
            <w:tcW w:w="1134" w:type="dxa"/>
            <w:vAlign w:val="center"/>
          </w:tcPr>
          <w:p w14:paraId="436239C8" w14:textId="77777777" w:rsidR="006E3229" w:rsidRDefault="00B43C9C">
            <w:pPr>
              <w:tabs>
                <w:tab w:val="clear" w:pos="567"/>
              </w:tabs>
              <w:spacing w:line="240" w:lineRule="auto"/>
              <w:jc w:val="center"/>
              <w:rPr>
                <w:color w:val="000000"/>
                <w:sz w:val="20"/>
              </w:rPr>
            </w:pPr>
            <w:r>
              <w:rPr>
                <w:color w:val="000000" w:themeColor="text1"/>
                <w:sz w:val="20"/>
                <w:lang w:eastAsia="en-GB"/>
              </w:rPr>
              <w:t>-</w:t>
            </w:r>
          </w:p>
        </w:tc>
        <w:tc>
          <w:tcPr>
            <w:tcW w:w="1701" w:type="dxa"/>
            <w:vAlign w:val="center"/>
          </w:tcPr>
          <w:p w14:paraId="2A4F840D" w14:textId="77777777" w:rsidR="006E3229" w:rsidRDefault="00B43C9C">
            <w:pPr>
              <w:tabs>
                <w:tab w:val="clear" w:pos="567"/>
              </w:tabs>
              <w:spacing w:line="240" w:lineRule="auto"/>
              <w:jc w:val="center"/>
              <w:rPr>
                <w:color w:val="000000"/>
                <w:sz w:val="20"/>
              </w:rPr>
            </w:pPr>
            <w:r>
              <w:rPr>
                <w:color w:val="000000" w:themeColor="text1"/>
                <w:sz w:val="20"/>
              </w:rPr>
              <w:t>0,011</w:t>
            </w:r>
          </w:p>
        </w:tc>
        <w:tc>
          <w:tcPr>
            <w:tcW w:w="1701" w:type="dxa"/>
            <w:vAlign w:val="center"/>
          </w:tcPr>
          <w:p w14:paraId="4789AAC2" w14:textId="77777777" w:rsidR="006E3229" w:rsidRDefault="00B43C9C">
            <w:pPr>
              <w:tabs>
                <w:tab w:val="clear" w:pos="567"/>
              </w:tabs>
              <w:spacing w:line="240" w:lineRule="auto"/>
              <w:jc w:val="center"/>
              <w:rPr>
                <w:color w:val="000000"/>
                <w:sz w:val="20"/>
              </w:rPr>
            </w:pPr>
            <w:r>
              <w:rPr>
                <w:color w:val="000000" w:themeColor="text1"/>
                <w:sz w:val="20"/>
              </w:rPr>
              <w:t>0,012</w:t>
            </w:r>
          </w:p>
        </w:tc>
        <w:tc>
          <w:tcPr>
            <w:tcW w:w="1917" w:type="dxa"/>
            <w:vAlign w:val="center"/>
          </w:tcPr>
          <w:p w14:paraId="0768AB9F" w14:textId="77777777" w:rsidR="006E3229" w:rsidRDefault="00B43C9C">
            <w:pPr>
              <w:tabs>
                <w:tab w:val="clear" w:pos="567"/>
              </w:tabs>
              <w:spacing w:line="240" w:lineRule="auto"/>
              <w:jc w:val="center"/>
              <w:rPr>
                <w:color w:val="000000"/>
                <w:sz w:val="20"/>
              </w:rPr>
            </w:pPr>
            <w:r>
              <w:rPr>
                <w:color w:val="000000" w:themeColor="text1"/>
                <w:sz w:val="20"/>
              </w:rPr>
              <w:t xml:space="preserve">no se ha administrado </w:t>
            </w:r>
          </w:p>
        </w:tc>
      </w:tr>
    </w:tbl>
    <w:p w14:paraId="113F5369" w14:textId="77777777" w:rsidR="006E3229" w:rsidRDefault="00B43C9C">
      <w:pPr>
        <w:autoSpaceDE w:val="0"/>
        <w:autoSpaceDN w:val="0"/>
        <w:adjustRightInd w:val="0"/>
        <w:spacing w:line="240" w:lineRule="auto"/>
        <w:rPr>
          <w:sz w:val="18"/>
        </w:rPr>
      </w:pPr>
      <w:r>
        <w:rPr>
          <w:sz w:val="18"/>
        </w:rPr>
        <w:t>Los cambios medios y las diferencias son medias de mínimos cuadrados (LSM) basadas en modelos y diferencias medias.</w:t>
      </w:r>
    </w:p>
    <w:p w14:paraId="456FA3E2" w14:textId="77777777" w:rsidR="006E3229" w:rsidRDefault="00B43C9C">
      <w:pPr>
        <w:autoSpaceDE w:val="0"/>
        <w:autoSpaceDN w:val="0"/>
        <w:adjustRightInd w:val="0"/>
        <w:spacing w:line="240" w:lineRule="auto"/>
        <w:rPr>
          <w:sz w:val="18"/>
        </w:rPr>
      </w:pPr>
      <w:r>
        <w:rPr>
          <w:sz w:val="18"/>
        </w:rPr>
        <w:t>Las cifras positivas indican una mejoría en comparación con el valor de la situación basal. *Diferencias en las LSM presentadas con un IC del 95 %</w:t>
      </w:r>
    </w:p>
    <w:p w14:paraId="66EEEC8A" w14:textId="77777777" w:rsidR="006E3229" w:rsidRDefault="006E3229">
      <w:pPr>
        <w:rPr>
          <w:b/>
          <w:bCs/>
        </w:rPr>
      </w:pPr>
    </w:p>
    <w:p w14:paraId="76F5695C" w14:textId="77777777" w:rsidR="006E3229" w:rsidRDefault="00B43C9C">
      <w:pPr>
        <w:pStyle w:val="Caption"/>
      </w:pPr>
      <w:r>
        <w:lastRenderedPageBreak/>
        <w:t>Figura </w:t>
      </w:r>
      <w:r>
        <w:fldChar w:fldCharType="begin"/>
      </w:r>
      <w:r>
        <w:instrText>SEQ Figure \* ARABIC</w:instrText>
      </w:r>
      <w:r>
        <w:fldChar w:fldCharType="separate"/>
      </w:r>
      <w:r>
        <w:t>1</w:t>
      </w:r>
      <w:r>
        <w:fldChar w:fldCharType="end"/>
      </w:r>
      <w:r>
        <w:rPr>
          <w:rStyle w:val="DNEx2"/>
        </w:rPr>
        <w:tab/>
      </w:r>
      <w:r>
        <w:t xml:space="preserve">Comparaciones entre la </w:t>
      </w:r>
      <w:proofErr w:type="spellStart"/>
      <w:r>
        <w:t>vamorolona</w:t>
      </w:r>
      <w:proofErr w:type="spellEnd"/>
      <w:r>
        <w:t xml:space="preserve"> y la prednisona en pruebas de tiempo de la función motora, analizados como cambios porcentuales con respecto a la situación basal (población mITT-1)</w:t>
      </w:r>
    </w:p>
    <w:p w14:paraId="3FD7D898" w14:textId="77777777" w:rsidR="006E3229" w:rsidRDefault="006E3229">
      <w:pPr>
        <w:keepNext/>
        <w:rPr>
          <w:b/>
          <w:bCs/>
        </w:rPr>
      </w:pPr>
    </w:p>
    <w:p w14:paraId="569D27E4" w14:textId="77777777" w:rsidR="006E3229" w:rsidRDefault="00B43C9C">
      <w:pPr>
        <w:keepNext/>
        <w:spacing w:line="240" w:lineRule="auto"/>
        <w:rPr>
          <w:color w:val="000000" w:themeColor="text1"/>
          <w:szCs w:val="22"/>
        </w:rPr>
      </w:pPr>
      <w:bookmarkStart w:id="12" w:name="IDX"/>
      <w:bookmarkEnd w:id="12"/>
      <w:r>
        <w:rPr>
          <w:b/>
          <w:noProof/>
          <w:lang w:eastAsia="es-ES"/>
        </w:rPr>
        <mc:AlternateContent>
          <mc:Choice Requires="wps">
            <w:drawing>
              <wp:anchor distT="45720" distB="45720" distL="114300" distR="114300" simplePos="0" relativeHeight="251658252" behindDoc="0" locked="0" layoutInCell="1" allowOverlap="1" wp14:anchorId="21F1C6AA" wp14:editId="1CD02CA1">
                <wp:simplePos x="0" y="0"/>
                <wp:positionH relativeFrom="column">
                  <wp:posOffset>144145</wp:posOffset>
                </wp:positionH>
                <wp:positionV relativeFrom="paragraph">
                  <wp:posOffset>75565</wp:posOffset>
                </wp:positionV>
                <wp:extent cx="3735070" cy="352869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5070" cy="3528695"/>
                        </a:xfrm>
                        <a:prstGeom prst="rect">
                          <a:avLst/>
                        </a:prstGeom>
                        <a:noFill/>
                        <a:ln w="9525">
                          <a:noFill/>
                          <a:miter lim="800000"/>
                        </a:ln>
                      </wps:spPr>
                      <wps:txbx>
                        <w:txbxContent>
                          <w:p w14:paraId="10866D73" w14:textId="77777777" w:rsidR="00231519" w:rsidRDefault="00231519">
                            <w:pPr>
                              <w:jc w:val="center"/>
                              <w:rPr>
                                <w:sz w:val="14"/>
                                <w:szCs w:val="12"/>
                              </w:rPr>
                            </w:pPr>
                            <w:r>
                              <w:rPr>
                                <w:sz w:val="18"/>
                              </w:rPr>
                              <w:t>Variable (comparación)</w:t>
                            </w:r>
                          </w:p>
                        </w:txbxContent>
                      </wps:txbx>
                      <wps:bodyPr rot="0" vert="vert270" wrap="square" lIns="0" tIns="0" rIns="0" bIns="0" anchor="t" anchorCtr="0">
                        <a:spAutoFit/>
                      </wps:bodyPr>
                    </wps:wsp>
                  </a:graphicData>
                </a:graphic>
              </wp:anchor>
            </w:drawing>
          </mc:Choice>
          <mc:Fallback>
            <w:pict>
              <v:shapetype w14:anchorId="21F1C6AA" id="_x0000_t202" coordsize="21600,21600" o:spt="202" path="m,l,21600r21600,l21600,xe">
                <v:stroke joinstyle="miter"/>
                <v:path gradientshapeok="t" o:connecttype="rect"/>
              </v:shapetype>
              <v:shape id="Text Box 2" o:spid="_x0000_s1026" type="#_x0000_t202" style="position:absolute;margin-left:11.35pt;margin-top:5.95pt;width:294.1pt;height:277.85pt;z-index:25165825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" filled="f" stroked="f">
                <v:textbox style="layout-flow:vertical;mso-layout-flow-alt:bottom-to-top;mso-fit-shape-to-text:t" inset="0,0,0,0">
                  <w:txbxContent>
                    <w:p w14:paraId="10866D73" w14:textId="77777777" w:rsidR="00231519" w:rsidRDefault="00231519">
                      <w:pPr>
                        <w:jc w:val="center"/>
                        <w:rPr>
                          <w:sz w:val="14"/>
                          <w:szCs w:val="12"/>
                        </w:rPr>
                      </w:pPr>
                      <w:r>
                        <w:rPr>
                          <w:sz w:val="18"/>
                        </w:rPr>
                        <w:t>Variable (comparación)</w:t>
                      </w:r>
                    </w:p>
                  </w:txbxContent>
                </v:textbox>
              </v:shape>
            </w:pict>
          </mc:Fallback>
        </mc:AlternateContent>
      </w:r>
      <w:r>
        <w:rPr>
          <w:b/>
          <w:noProof/>
          <w:lang w:eastAsia="es-ES"/>
        </w:rPr>
        <mc:AlternateContent>
          <mc:Choice Requires="wps">
            <w:drawing>
              <wp:anchor distT="45720" distB="45720" distL="114300" distR="114300" simplePos="0" relativeHeight="251658251" behindDoc="0" locked="0" layoutInCell="1" allowOverlap="1" wp14:anchorId="07E5E1F3" wp14:editId="1919CFD1">
                <wp:simplePos x="0" y="0"/>
                <wp:positionH relativeFrom="column">
                  <wp:posOffset>1907540</wp:posOffset>
                </wp:positionH>
                <wp:positionV relativeFrom="paragraph">
                  <wp:posOffset>4008755</wp:posOffset>
                </wp:positionV>
                <wp:extent cx="3735070" cy="185039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4790" cy="1850644"/>
                        </a:xfrm>
                        <a:prstGeom prst="rect">
                          <a:avLst/>
                        </a:prstGeom>
                        <a:noFill/>
                        <a:ln w="9525">
                          <a:noFill/>
                          <a:miter lim="800000"/>
                        </a:ln>
                      </wps:spPr>
                      <wps:txbx>
                        <w:txbxContent>
                          <w:p w14:paraId="7371C064" w14:textId="77777777" w:rsidR="00231519" w:rsidRDefault="00231519">
                            <w:pPr>
                              <w:jc w:val="center"/>
                              <w:rPr>
                                <w:sz w:val="14"/>
                                <w:szCs w:val="12"/>
                              </w:rPr>
                            </w:pPr>
                            <w:r>
                              <w:rPr>
                                <w:sz w:val="18"/>
                              </w:rPr>
                              <w:t>% de diferencia (IC del 95 %)</w:t>
                            </w:r>
                          </w:p>
                        </w:txbxContent>
                      </wps:txbx>
                      <wps:bodyPr rot="0" vert="horz" wrap="square" lIns="0" tIns="0" rIns="0" bIns="0" anchor="t" anchorCtr="0">
                        <a:spAutoFit/>
                      </wps:bodyPr>
                    </wps:wsp>
                  </a:graphicData>
                </a:graphic>
                <wp14:sizeRelH relativeFrom="page">
                  <wp14:pctWidth>0</wp14:pctWidth>
                </wp14:sizeRelH>
                <wp14:sizeRelV relativeFrom="margin">
                  <wp14:pctHeight>20000</wp14:pctHeight>
                </wp14:sizeRelV>
              </wp:anchor>
            </w:drawing>
          </mc:Choice>
          <mc:Fallback>
            <w:pict>
              <v:shape w14:anchorId="07E5E1F3" id="_x0000_s1027" type="#_x0000_t202" style="position:absolute;margin-left:150.2pt;margin-top:315.65pt;width:294.1pt;height:145.7pt;z-index:25165825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" filled="f" stroked="f">
                <v:textbox style="mso-fit-shape-to-text:t" inset="0,0,0,0">
                  <w:txbxContent>
                    <w:p w14:paraId="7371C064" w14:textId="77777777" w:rsidR="00231519" w:rsidRDefault="00231519">
                      <w:pPr>
                        <w:jc w:val="center"/>
                        <w:rPr>
                          <w:sz w:val="14"/>
                          <w:szCs w:val="12"/>
                        </w:rPr>
                      </w:pPr>
                      <w:r>
                        <w:rPr>
                          <w:sz w:val="18"/>
                        </w:rPr>
                        <w:t>% de diferencia (IC del 95 %)</w:t>
                      </w:r>
                    </w:p>
                  </w:txbxContent>
                </v:textbox>
              </v:shape>
            </w:pict>
          </mc:Fallback>
        </mc:AlternateContent>
      </w:r>
      <w:r>
        <w:rPr>
          <w:b/>
          <w:noProof/>
          <w:lang w:eastAsia="es-ES"/>
        </w:rPr>
        <mc:AlternateContent>
          <mc:Choice Requires="wps">
            <w:drawing>
              <wp:anchor distT="45720" distB="45720" distL="114300" distR="114300" simplePos="0" relativeHeight="251658250" behindDoc="0" locked="0" layoutInCell="1" allowOverlap="1" wp14:anchorId="0E4642AC" wp14:editId="3878675F">
                <wp:simplePos x="0" y="0"/>
                <wp:positionH relativeFrom="column">
                  <wp:posOffset>-484505</wp:posOffset>
                </wp:positionH>
                <wp:positionV relativeFrom="paragraph">
                  <wp:posOffset>3562985</wp:posOffset>
                </wp:positionV>
                <wp:extent cx="2302510" cy="1850390"/>
                <wp:effectExtent l="0" t="0" r="127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2764" cy="1850644"/>
                        </a:xfrm>
                        <a:prstGeom prst="rect">
                          <a:avLst/>
                        </a:prstGeom>
                        <a:noFill/>
                        <a:ln w="9525">
                          <a:noFill/>
                          <a:miter lim="800000"/>
                        </a:ln>
                      </wps:spPr>
                      <wps:txbx>
                        <w:txbxContent>
                          <w:p w14:paraId="7A9E20E8" w14:textId="77777777" w:rsidR="00231519" w:rsidRPr="003D46BA" w:rsidRDefault="00231519">
                            <w:pPr>
                              <w:jc w:val="right"/>
                              <w:rPr>
                                <w:sz w:val="14"/>
                                <w:szCs w:val="12"/>
                                <w:lang w:val="pt-BR"/>
                              </w:rPr>
                            </w:pPr>
                            <w:r w:rsidRPr="003D46BA">
                              <w:rPr>
                                <w:sz w:val="18"/>
                                <w:lang w:val="pt-BR"/>
                              </w:rPr>
                              <w:t>6MWt (VAM2 frente a PDN)</w:t>
                            </w:r>
                          </w:p>
                        </w:txbxContent>
                      </wps:txbx>
                      <wps:bodyPr rot="0" vert="horz" wrap="square" lIns="0" tIns="0" rIns="0" bIns="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E4642AC" id="_x0000_s1028" type="#_x0000_t202" style="position:absolute;margin-left:-38.15pt;margin-top:280.55pt;width:181.3pt;height:145.7pt;z-index:25165825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" filled="f" stroked="f">
                <v:textbox style="mso-fit-shape-to-text:t" inset="0,0,0,0">
                  <w:txbxContent>
                    <w:p w14:paraId="7A9E20E8" w14:textId="77777777" w:rsidR="00231519" w:rsidRPr="003D46BA" w:rsidRDefault="00231519">
                      <w:pPr>
                        <w:jc w:val="right"/>
                        <w:rPr>
                          <w:sz w:val="14"/>
                          <w:szCs w:val="12"/>
                          <w:lang w:val="pt-BR"/>
                        </w:rPr>
                      </w:pPr>
                      <w:r w:rsidRPr="003D46BA">
                        <w:rPr>
                          <w:sz w:val="18"/>
                          <w:lang w:val="pt-BR"/>
                        </w:rPr>
                        <w:t>6MWt (VAM2 frente a PDN)</w:t>
                      </w:r>
                    </w:p>
                  </w:txbxContent>
                </v:textbox>
              </v:shape>
            </w:pict>
          </mc:Fallback>
        </mc:AlternateContent>
      </w:r>
      <w:r>
        <w:rPr>
          <w:b/>
          <w:noProof/>
          <w:lang w:eastAsia="es-ES"/>
        </w:rPr>
        <mc:AlternateContent>
          <mc:Choice Requires="wps">
            <w:drawing>
              <wp:anchor distT="45720" distB="45720" distL="114300" distR="114300" simplePos="0" relativeHeight="251658249" behindDoc="0" locked="0" layoutInCell="1" allowOverlap="1" wp14:anchorId="7E228BC3" wp14:editId="0E58B965">
                <wp:simplePos x="0" y="0"/>
                <wp:positionH relativeFrom="column">
                  <wp:posOffset>-477520</wp:posOffset>
                </wp:positionH>
                <wp:positionV relativeFrom="paragraph">
                  <wp:posOffset>2404745</wp:posOffset>
                </wp:positionV>
                <wp:extent cx="2302510" cy="1850390"/>
                <wp:effectExtent l="0" t="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2764" cy="1850644"/>
                        </a:xfrm>
                        <a:prstGeom prst="rect">
                          <a:avLst/>
                        </a:prstGeom>
                        <a:noFill/>
                        <a:ln w="9525">
                          <a:noFill/>
                          <a:miter lim="800000"/>
                        </a:ln>
                      </wps:spPr>
                      <wps:txbx>
                        <w:txbxContent>
                          <w:p w14:paraId="74E8CB58" w14:textId="77777777" w:rsidR="00231519" w:rsidRPr="003D46BA" w:rsidRDefault="00231519">
                            <w:pPr>
                              <w:jc w:val="right"/>
                              <w:rPr>
                                <w:sz w:val="14"/>
                                <w:szCs w:val="12"/>
                                <w:lang w:val="pt-BR"/>
                              </w:rPr>
                            </w:pPr>
                            <w:r w:rsidRPr="003D46BA">
                              <w:rPr>
                                <w:sz w:val="18"/>
                                <w:lang w:val="pt-BR"/>
                              </w:rPr>
                              <w:t>TTSTANDV (VAM2 frente a PDN)</w:t>
                            </w:r>
                          </w:p>
                        </w:txbxContent>
                      </wps:txbx>
                      <wps:bodyPr rot="0" vert="horz" wrap="square" lIns="0" tIns="0" rIns="0" bIns="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E228BC3" id="_x0000_s1029" type="#_x0000_t202" style="position:absolute;margin-left:-37.6pt;margin-top:189.35pt;width:181.3pt;height:145.7pt;z-index:251658249;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" filled="f" stroked="f">
                <v:textbox style="mso-fit-shape-to-text:t" inset="0,0,0,0">
                  <w:txbxContent>
                    <w:p w14:paraId="74E8CB58" w14:textId="77777777" w:rsidR="00231519" w:rsidRPr="003D46BA" w:rsidRDefault="00231519">
                      <w:pPr>
                        <w:jc w:val="right"/>
                        <w:rPr>
                          <w:sz w:val="14"/>
                          <w:szCs w:val="12"/>
                          <w:lang w:val="pt-BR"/>
                        </w:rPr>
                      </w:pPr>
                      <w:r w:rsidRPr="003D46BA">
                        <w:rPr>
                          <w:sz w:val="18"/>
                          <w:lang w:val="pt-BR"/>
                        </w:rPr>
                        <w:t>TTSTANDV (VAM2 frente a PDN)</w:t>
                      </w:r>
                    </w:p>
                  </w:txbxContent>
                </v:textbox>
              </v:shape>
            </w:pict>
          </mc:Fallback>
        </mc:AlternateContent>
      </w:r>
      <w:r>
        <w:rPr>
          <w:b/>
          <w:noProof/>
          <w:lang w:eastAsia="es-ES"/>
        </w:rPr>
        <mc:AlternateContent>
          <mc:Choice Requires="wps">
            <w:drawing>
              <wp:anchor distT="45720" distB="45720" distL="114300" distR="114300" simplePos="0" relativeHeight="251658248" behindDoc="0" locked="0" layoutInCell="1" allowOverlap="1" wp14:anchorId="7CCD0D69" wp14:editId="61887E69">
                <wp:simplePos x="0" y="0"/>
                <wp:positionH relativeFrom="column">
                  <wp:posOffset>-483870</wp:posOffset>
                </wp:positionH>
                <wp:positionV relativeFrom="paragraph">
                  <wp:posOffset>1229360</wp:posOffset>
                </wp:positionV>
                <wp:extent cx="2302510" cy="1850390"/>
                <wp:effectExtent l="0" t="0" r="127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2764" cy="1850644"/>
                        </a:xfrm>
                        <a:prstGeom prst="rect">
                          <a:avLst/>
                        </a:prstGeom>
                        <a:noFill/>
                        <a:ln w="9525">
                          <a:noFill/>
                          <a:miter lim="800000"/>
                        </a:ln>
                      </wps:spPr>
                      <wps:txbx>
                        <w:txbxContent>
                          <w:p w14:paraId="73E7621B" w14:textId="77777777" w:rsidR="00231519" w:rsidRPr="003D46BA" w:rsidRDefault="00231519">
                            <w:pPr>
                              <w:jc w:val="right"/>
                              <w:rPr>
                                <w:sz w:val="14"/>
                                <w:szCs w:val="12"/>
                                <w:lang w:val="pt-BR"/>
                              </w:rPr>
                            </w:pPr>
                            <w:r w:rsidRPr="003D46BA">
                              <w:rPr>
                                <w:sz w:val="18"/>
                                <w:lang w:val="pt-BR"/>
                              </w:rPr>
                              <w:t>6MWt (VAM6 frente a PDN)</w:t>
                            </w:r>
                          </w:p>
                        </w:txbxContent>
                      </wps:txbx>
                      <wps:bodyPr rot="0" vert="horz" wrap="square" lIns="0" tIns="0" rIns="0" bIns="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CCD0D69" id="_x0000_s1030" type="#_x0000_t202" style="position:absolute;margin-left:-38.1pt;margin-top:96.8pt;width:181.3pt;height:145.7pt;z-index:25165824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" filled="f" stroked="f">
                <v:textbox style="mso-fit-shape-to-text:t" inset="0,0,0,0">
                  <w:txbxContent>
                    <w:p w14:paraId="73E7621B" w14:textId="77777777" w:rsidR="00231519" w:rsidRPr="003D46BA" w:rsidRDefault="00231519">
                      <w:pPr>
                        <w:jc w:val="right"/>
                        <w:rPr>
                          <w:sz w:val="14"/>
                          <w:szCs w:val="12"/>
                          <w:lang w:val="pt-BR"/>
                        </w:rPr>
                      </w:pPr>
                      <w:r w:rsidRPr="003D46BA">
                        <w:rPr>
                          <w:sz w:val="18"/>
                          <w:lang w:val="pt-BR"/>
                        </w:rPr>
                        <w:t>6MWt (VAM6 frente a PDN)</w:t>
                      </w:r>
                    </w:p>
                  </w:txbxContent>
                </v:textbox>
              </v:shape>
            </w:pict>
          </mc:Fallback>
        </mc:AlternateContent>
      </w:r>
      <w:r>
        <w:rPr>
          <w:b/>
          <w:noProof/>
          <w:lang w:eastAsia="es-ES"/>
        </w:rPr>
        <mc:AlternateContent>
          <mc:Choice Requires="wps">
            <w:drawing>
              <wp:anchor distT="45720" distB="45720" distL="114300" distR="114300" simplePos="0" relativeHeight="251658247" behindDoc="0" locked="0" layoutInCell="1" allowOverlap="1" wp14:anchorId="4C66795B" wp14:editId="124A7187">
                <wp:simplePos x="0" y="0"/>
                <wp:positionH relativeFrom="column">
                  <wp:posOffset>-492760</wp:posOffset>
                </wp:positionH>
                <wp:positionV relativeFrom="paragraph">
                  <wp:posOffset>75565</wp:posOffset>
                </wp:positionV>
                <wp:extent cx="2302510" cy="1850390"/>
                <wp:effectExtent l="0" t="0" r="127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2764" cy="1850644"/>
                        </a:xfrm>
                        <a:prstGeom prst="rect">
                          <a:avLst/>
                        </a:prstGeom>
                        <a:noFill/>
                        <a:ln w="9525">
                          <a:noFill/>
                          <a:miter lim="800000"/>
                        </a:ln>
                      </wps:spPr>
                      <wps:txbx>
                        <w:txbxContent>
                          <w:p w14:paraId="68A54313" w14:textId="77777777" w:rsidR="00231519" w:rsidRPr="003D46BA" w:rsidRDefault="00231519">
                            <w:pPr>
                              <w:jc w:val="right"/>
                              <w:rPr>
                                <w:sz w:val="14"/>
                                <w:szCs w:val="12"/>
                                <w:lang w:val="pt-BR"/>
                              </w:rPr>
                            </w:pPr>
                            <w:r w:rsidRPr="003D46BA">
                              <w:rPr>
                                <w:sz w:val="18"/>
                                <w:lang w:val="pt-BR"/>
                              </w:rPr>
                              <w:t>TTSTANDV (VAM6 frente a PDN)</w:t>
                            </w:r>
                          </w:p>
                        </w:txbxContent>
                      </wps:txbx>
                      <wps:bodyPr rot="0" vert="horz" wrap="square" lIns="0" tIns="0" rIns="0" bIns="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C66795B" id="_x0000_s1031" type="#_x0000_t202" style="position:absolute;margin-left:-38.8pt;margin-top:5.95pt;width:181.3pt;height:145.7pt;z-index:251658247;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" filled="f" stroked="f">
                <v:textbox style="mso-fit-shape-to-text:t" inset="0,0,0,0">
                  <w:txbxContent>
                    <w:p w14:paraId="68A54313" w14:textId="77777777" w:rsidR="00231519" w:rsidRPr="003D46BA" w:rsidRDefault="00231519">
                      <w:pPr>
                        <w:jc w:val="right"/>
                        <w:rPr>
                          <w:sz w:val="14"/>
                          <w:szCs w:val="12"/>
                          <w:lang w:val="pt-BR"/>
                        </w:rPr>
                      </w:pPr>
                      <w:r w:rsidRPr="003D46BA">
                        <w:rPr>
                          <w:sz w:val="18"/>
                          <w:lang w:val="pt-BR"/>
                        </w:rPr>
                        <w:t>TTSTANDV (VAM6 frente a PDN)</w:t>
                      </w:r>
                    </w:p>
                  </w:txbxContent>
                </v:textbox>
              </v:shape>
            </w:pict>
          </mc:Fallback>
        </mc:AlternateContent>
      </w:r>
      <w:r>
        <w:rPr>
          <w:noProof/>
          <w:sz w:val="24"/>
          <w:lang w:eastAsia="es-ES"/>
        </w:rPr>
        <w:drawing>
          <wp:inline distT="0" distB="0" distL="0" distR="0" wp14:anchorId="4CF1F6DF" wp14:editId="7998B701">
            <wp:extent cx="5748020" cy="4319905"/>
            <wp:effectExtent l="0" t="0" r="508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5748110" cy="4320064"/>
                    </a:xfrm>
                    <a:prstGeom prst="rect">
                      <a:avLst/>
                    </a:prstGeom>
                    <a:noFill/>
                    <a:ln>
                      <a:noFill/>
                    </a:ln>
                  </pic:spPr>
                </pic:pic>
              </a:graphicData>
            </a:graphic>
          </wp:inline>
        </w:drawing>
      </w:r>
    </w:p>
    <w:p w14:paraId="66104C83" w14:textId="77777777" w:rsidR="006E3229" w:rsidRDefault="00B43C9C">
      <w:pPr>
        <w:keepNext/>
        <w:autoSpaceDE w:val="0"/>
        <w:autoSpaceDN w:val="0"/>
        <w:adjustRightInd w:val="0"/>
        <w:spacing w:line="240" w:lineRule="auto"/>
        <w:rPr>
          <w:sz w:val="18"/>
        </w:rPr>
      </w:pPr>
      <w:r>
        <w:rPr>
          <w:sz w:val="18"/>
        </w:rPr>
        <w:t xml:space="preserve">Los datos de las pruebas se normalizan utilizando como variable el cambio porcentual respecto a la situación basal. Los cambios del percentil se calculan como (valor en la visita – valor </w:t>
      </w:r>
      <w:proofErr w:type="gramStart"/>
      <w:r>
        <w:rPr>
          <w:sz w:val="18"/>
        </w:rPr>
        <w:t>basal)/</w:t>
      </w:r>
      <w:proofErr w:type="gramEnd"/>
      <w:r>
        <w:rPr>
          <w:sz w:val="18"/>
        </w:rPr>
        <w:t xml:space="preserve">valor basal x 100 %. VAM: </w:t>
      </w:r>
      <w:proofErr w:type="spellStart"/>
      <w:r>
        <w:rPr>
          <w:sz w:val="18"/>
        </w:rPr>
        <w:t>vamorolona</w:t>
      </w:r>
      <w:proofErr w:type="spellEnd"/>
      <w:r>
        <w:rPr>
          <w:sz w:val="18"/>
        </w:rPr>
        <w:t>, PDN: prednisona</w:t>
      </w:r>
    </w:p>
    <w:p w14:paraId="1A543301" w14:textId="77777777" w:rsidR="006E3229" w:rsidRDefault="00B43C9C">
      <w:pPr>
        <w:autoSpaceDE w:val="0"/>
        <w:autoSpaceDN w:val="0"/>
        <w:adjustRightInd w:val="0"/>
        <w:spacing w:line="240" w:lineRule="auto"/>
        <w:rPr>
          <w:sz w:val="18"/>
        </w:rPr>
      </w:pPr>
      <w:r>
        <w:rPr>
          <w:sz w:val="18"/>
        </w:rPr>
        <w:t>Todos los valores de variación porcentual de los dos criterios de valoración se introducen en un modelo estadístico único (MMRM).</w:t>
      </w:r>
    </w:p>
    <w:p w14:paraId="2B35790B" w14:textId="77777777" w:rsidR="006E3229" w:rsidRDefault="006E3229">
      <w:pPr>
        <w:spacing w:line="240" w:lineRule="auto"/>
        <w:rPr>
          <w:szCs w:val="22"/>
        </w:rPr>
      </w:pPr>
    </w:p>
    <w:p w14:paraId="3D716001" w14:textId="77777777" w:rsidR="006E3229" w:rsidRDefault="00B43C9C">
      <w:pPr>
        <w:spacing w:line="240" w:lineRule="auto"/>
      </w:pPr>
      <w:r>
        <w:t xml:space="preserve">En el caso de </w:t>
      </w:r>
      <w:proofErr w:type="spellStart"/>
      <w:r>
        <w:t>vamorolona</w:t>
      </w:r>
      <w:proofErr w:type="spellEnd"/>
      <w:r>
        <w:t xml:space="preserve"> 6 mg/kg/día, las mejoras en todas las mediciones evaluadas de la función de las extremidades inferiores observadas a las 24 semanas se mantuvieron en gran medida durante 48 semanas de tratamiento, mientras que los resultados de las medidas de eficacia obtenidas con la dosis de </w:t>
      </w:r>
      <w:proofErr w:type="spellStart"/>
      <w:r>
        <w:t>vamorolona</w:t>
      </w:r>
      <w:proofErr w:type="spellEnd"/>
      <w:r>
        <w:t xml:space="preserve"> 2 mg/kg/día no fueron consistentes, con reducciones de resultados funcionales relevantes en la semana 48, es decir, la velocidad de TTSTAND y la distancia en la 6MWT, alcanzándose diferencias clínicamente significativas en comparación con la </w:t>
      </w:r>
      <w:proofErr w:type="spellStart"/>
      <w:r>
        <w:t>vamorolona</w:t>
      </w:r>
      <w:proofErr w:type="spellEnd"/>
      <w:r>
        <w:t xml:space="preserve"> 6 mg/kg/día, pero solo una reducción mínima en la puntuación NSAA.</w:t>
      </w:r>
    </w:p>
    <w:p w14:paraId="417CEB5E" w14:textId="77777777" w:rsidR="006E3229" w:rsidRDefault="006E3229">
      <w:pPr>
        <w:spacing w:line="240" w:lineRule="auto"/>
      </w:pPr>
    </w:p>
    <w:p w14:paraId="705E494A" w14:textId="77777777" w:rsidR="006E3229" w:rsidRDefault="00B43C9C">
      <w:pPr>
        <w:spacing w:line="240" w:lineRule="auto"/>
        <w:rPr>
          <w:szCs w:val="22"/>
        </w:rPr>
      </w:pPr>
      <w:r>
        <w:t xml:space="preserve">Los pacientes que cambiaron durante el Estudio 1 de prednisona 0,75 mg/kg/día en el Período 1 a </w:t>
      </w:r>
      <w:proofErr w:type="spellStart"/>
      <w:r>
        <w:t>vamorolona</w:t>
      </w:r>
      <w:proofErr w:type="spellEnd"/>
      <w:r>
        <w:t xml:space="preserve"> 6 mg/kg/día en el Período 2 parecieron mantener el beneficio en términos de estos parámetros de función motora, mientras que se observaron reducciones en los pacientes que cambiaron a </w:t>
      </w:r>
      <w:proofErr w:type="spellStart"/>
      <w:r>
        <w:t>vamorolona</w:t>
      </w:r>
      <w:proofErr w:type="spellEnd"/>
      <w:r>
        <w:t xml:space="preserve"> 2 mg/kg/día.</w:t>
      </w:r>
    </w:p>
    <w:p w14:paraId="6C2E9B69" w14:textId="77777777" w:rsidR="006E3229" w:rsidRDefault="006E3229">
      <w:pPr>
        <w:spacing w:line="240" w:lineRule="auto"/>
        <w:rPr>
          <w:szCs w:val="22"/>
        </w:rPr>
      </w:pPr>
    </w:p>
    <w:p w14:paraId="530CEAFA" w14:textId="77777777" w:rsidR="006E3229" w:rsidRDefault="00B43C9C">
      <w:pPr>
        <w:spacing w:line="240" w:lineRule="auto"/>
      </w:pPr>
      <w:r>
        <w:t xml:space="preserve">En la situación basal, los niños de los grupos de </w:t>
      </w:r>
      <w:proofErr w:type="spellStart"/>
      <w:r>
        <w:t>vamorolona</w:t>
      </w:r>
      <w:proofErr w:type="spellEnd"/>
      <w:r>
        <w:t xml:space="preserve"> tenían una estatura menor (mediana de -0,74 DE y -1,04 DE en la puntuación Z de la estatura para los grupos de 2 mg/kg/día y 6 mg/kg/día, respectivamente) que los niños que recibieron placebo (-0,54 DE) o prednisona 0,75 mg/kg/día (-0,56 DE). El cambio en el percentil de estatura y la puntuación Z de estatura fue similar en los niños tratados con </w:t>
      </w:r>
      <w:proofErr w:type="spellStart"/>
      <w:r>
        <w:t>vamorolona</w:t>
      </w:r>
      <w:proofErr w:type="spellEnd"/>
      <w:r>
        <w:t xml:space="preserve"> o placebo durante 24 semanas, mientras que disminuyó con prednisona. Los percentiles de estatura y las puntuaciones Z no disminuyeron con la </w:t>
      </w:r>
      <w:proofErr w:type="spellStart"/>
      <w:r>
        <w:t>vamorolona</w:t>
      </w:r>
      <w:proofErr w:type="spellEnd"/>
      <w:r>
        <w:t xml:space="preserve"> durante el período de estudio de 48 semanas en el Estudio 1. El cambio de prednisona tras 24 semanas en el Período 1 a </w:t>
      </w:r>
      <w:proofErr w:type="spellStart"/>
      <w:r>
        <w:lastRenderedPageBreak/>
        <w:t>vamorolona</w:t>
      </w:r>
      <w:proofErr w:type="spellEnd"/>
      <w:r>
        <w:t xml:space="preserve"> en el Período 2 dio lugar a un aumento de la puntuación Z de la estatura media y mediana hasta la semana 48.</w:t>
      </w:r>
    </w:p>
    <w:p w14:paraId="319F5EF3" w14:textId="77777777" w:rsidR="006E3229" w:rsidRDefault="006E3229">
      <w:pPr>
        <w:pStyle w:val="NormalWeb"/>
        <w:spacing w:before="0" w:beforeAutospacing="0" w:after="0" w:afterAutospacing="0"/>
        <w:jc w:val="both"/>
      </w:pPr>
    </w:p>
    <w:p w14:paraId="4A0A59DB" w14:textId="77777777" w:rsidR="006E3229" w:rsidRDefault="00B43C9C">
      <w:pPr>
        <w:keepNext/>
        <w:spacing w:line="240" w:lineRule="auto"/>
        <w:ind w:left="567" w:hanging="567"/>
        <w:outlineLvl w:val="0"/>
        <w:rPr>
          <w:b/>
          <w:szCs w:val="22"/>
        </w:rPr>
      </w:pPr>
      <w:r>
        <w:rPr>
          <w:rStyle w:val="DNEx2"/>
        </w:rPr>
        <w:t>5.2</w:t>
      </w:r>
      <w:r>
        <w:rPr>
          <w:rStyle w:val="DNEx2"/>
        </w:rPr>
        <w:tab/>
      </w:r>
      <w:r>
        <w:rPr>
          <w:b/>
        </w:rPr>
        <w:t>Propiedades farmacocinéticas</w:t>
      </w:r>
    </w:p>
    <w:p w14:paraId="0A260EA3" w14:textId="77777777" w:rsidR="006E3229" w:rsidRDefault="006E3229">
      <w:pPr>
        <w:pStyle w:val="NormalWeb"/>
        <w:keepNext/>
        <w:spacing w:before="0" w:beforeAutospacing="0" w:after="0" w:afterAutospacing="0"/>
        <w:jc w:val="both"/>
        <w:rPr>
          <w:rStyle w:val="normaltextrun"/>
          <w:color w:val="000000" w:themeColor="text1"/>
          <w:sz w:val="22"/>
          <w:szCs w:val="20"/>
          <w:lang w:eastAsia="en-US"/>
        </w:rPr>
      </w:pPr>
    </w:p>
    <w:p w14:paraId="710C4227" w14:textId="77777777" w:rsidR="006E3229" w:rsidRDefault="00B43C9C">
      <w:pPr>
        <w:keepNext/>
        <w:numPr>
          <w:ilvl w:val="12"/>
          <w:numId w:val="0"/>
        </w:numPr>
        <w:spacing w:line="240" w:lineRule="auto"/>
        <w:rPr>
          <w:u w:val="single"/>
        </w:rPr>
      </w:pPr>
      <w:r>
        <w:rPr>
          <w:u w:val="single"/>
        </w:rPr>
        <w:t>Absorción</w:t>
      </w:r>
    </w:p>
    <w:p w14:paraId="7E52C22F" w14:textId="77777777" w:rsidR="006E3229" w:rsidRDefault="006E3229">
      <w:pPr>
        <w:keepNext/>
        <w:spacing w:line="240" w:lineRule="auto"/>
        <w:ind w:right="-2"/>
        <w:rPr>
          <w:u w:val="single"/>
        </w:rPr>
      </w:pPr>
    </w:p>
    <w:p w14:paraId="47F07431" w14:textId="77777777" w:rsidR="006E3229" w:rsidRDefault="00B43C9C">
      <w:pPr>
        <w:spacing w:line="240" w:lineRule="auto"/>
        <w:rPr>
          <w:szCs w:val="22"/>
        </w:rPr>
      </w:pPr>
      <w:r>
        <w:t xml:space="preserve">La </w:t>
      </w:r>
      <w:proofErr w:type="spellStart"/>
      <w:r>
        <w:t>vamorolona</w:t>
      </w:r>
      <w:proofErr w:type="spellEnd"/>
      <w:r>
        <w:t xml:space="preserve"> se absorbe bien y se distribuye rápidamente en los tejidos. Tras la administración oral con alimentos, la mediana de </w:t>
      </w:r>
      <w:proofErr w:type="spellStart"/>
      <w:r>
        <w:t>T</w:t>
      </w:r>
      <w:r>
        <w:rPr>
          <w:vertAlign w:val="subscript"/>
        </w:rPr>
        <w:t>max</w:t>
      </w:r>
      <w:proofErr w:type="spellEnd"/>
      <w:r>
        <w:t xml:space="preserve"> es de unas 2 horas (intervalo de 0,5 a 5 horas).</w:t>
      </w:r>
    </w:p>
    <w:p w14:paraId="6EA66406" w14:textId="77777777" w:rsidR="006E3229" w:rsidRDefault="006E3229">
      <w:pPr>
        <w:spacing w:line="240" w:lineRule="auto"/>
        <w:ind w:right="-2"/>
      </w:pPr>
    </w:p>
    <w:p w14:paraId="00582D6C" w14:textId="77777777" w:rsidR="006E3229" w:rsidRDefault="00B43C9C">
      <w:pPr>
        <w:keepNext/>
        <w:spacing w:line="240" w:lineRule="auto"/>
        <w:ind w:right="-2"/>
        <w:rPr>
          <w:i/>
        </w:rPr>
      </w:pPr>
      <w:bookmarkStart w:id="13" w:name="_Hlk133746806"/>
      <w:r>
        <w:rPr>
          <w:i/>
        </w:rPr>
        <w:t>Efecto de los alimentos</w:t>
      </w:r>
    </w:p>
    <w:p w14:paraId="51D349CC" w14:textId="77777777" w:rsidR="006E3229" w:rsidRDefault="00B43C9C">
      <w:pPr>
        <w:spacing w:line="240" w:lineRule="auto"/>
      </w:pPr>
      <w:r>
        <w:t xml:space="preserve">La administración conjunta de </w:t>
      </w:r>
      <w:proofErr w:type="spellStart"/>
      <w:r>
        <w:t>vamorolona</w:t>
      </w:r>
      <w:proofErr w:type="spellEnd"/>
      <w:r>
        <w:t xml:space="preserve"> con una comida redujo la </w:t>
      </w:r>
      <w:proofErr w:type="spellStart"/>
      <w:r>
        <w:t>C</w:t>
      </w:r>
      <w:r>
        <w:rPr>
          <w:vertAlign w:val="subscript"/>
        </w:rPr>
        <w:t>max</w:t>
      </w:r>
      <w:proofErr w:type="spellEnd"/>
      <w:r>
        <w:t xml:space="preserve"> hasta un 8 % y la </w:t>
      </w:r>
      <w:proofErr w:type="spellStart"/>
      <w:r>
        <w:t>T</w:t>
      </w:r>
      <w:r>
        <w:rPr>
          <w:vertAlign w:val="subscript"/>
        </w:rPr>
        <w:t>max</w:t>
      </w:r>
      <w:proofErr w:type="spellEnd"/>
      <w:r>
        <w:t xml:space="preserve"> se retrasó 1 hora, en comparación con la administración en ayunas. La absorción sistémica global, medida por el AUC, aumentó hasta un 14 % cuando </w:t>
      </w:r>
      <w:proofErr w:type="spellStart"/>
      <w:r>
        <w:t>vamorolona</w:t>
      </w:r>
      <w:proofErr w:type="spellEnd"/>
      <w:r>
        <w:t xml:space="preserve"> se tomó con alimentos. </w:t>
      </w:r>
      <w:bookmarkEnd w:id="13"/>
      <w:r>
        <w:t xml:space="preserve">Las diferencias observadas en la absorción no dan lugar a diferencias clínicamente relevantes en la exposición y, por lo tanto, la </w:t>
      </w:r>
      <w:proofErr w:type="spellStart"/>
      <w:r>
        <w:t>vamorolona</w:t>
      </w:r>
      <w:proofErr w:type="spellEnd"/>
      <w:r>
        <w:t xml:space="preserve"> puede administrarse con o sin alimentos.</w:t>
      </w:r>
    </w:p>
    <w:p w14:paraId="31C2EE7A" w14:textId="77777777" w:rsidR="006E3229" w:rsidRDefault="006E3229">
      <w:pPr>
        <w:spacing w:line="240" w:lineRule="auto"/>
        <w:ind w:right="-2"/>
        <w:rPr>
          <w:u w:val="single"/>
        </w:rPr>
      </w:pPr>
    </w:p>
    <w:p w14:paraId="1E439E9B" w14:textId="77777777" w:rsidR="006E3229" w:rsidRDefault="00B43C9C">
      <w:pPr>
        <w:keepNext/>
        <w:spacing w:line="240" w:lineRule="auto"/>
        <w:rPr>
          <w:u w:val="single"/>
        </w:rPr>
      </w:pPr>
      <w:r>
        <w:rPr>
          <w:u w:val="single"/>
        </w:rPr>
        <w:t>Distribución</w:t>
      </w:r>
    </w:p>
    <w:p w14:paraId="23286372" w14:textId="77777777" w:rsidR="006E3229" w:rsidRDefault="006E3229">
      <w:pPr>
        <w:keepNext/>
        <w:spacing w:line="240" w:lineRule="auto"/>
        <w:ind w:right="-2"/>
        <w:rPr>
          <w:u w:val="single"/>
        </w:rPr>
      </w:pPr>
    </w:p>
    <w:p w14:paraId="5F7BDCA9" w14:textId="77777777" w:rsidR="006E3229" w:rsidRDefault="00B43C9C">
      <w:pPr>
        <w:spacing w:line="240" w:lineRule="auto"/>
      </w:pPr>
      <w:r>
        <w:t xml:space="preserve">El volumen aparente de distribución de </w:t>
      </w:r>
      <w:proofErr w:type="spellStart"/>
      <w:r>
        <w:t>vamorolona</w:t>
      </w:r>
      <w:proofErr w:type="spellEnd"/>
      <w:r>
        <w:t xml:space="preserve"> para un paciente con DMD con un peso corporal de 20 kg que toma </w:t>
      </w:r>
      <w:proofErr w:type="spellStart"/>
      <w:r>
        <w:t>vamorolona</w:t>
      </w:r>
      <w:proofErr w:type="spellEnd"/>
      <w:r>
        <w:t xml:space="preserve"> es de 28,5 l, según el análisis farmacocinético de población. La unión a las proteínas es del 88,1 % </w:t>
      </w:r>
      <w:r>
        <w:rPr>
          <w:i/>
          <w:iCs/>
        </w:rPr>
        <w:t>in vitro</w:t>
      </w:r>
      <w:r>
        <w:t>. La relación entre sangre y plasma es aproximadamente de 0,87.</w:t>
      </w:r>
    </w:p>
    <w:p w14:paraId="2DCD2DD7" w14:textId="77777777" w:rsidR="006E3229" w:rsidRDefault="006E3229">
      <w:pPr>
        <w:numPr>
          <w:ilvl w:val="12"/>
          <w:numId w:val="0"/>
        </w:numPr>
        <w:spacing w:line="240" w:lineRule="auto"/>
        <w:ind w:right="-2"/>
        <w:rPr>
          <w:u w:val="single"/>
        </w:rPr>
      </w:pPr>
    </w:p>
    <w:p w14:paraId="336460E8" w14:textId="77777777" w:rsidR="006E3229" w:rsidRDefault="00B43C9C">
      <w:pPr>
        <w:keepNext/>
        <w:numPr>
          <w:ilvl w:val="12"/>
          <w:numId w:val="0"/>
        </w:numPr>
        <w:spacing w:line="240" w:lineRule="auto"/>
        <w:rPr>
          <w:u w:val="single"/>
        </w:rPr>
      </w:pPr>
      <w:bookmarkStart w:id="14" w:name="_Hlk133747120"/>
      <w:r>
        <w:rPr>
          <w:u w:val="single"/>
        </w:rPr>
        <w:t>Biotransformación</w:t>
      </w:r>
    </w:p>
    <w:p w14:paraId="2CE668EB" w14:textId="77777777" w:rsidR="006E3229" w:rsidRDefault="006E3229">
      <w:pPr>
        <w:keepNext/>
        <w:numPr>
          <w:ilvl w:val="12"/>
          <w:numId w:val="0"/>
        </w:numPr>
        <w:spacing w:line="240" w:lineRule="auto"/>
        <w:ind w:right="-2"/>
        <w:rPr>
          <w:u w:val="single"/>
        </w:rPr>
      </w:pPr>
    </w:p>
    <w:p w14:paraId="1E53C189" w14:textId="77777777" w:rsidR="006E3229" w:rsidRDefault="00B43C9C">
      <w:pPr>
        <w:spacing w:line="240" w:lineRule="auto"/>
      </w:pPr>
      <w:r>
        <w:t xml:space="preserve">La </w:t>
      </w:r>
      <w:proofErr w:type="spellStart"/>
      <w:r>
        <w:t>vamorolona</w:t>
      </w:r>
      <w:proofErr w:type="spellEnd"/>
      <w:r>
        <w:t xml:space="preserve"> se metaboliza a través de múltiples vías de las fases I y II, como la </w:t>
      </w:r>
      <w:proofErr w:type="spellStart"/>
      <w:r>
        <w:t>glucuronidación</w:t>
      </w:r>
      <w:proofErr w:type="spellEnd"/>
      <w:r>
        <w:t xml:space="preserve">, la hidroxilación y la reducción. Los principales metabolitos plasmáticos y urinarios se forman a través de la </w:t>
      </w:r>
      <w:proofErr w:type="spellStart"/>
      <w:r>
        <w:t>glucuronidación</w:t>
      </w:r>
      <w:proofErr w:type="spellEnd"/>
      <w:r>
        <w:t xml:space="preserve"> directa, así como de la hidrogenación con </w:t>
      </w:r>
      <w:proofErr w:type="spellStart"/>
      <w:r>
        <w:t>glucuronidación</w:t>
      </w:r>
      <w:proofErr w:type="spellEnd"/>
      <w:r>
        <w:t xml:space="preserve"> posterior. No se ha demostrado de forma concluyente la participación de enzimas UGT y CYP específicas en el metabolismo de la </w:t>
      </w:r>
      <w:proofErr w:type="spellStart"/>
      <w:r>
        <w:t>vamorolona</w:t>
      </w:r>
      <w:proofErr w:type="spellEnd"/>
      <w:r>
        <w:t>.</w:t>
      </w:r>
    </w:p>
    <w:bookmarkEnd w:id="14"/>
    <w:p w14:paraId="0E346729" w14:textId="77777777" w:rsidR="006E3229" w:rsidRDefault="006E3229">
      <w:pPr>
        <w:spacing w:line="240" w:lineRule="auto"/>
        <w:ind w:right="-2"/>
        <w:rPr>
          <w:u w:val="single"/>
        </w:rPr>
      </w:pPr>
    </w:p>
    <w:p w14:paraId="0B6640D4" w14:textId="77777777" w:rsidR="006E3229" w:rsidRDefault="00B43C9C">
      <w:pPr>
        <w:keepNext/>
        <w:spacing w:line="240" w:lineRule="auto"/>
        <w:rPr>
          <w:u w:val="single"/>
        </w:rPr>
      </w:pPr>
      <w:r>
        <w:rPr>
          <w:u w:val="single"/>
        </w:rPr>
        <w:t>Eliminación</w:t>
      </w:r>
    </w:p>
    <w:p w14:paraId="6CD1A994" w14:textId="77777777" w:rsidR="006E3229" w:rsidRDefault="006E3229">
      <w:pPr>
        <w:keepNext/>
        <w:spacing w:line="240" w:lineRule="auto"/>
      </w:pPr>
    </w:p>
    <w:p w14:paraId="4263852E" w14:textId="77777777" w:rsidR="006E3229" w:rsidRDefault="00B43C9C">
      <w:pPr>
        <w:spacing w:line="240" w:lineRule="auto"/>
      </w:pPr>
      <w:r>
        <w:t xml:space="preserve">La principal vía de eliminación es el metabolismo, con la posterior excreción de metabolitos a la orina y las heces. El aclaramiento de </w:t>
      </w:r>
      <w:proofErr w:type="spellStart"/>
      <w:r>
        <w:t>vamorolona</w:t>
      </w:r>
      <w:proofErr w:type="spellEnd"/>
      <w:r>
        <w:t xml:space="preserve"> para un paciente con DMD con un peso corporal de 20 kg que toma </w:t>
      </w:r>
      <w:proofErr w:type="spellStart"/>
      <w:r>
        <w:t>vamorolona</w:t>
      </w:r>
      <w:proofErr w:type="spellEnd"/>
      <w:r>
        <w:t xml:space="preserve"> es de 58 l/h, según el análisis farmacocinético de población. La semivida terminal de la </w:t>
      </w:r>
      <w:proofErr w:type="spellStart"/>
      <w:r>
        <w:t>vamorolona</w:t>
      </w:r>
      <w:proofErr w:type="spellEnd"/>
      <w:r>
        <w:t xml:space="preserve"> en niños con DMD es de aproximadamente 2 horas.</w:t>
      </w:r>
    </w:p>
    <w:p w14:paraId="7EF91DA2" w14:textId="77777777" w:rsidR="006E3229" w:rsidRDefault="006E3229">
      <w:pPr>
        <w:spacing w:line="240" w:lineRule="auto"/>
        <w:rPr>
          <w:szCs w:val="22"/>
        </w:rPr>
      </w:pPr>
    </w:p>
    <w:p w14:paraId="35F2CD95" w14:textId="77777777" w:rsidR="006E3229" w:rsidRDefault="00B43C9C">
      <w:pPr>
        <w:spacing w:line="240" w:lineRule="auto"/>
        <w:rPr>
          <w:szCs w:val="22"/>
        </w:rPr>
      </w:pPr>
      <w:r>
        <w:t xml:space="preserve">Aproximadamente el 30 % de la dosis de </w:t>
      </w:r>
      <w:proofErr w:type="spellStart"/>
      <w:r>
        <w:t>vamorolona</w:t>
      </w:r>
      <w:proofErr w:type="spellEnd"/>
      <w:r>
        <w:t xml:space="preserve"> se excreta en las heces (15,4 % inalterado) y el 57 % de la dosis de </w:t>
      </w:r>
      <w:proofErr w:type="spellStart"/>
      <w:r>
        <w:t>vamorolona</w:t>
      </w:r>
      <w:proofErr w:type="spellEnd"/>
      <w:r>
        <w:t xml:space="preserve"> se excreta en la orina en forma de metabolitos (&lt; 1 % inalterado). Los principales metabolitos de la orina son los </w:t>
      </w:r>
      <w:proofErr w:type="spellStart"/>
      <w:r>
        <w:t>glucurónidos</w:t>
      </w:r>
      <w:proofErr w:type="spellEnd"/>
      <w:r>
        <w:t>.</w:t>
      </w:r>
    </w:p>
    <w:p w14:paraId="3EC59F2D" w14:textId="77777777" w:rsidR="006E3229" w:rsidRDefault="006E3229">
      <w:pPr>
        <w:numPr>
          <w:ilvl w:val="12"/>
          <w:numId w:val="0"/>
        </w:numPr>
        <w:spacing w:line="240" w:lineRule="auto"/>
        <w:ind w:right="-2"/>
        <w:rPr>
          <w:u w:val="single"/>
        </w:rPr>
      </w:pPr>
    </w:p>
    <w:p w14:paraId="3E785737" w14:textId="77777777" w:rsidR="006E3229" w:rsidRDefault="00B43C9C">
      <w:pPr>
        <w:keepNext/>
        <w:numPr>
          <w:ilvl w:val="12"/>
          <w:numId w:val="0"/>
        </w:numPr>
        <w:spacing w:line="240" w:lineRule="auto"/>
        <w:rPr>
          <w:iCs/>
          <w:szCs w:val="22"/>
          <w:u w:val="single"/>
        </w:rPr>
      </w:pPr>
      <w:r>
        <w:rPr>
          <w:u w:val="single"/>
        </w:rPr>
        <w:t>Linealidad/No linealidad</w:t>
      </w:r>
    </w:p>
    <w:p w14:paraId="29B6B8F7" w14:textId="77777777" w:rsidR="006E3229" w:rsidRDefault="006E3229">
      <w:pPr>
        <w:keepNext/>
        <w:spacing w:line="240" w:lineRule="auto"/>
        <w:rPr>
          <w:szCs w:val="22"/>
        </w:rPr>
      </w:pPr>
    </w:p>
    <w:p w14:paraId="61E2A95B" w14:textId="77777777" w:rsidR="006E3229" w:rsidRDefault="00B43C9C">
      <w:pPr>
        <w:spacing w:line="240" w:lineRule="auto"/>
        <w:rPr>
          <w:szCs w:val="22"/>
        </w:rPr>
      </w:pPr>
      <w:r>
        <w:t xml:space="preserve">La farmacocinética es lineal y la exposición a la </w:t>
      </w:r>
      <w:proofErr w:type="spellStart"/>
      <w:r>
        <w:t>vamorolona</w:t>
      </w:r>
      <w:proofErr w:type="spellEnd"/>
      <w:r>
        <w:t xml:space="preserve"> aumenta proporcionalmente con dosis únicas o múltiples. La </w:t>
      </w:r>
      <w:proofErr w:type="spellStart"/>
      <w:r>
        <w:t>vamorolona</w:t>
      </w:r>
      <w:proofErr w:type="spellEnd"/>
      <w:r>
        <w:t xml:space="preserve"> no se acumula con una administración repetida.</w:t>
      </w:r>
    </w:p>
    <w:p w14:paraId="4F87E8CA" w14:textId="77777777" w:rsidR="006E3229" w:rsidRDefault="006E3229">
      <w:pPr>
        <w:numPr>
          <w:ilvl w:val="12"/>
          <w:numId w:val="0"/>
        </w:numPr>
        <w:spacing w:line="240" w:lineRule="auto"/>
        <w:ind w:right="-2"/>
        <w:rPr>
          <w:iCs/>
          <w:szCs w:val="22"/>
        </w:rPr>
      </w:pPr>
    </w:p>
    <w:p w14:paraId="2BFA7A55" w14:textId="77777777" w:rsidR="006E3229" w:rsidRDefault="00B43C9C">
      <w:pPr>
        <w:pStyle w:val="paragraph"/>
        <w:keepNext/>
        <w:spacing w:before="0" w:beforeAutospacing="0" w:after="0" w:afterAutospacing="0"/>
        <w:jc w:val="both"/>
        <w:textAlignment w:val="baseline"/>
        <w:rPr>
          <w:rStyle w:val="normaltextrun"/>
          <w:color w:val="000000" w:themeColor="text1"/>
          <w:sz w:val="22"/>
          <w:szCs w:val="22"/>
          <w:u w:val="single"/>
        </w:rPr>
      </w:pPr>
      <w:r>
        <w:rPr>
          <w:rStyle w:val="normaltextrun"/>
          <w:color w:val="000000" w:themeColor="text1"/>
          <w:sz w:val="22"/>
          <w:u w:val="single"/>
        </w:rPr>
        <w:t>Poblaciones especiales</w:t>
      </w:r>
    </w:p>
    <w:p w14:paraId="4333C667" w14:textId="77777777" w:rsidR="006E3229" w:rsidRDefault="006E3229">
      <w:pPr>
        <w:pStyle w:val="paragraph"/>
        <w:keepNext/>
        <w:spacing w:before="0" w:beforeAutospacing="0" w:after="0" w:afterAutospacing="0"/>
        <w:jc w:val="both"/>
        <w:textAlignment w:val="baseline"/>
        <w:rPr>
          <w:rStyle w:val="eop"/>
          <w:color w:val="000000" w:themeColor="text1"/>
          <w:sz w:val="16"/>
          <w:szCs w:val="16"/>
        </w:rPr>
      </w:pPr>
    </w:p>
    <w:p w14:paraId="344F27BF" w14:textId="77777777" w:rsidR="006E3229" w:rsidRDefault="00B43C9C">
      <w:pPr>
        <w:pStyle w:val="paragraph"/>
        <w:keepNext/>
        <w:spacing w:before="0" w:beforeAutospacing="0" w:after="0" w:afterAutospacing="0"/>
        <w:jc w:val="both"/>
        <w:textAlignment w:val="baseline"/>
        <w:rPr>
          <w:sz w:val="22"/>
          <w:szCs w:val="22"/>
        </w:rPr>
      </w:pPr>
      <w:bookmarkStart w:id="15" w:name="_Hlk133747301"/>
      <w:r>
        <w:rPr>
          <w:rStyle w:val="normaltextrun"/>
          <w:i/>
          <w:color w:val="000000" w:themeColor="text1"/>
          <w:sz w:val="22"/>
        </w:rPr>
        <w:t>Insuficiencia hepática</w:t>
      </w:r>
    </w:p>
    <w:p w14:paraId="5BB4AB6B" w14:textId="77777777" w:rsidR="006E3229" w:rsidRDefault="00B43C9C">
      <w:pPr>
        <w:spacing w:line="240" w:lineRule="auto"/>
      </w:pPr>
      <w:r>
        <w:t xml:space="preserve">El efecto de insuficiencia hepática moderada (clase B de Child-Pugh) provocada por la </w:t>
      </w:r>
      <w:proofErr w:type="spellStart"/>
      <w:r>
        <w:t>vamorolona</w:t>
      </w:r>
      <w:proofErr w:type="spellEnd"/>
      <w:r>
        <w:t xml:space="preserve"> se estudió en humanos. Los valores de </w:t>
      </w:r>
      <w:proofErr w:type="spellStart"/>
      <w:r>
        <w:t>Cmax</w:t>
      </w:r>
      <w:proofErr w:type="spellEnd"/>
      <w:r>
        <w:t xml:space="preserve"> y AUC0inf de </w:t>
      </w:r>
      <w:proofErr w:type="spellStart"/>
      <w:r>
        <w:t>vamorolona</w:t>
      </w:r>
      <w:proofErr w:type="spellEnd"/>
      <w:r>
        <w:t xml:space="preserve"> fueron aproximadamente 1,7 y 2,6 veces mayores en personas con insuficiencia hepática moderada en comparación con la edad, el peso y el sexo de las personas adultas sanas. En pacientes con insuficiencia hepática moderada, la dosis de AGAMREE debe reducirse a 2 mg/kg/día para aquellos que no superen los 40 kg y a 80 mg para quienes tengan un peso corporal igual o superior a 40 kg.</w:t>
      </w:r>
    </w:p>
    <w:p w14:paraId="3D210A54" w14:textId="77777777" w:rsidR="006E3229" w:rsidRDefault="006E3229">
      <w:pPr>
        <w:spacing w:line="240" w:lineRule="auto"/>
      </w:pPr>
    </w:p>
    <w:p w14:paraId="379605EB" w14:textId="77777777" w:rsidR="006E3229" w:rsidRDefault="00B43C9C">
      <w:pPr>
        <w:spacing w:line="240" w:lineRule="auto"/>
        <w:rPr>
          <w:szCs w:val="22"/>
        </w:rPr>
      </w:pPr>
      <w:r>
        <w:lastRenderedPageBreak/>
        <w:t xml:space="preserve">Sobre la base de los datos disponibles, el aumento de la exposición a la </w:t>
      </w:r>
      <w:proofErr w:type="spellStart"/>
      <w:r>
        <w:t>vamorolona</w:t>
      </w:r>
      <w:proofErr w:type="spellEnd"/>
      <w:r>
        <w:t xml:space="preserve"> es proporcional a la gravedad de la disfunción hepática. No se espera que los pacientes con insuficiencia hepática leve (clase A de Child-Pugh) presenten un aumento significativo de la exposición, por lo que no se recomienda ajustar la dosis.</w:t>
      </w:r>
    </w:p>
    <w:p w14:paraId="116DD434" w14:textId="77777777" w:rsidR="006E3229" w:rsidRDefault="00B43C9C">
      <w:pPr>
        <w:spacing w:line="240" w:lineRule="auto"/>
        <w:rPr>
          <w:szCs w:val="22"/>
        </w:rPr>
      </w:pPr>
      <w:r>
        <w:t xml:space="preserve">No hay experiencia con </w:t>
      </w:r>
      <w:proofErr w:type="spellStart"/>
      <w:r>
        <w:t>vamorolona</w:t>
      </w:r>
      <w:proofErr w:type="spellEnd"/>
      <w:r>
        <w:t xml:space="preserve"> en pacientes con insuficiencia hepática grave (clase C de Child-Pugh) y la </w:t>
      </w:r>
      <w:proofErr w:type="spellStart"/>
      <w:r>
        <w:t>vamorolona</w:t>
      </w:r>
      <w:proofErr w:type="spellEnd"/>
      <w:r>
        <w:t xml:space="preserve"> no debe administrarse a estos pacientes (ver sección 4.3).</w:t>
      </w:r>
    </w:p>
    <w:bookmarkEnd w:id="15"/>
    <w:p w14:paraId="3D727B79" w14:textId="77777777" w:rsidR="006E3229" w:rsidRDefault="006E3229">
      <w:pPr>
        <w:numPr>
          <w:ilvl w:val="12"/>
          <w:numId w:val="0"/>
        </w:numPr>
        <w:spacing w:line="240" w:lineRule="auto"/>
        <w:ind w:right="-2"/>
        <w:rPr>
          <w:iCs/>
          <w:szCs w:val="22"/>
        </w:rPr>
      </w:pPr>
    </w:p>
    <w:p w14:paraId="6BF7ADB7" w14:textId="77777777" w:rsidR="006E3229" w:rsidRDefault="00B43C9C">
      <w:pPr>
        <w:pStyle w:val="paragraph"/>
        <w:keepNext/>
        <w:spacing w:before="0" w:beforeAutospacing="0" w:after="0" w:afterAutospacing="0"/>
        <w:jc w:val="both"/>
        <w:textAlignment w:val="baseline"/>
        <w:rPr>
          <w:sz w:val="22"/>
          <w:szCs w:val="22"/>
        </w:rPr>
      </w:pPr>
      <w:r>
        <w:rPr>
          <w:rStyle w:val="normaltextrun"/>
          <w:i/>
          <w:color w:val="000000" w:themeColor="text1"/>
          <w:sz w:val="22"/>
        </w:rPr>
        <w:t>Insuficiencia renal</w:t>
      </w:r>
    </w:p>
    <w:p w14:paraId="17D040BE" w14:textId="77777777" w:rsidR="006E3229" w:rsidRDefault="00B43C9C">
      <w:pPr>
        <w:spacing w:line="240" w:lineRule="auto"/>
        <w:rPr>
          <w:szCs w:val="22"/>
        </w:rPr>
      </w:pPr>
      <w:r>
        <w:t xml:space="preserve">No hay experiencia clínica en pacientes con insuficiencia renal. La </w:t>
      </w:r>
      <w:proofErr w:type="spellStart"/>
      <w:r>
        <w:t>vamorolona</w:t>
      </w:r>
      <w:proofErr w:type="spellEnd"/>
      <w:r>
        <w:t xml:space="preserve"> no se excreta inalterada por vía renal, por lo que se considera improbable un aumento de la exposición debido a la insuficiencia renal.</w:t>
      </w:r>
    </w:p>
    <w:p w14:paraId="2B5064DC" w14:textId="77777777" w:rsidR="006E3229" w:rsidRDefault="006E3229">
      <w:pPr>
        <w:spacing w:line="240" w:lineRule="auto"/>
        <w:rPr>
          <w:i/>
          <w:iCs/>
        </w:rPr>
      </w:pPr>
    </w:p>
    <w:p w14:paraId="463A095D" w14:textId="77777777" w:rsidR="006E3229" w:rsidRDefault="00B43C9C">
      <w:pPr>
        <w:keepNext/>
        <w:spacing w:line="240" w:lineRule="auto"/>
        <w:jc w:val="both"/>
        <w:rPr>
          <w:i/>
          <w:iCs/>
        </w:rPr>
      </w:pPr>
      <w:r>
        <w:rPr>
          <w:i/>
        </w:rPr>
        <w:t>Interacciones mediadas por transportadores</w:t>
      </w:r>
    </w:p>
    <w:p w14:paraId="3B860C87" w14:textId="77777777" w:rsidR="006E3229" w:rsidRDefault="00B43C9C">
      <w:pPr>
        <w:spacing w:line="240" w:lineRule="auto"/>
      </w:pPr>
      <w:r>
        <w:t xml:space="preserve">La </w:t>
      </w:r>
      <w:proofErr w:type="spellStart"/>
      <w:r>
        <w:t>vamorolona</w:t>
      </w:r>
      <w:proofErr w:type="spellEnd"/>
      <w:r>
        <w:t xml:space="preserve"> no es un inhibidor de P-</w:t>
      </w:r>
      <w:proofErr w:type="spellStart"/>
      <w:r>
        <w:t>gp</w:t>
      </w:r>
      <w:proofErr w:type="spellEnd"/>
      <w:r>
        <w:t xml:space="preserve">, BCRP, OATP1B1, OATP1B3, OCT2, OAT1, MATE1 o BSEP. La </w:t>
      </w:r>
      <w:proofErr w:type="spellStart"/>
      <w:r>
        <w:t>vamorolona</w:t>
      </w:r>
      <w:proofErr w:type="spellEnd"/>
      <w:r>
        <w:t xml:space="preserve"> muestra una inhibición débil de los transportadores OAT3 y MATE2-K </w:t>
      </w:r>
      <w:r>
        <w:rPr>
          <w:i/>
        </w:rPr>
        <w:t>in vitro</w:t>
      </w:r>
      <w:r>
        <w:t xml:space="preserve">. La </w:t>
      </w:r>
      <w:proofErr w:type="spellStart"/>
      <w:r>
        <w:t>vamorolona</w:t>
      </w:r>
      <w:proofErr w:type="spellEnd"/>
      <w:r>
        <w:t xml:space="preserve"> no es un sustrato de P-</w:t>
      </w:r>
      <w:proofErr w:type="spellStart"/>
      <w:r>
        <w:t>gp</w:t>
      </w:r>
      <w:proofErr w:type="spellEnd"/>
      <w:r>
        <w:t>, BCRP, OATP1A2, OATP1B1, OATP1B3, OCT2, OAT1, OAT3, MATE1, MATE2-K o BSEP.</w:t>
      </w:r>
    </w:p>
    <w:p w14:paraId="209B656C" w14:textId="77777777" w:rsidR="006E3229" w:rsidRDefault="006E3229">
      <w:pPr>
        <w:spacing w:line="240" w:lineRule="auto"/>
        <w:ind w:right="-2"/>
      </w:pPr>
    </w:p>
    <w:p w14:paraId="048E9390" w14:textId="77777777" w:rsidR="006E3229" w:rsidRDefault="00B43C9C">
      <w:pPr>
        <w:pStyle w:val="paragraph"/>
        <w:keepNext/>
        <w:spacing w:before="0" w:beforeAutospacing="0" w:after="0" w:afterAutospacing="0"/>
        <w:jc w:val="both"/>
        <w:textAlignment w:val="baseline"/>
        <w:rPr>
          <w:rStyle w:val="normaltextrun"/>
          <w:i/>
          <w:iCs/>
          <w:color w:val="000000" w:themeColor="text1"/>
          <w:sz w:val="22"/>
          <w:szCs w:val="22"/>
        </w:rPr>
      </w:pPr>
      <w:r>
        <w:rPr>
          <w:rStyle w:val="normaltextrun"/>
          <w:i/>
          <w:color w:val="000000" w:themeColor="text1"/>
          <w:sz w:val="22"/>
        </w:rPr>
        <w:t>Población pediátrica</w:t>
      </w:r>
    </w:p>
    <w:p w14:paraId="6CBFBF0C" w14:textId="77777777" w:rsidR="006E3229" w:rsidRDefault="00B43C9C">
      <w:pPr>
        <w:spacing w:line="240" w:lineRule="auto"/>
      </w:pPr>
      <w:r>
        <w:t xml:space="preserve">En el estado estacionario, la media geométrica de </w:t>
      </w:r>
      <w:proofErr w:type="spellStart"/>
      <w:r>
        <w:t>C</w:t>
      </w:r>
      <w:r>
        <w:rPr>
          <w:vertAlign w:val="subscript"/>
        </w:rPr>
        <w:t>max</w:t>
      </w:r>
      <w:proofErr w:type="spellEnd"/>
      <w:r>
        <w:t xml:space="preserve"> y la media geométrica del AUC de </w:t>
      </w:r>
      <w:proofErr w:type="spellStart"/>
      <w:r>
        <w:t>vamorolona</w:t>
      </w:r>
      <w:proofErr w:type="spellEnd"/>
      <w:r>
        <w:t xml:space="preserve"> en niños (edades de 4-7 años) se estimaron por farmacocinética poblacional a 1 200 ng/ml (CV% = 26.8) y 3 650 ng/</w:t>
      </w:r>
      <w:proofErr w:type="spellStart"/>
      <w:r>
        <w:t>ml.h</w:t>
      </w:r>
      <w:proofErr w:type="spellEnd"/>
      <w:r>
        <w:t xml:space="preserve">, respectivamente, después de </w:t>
      </w:r>
      <w:r>
        <w:rPr>
          <w:rStyle w:val="normaltextrun"/>
        </w:rPr>
        <w:t>admin</w:t>
      </w:r>
      <w:r>
        <w:t xml:space="preserve">istrar 6 mg/kg de </w:t>
      </w:r>
      <w:proofErr w:type="spellStart"/>
      <w:r>
        <w:t>vamorolona</w:t>
      </w:r>
      <w:proofErr w:type="spellEnd"/>
      <w:r>
        <w:t xml:space="preserve"> al día.</w:t>
      </w:r>
    </w:p>
    <w:p w14:paraId="131110FE" w14:textId="77777777" w:rsidR="006E3229" w:rsidRDefault="006E3229">
      <w:pPr>
        <w:spacing w:line="240" w:lineRule="auto"/>
      </w:pPr>
    </w:p>
    <w:p w14:paraId="10C5ADD4" w14:textId="77777777" w:rsidR="006E3229" w:rsidRDefault="00B43C9C">
      <w:pPr>
        <w:keepNext/>
        <w:spacing w:line="240" w:lineRule="auto"/>
        <w:ind w:left="567" w:hanging="567"/>
        <w:outlineLvl w:val="0"/>
        <w:rPr>
          <w:b/>
          <w:szCs w:val="22"/>
        </w:rPr>
      </w:pPr>
      <w:r>
        <w:rPr>
          <w:rStyle w:val="DNEx2"/>
        </w:rPr>
        <w:t>5.3</w:t>
      </w:r>
      <w:r>
        <w:rPr>
          <w:rStyle w:val="DNEx2"/>
        </w:rPr>
        <w:tab/>
      </w:r>
      <w:r>
        <w:rPr>
          <w:b/>
        </w:rPr>
        <w:t>Datos preclínicos sobre seguridad</w:t>
      </w:r>
    </w:p>
    <w:p w14:paraId="0AAA516C" w14:textId="77777777" w:rsidR="006E3229" w:rsidRDefault="006E3229">
      <w:pPr>
        <w:keepNext/>
        <w:spacing w:line="240" w:lineRule="auto"/>
        <w:rPr>
          <w:szCs w:val="22"/>
        </w:rPr>
      </w:pPr>
    </w:p>
    <w:p w14:paraId="43024093" w14:textId="77777777" w:rsidR="006E3229" w:rsidRDefault="00B43C9C">
      <w:pPr>
        <w:keepNext/>
        <w:spacing w:line="240" w:lineRule="auto"/>
        <w:rPr>
          <w:szCs w:val="22"/>
          <w:u w:val="single"/>
        </w:rPr>
      </w:pPr>
      <w:r>
        <w:rPr>
          <w:u w:val="single"/>
        </w:rPr>
        <w:t>Toxicidad a dosis repetidas</w:t>
      </w:r>
    </w:p>
    <w:p w14:paraId="487424EA" w14:textId="77777777" w:rsidR="006E3229" w:rsidRDefault="00B43C9C">
      <w:pPr>
        <w:spacing w:line="240" w:lineRule="auto"/>
      </w:pPr>
      <w:r>
        <w:t xml:space="preserve">La administración continuada de </w:t>
      </w:r>
      <w:proofErr w:type="spellStart"/>
      <w:r>
        <w:t>vamorolona</w:t>
      </w:r>
      <w:proofErr w:type="spellEnd"/>
      <w:r>
        <w:t xml:space="preserve"> produjo aumentos transitorios de los triglicéridos y el colesterol, así como de las enzimas hepáticas en ratones y perros. La inflamación/necrosis hepática focal observada en ambas especies podría haberse desarrollado secundaria a la hipertrofia hepatocelular y a la </w:t>
      </w:r>
      <w:proofErr w:type="spellStart"/>
      <w:r>
        <w:t>vacuolación</w:t>
      </w:r>
      <w:proofErr w:type="spellEnd"/>
      <w:r>
        <w:t xml:space="preserve"> que contiene glucógeno y acumulaciones lipídicas que probablemente reflejan la estimulación de la gluconeogénesis.</w:t>
      </w:r>
    </w:p>
    <w:p w14:paraId="2AB8F2DC" w14:textId="77777777" w:rsidR="006E3229" w:rsidRDefault="006E3229">
      <w:pPr>
        <w:spacing w:line="240" w:lineRule="auto"/>
      </w:pPr>
    </w:p>
    <w:p w14:paraId="1449B133" w14:textId="77777777" w:rsidR="006E3229" w:rsidRDefault="00B43C9C">
      <w:pPr>
        <w:spacing w:line="240" w:lineRule="auto"/>
      </w:pPr>
      <w:r>
        <w:t xml:space="preserve">La administración de </w:t>
      </w:r>
      <w:proofErr w:type="spellStart"/>
      <w:r>
        <w:t>vamorolona</w:t>
      </w:r>
      <w:proofErr w:type="spellEnd"/>
      <w:r>
        <w:t xml:space="preserve"> a largo plazo también provocó atrofia de la corteza suprarrenal en ratones y perros, que es atribuible a la supresión conocida del eje hipotálamo-hipofisario-suprarrenal por los agentes glucocorticoides.</w:t>
      </w:r>
    </w:p>
    <w:p w14:paraId="6A1FABBF" w14:textId="77777777" w:rsidR="006E3229" w:rsidRDefault="006E3229">
      <w:pPr>
        <w:spacing w:line="240" w:lineRule="auto"/>
      </w:pPr>
    </w:p>
    <w:p w14:paraId="5C0C9D65" w14:textId="77777777" w:rsidR="006E3229" w:rsidRDefault="00B43C9C">
      <w:pPr>
        <w:spacing w:line="240" w:lineRule="auto"/>
      </w:pPr>
      <w:r>
        <w:t xml:space="preserve">La actividad antiinflamatoria primaria de </w:t>
      </w:r>
      <w:proofErr w:type="spellStart"/>
      <w:r>
        <w:t>vamorolona</w:t>
      </w:r>
      <w:proofErr w:type="spellEnd"/>
      <w:r>
        <w:t xml:space="preserve"> explica además la reducción leve o moderada de los linfocitos en el bazo, el timo y los ganglios linfáticos de ambas especies. Los hallazgos adversos en el hígado y las glándulas suprarrenales y los cambios linfoides en ratones y perros se desarrollaron sin márgenes de seguridad para la DMRH basándose en el AUC.</w:t>
      </w:r>
    </w:p>
    <w:p w14:paraId="6AFF11D1" w14:textId="77777777" w:rsidR="006E3229" w:rsidRDefault="006E3229">
      <w:pPr>
        <w:spacing w:line="240" w:lineRule="auto"/>
        <w:rPr>
          <w:szCs w:val="22"/>
        </w:rPr>
      </w:pPr>
    </w:p>
    <w:p w14:paraId="565B6EDE" w14:textId="77777777" w:rsidR="006E3229" w:rsidRDefault="00B43C9C">
      <w:pPr>
        <w:keepNext/>
        <w:spacing w:line="240" w:lineRule="auto"/>
        <w:rPr>
          <w:szCs w:val="22"/>
        </w:rPr>
      </w:pPr>
      <w:r>
        <w:rPr>
          <w:u w:val="single"/>
        </w:rPr>
        <w:t>Genotoxicidad y carcinogenicidad</w:t>
      </w:r>
    </w:p>
    <w:p w14:paraId="0CB922E1" w14:textId="77777777" w:rsidR="006E3229" w:rsidRDefault="006E3229">
      <w:pPr>
        <w:keepNext/>
        <w:spacing w:line="240" w:lineRule="auto"/>
        <w:rPr>
          <w:szCs w:val="22"/>
        </w:rPr>
      </w:pPr>
    </w:p>
    <w:p w14:paraId="357BB841" w14:textId="77777777" w:rsidR="006E3229" w:rsidRDefault="00B43C9C">
      <w:pPr>
        <w:spacing w:line="240" w:lineRule="auto"/>
      </w:pPr>
      <w:r>
        <w:t xml:space="preserve">La </w:t>
      </w:r>
      <w:proofErr w:type="spellStart"/>
      <w:r>
        <w:t>vamorolona</w:t>
      </w:r>
      <w:proofErr w:type="spellEnd"/>
      <w:r>
        <w:t xml:space="preserve"> no ejerció ningún potencial genotóxico en la serie de estudios estándar. No se han realizado estudios de carcinogenicidad con </w:t>
      </w:r>
      <w:proofErr w:type="spellStart"/>
      <w:r>
        <w:t>vamorolona</w:t>
      </w:r>
      <w:proofErr w:type="spellEnd"/>
      <w:r>
        <w:t>, pero la ausencia de lesiones pre-neoplásicas en estudios de toxicidad a largo plazo y la experiencia con otros agentes glucocorticoides no apuntan a un riesgo carcinogénico particular.</w:t>
      </w:r>
    </w:p>
    <w:p w14:paraId="66585706" w14:textId="77777777" w:rsidR="006E3229" w:rsidRDefault="006E3229">
      <w:pPr>
        <w:spacing w:line="276" w:lineRule="auto"/>
        <w:jc w:val="both"/>
        <w:rPr>
          <w:u w:val="single"/>
        </w:rPr>
      </w:pPr>
    </w:p>
    <w:p w14:paraId="660F70F8" w14:textId="77777777" w:rsidR="006E3229" w:rsidRDefault="00B43C9C">
      <w:pPr>
        <w:keepNext/>
        <w:spacing w:line="240" w:lineRule="auto"/>
        <w:rPr>
          <w:szCs w:val="22"/>
          <w:u w:val="single"/>
        </w:rPr>
      </w:pPr>
      <w:r>
        <w:rPr>
          <w:u w:val="single"/>
        </w:rPr>
        <w:t>Toxicidad para la reproducción y el desarrollo</w:t>
      </w:r>
    </w:p>
    <w:p w14:paraId="796DDA98" w14:textId="77777777" w:rsidR="006E3229" w:rsidRDefault="006E3229">
      <w:pPr>
        <w:keepNext/>
        <w:spacing w:line="240" w:lineRule="auto"/>
        <w:rPr>
          <w:szCs w:val="22"/>
        </w:rPr>
      </w:pPr>
    </w:p>
    <w:p w14:paraId="0667E6C5" w14:textId="1D00A64F" w:rsidR="006E3229" w:rsidRDefault="00B43C9C">
      <w:pPr>
        <w:spacing w:line="240" w:lineRule="auto"/>
      </w:pPr>
      <w:r>
        <w:t xml:space="preserve">No se han realizado estudios estándar de toxicidad para la reproducción y el desarrollo. </w:t>
      </w:r>
      <w:r w:rsidR="005C4515" w:rsidRPr="000C5EAC">
        <w:t xml:space="preserve">Un estudio exploratorio de desarrollo embriofetal con </w:t>
      </w:r>
      <w:proofErr w:type="spellStart"/>
      <w:r w:rsidR="005C4515" w:rsidRPr="005C4515">
        <w:t>vamorolon</w:t>
      </w:r>
      <w:r w:rsidR="005C4515" w:rsidRPr="000C5EAC">
        <w:t>a</w:t>
      </w:r>
      <w:proofErr w:type="spellEnd"/>
      <w:r w:rsidR="005C4515" w:rsidRPr="005C4515">
        <w:t xml:space="preserve"> </w:t>
      </w:r>
      <w:r w:rsidR="005C4515" w:rsidRPr="000C5EAC">
        <w:t xml:space="preserve">en ratones mostró incidencias </w:t>
      </w:r>
      <w:r w:rsidR="005C4515">
        <w:t xml:space="preserve">más altas de fisura palatina </w:t>
      </w:r>
      <w:r w:rsidR="005C4515" w:rsidRPr="000C5EAC">
        <w:t>en los f</w:t>
      </w:r>
      <w:r w:rsidR="005C4515">
        <w:t xml:space="preserve">etos y en las crías a exposiciones </w:t>
      </w:r>
      <w:r w:rsidR="005C4515" w:rsidRPr="005C4515">
        <w:t>similar</w:t>
      </w:r>
      <w:r w:rsidR="005C4515">
        <w:t xml:space="preserve">es a la exposición en seres humanos con la DMRH, que indican un efecto teratógeno de la </w:t>
      </w:r>
      <w:proofErr w:type="spellStart"/>
      <w:r w:rsidR="005C4515" w:rsidRPr="005C4515">
        <w:t>vamorolon</w:t>
      </w:r>
      <w:r w:rsidR="005C4515">
        <w:t>a</w:t>
      </w:r>
      <w:proofErr w:type="spellEnd"/>
      <w:r w:rsidR="005C4515" w:rsidRPr="005C4515">
        <w:t xml:space="preserve">. </w:t>
      </w:r>
      <w:r>
        <w:t xml:space="preserve">La </w:t>
      </w:r>
      <w:proofErr w:type="spellStart"/>
      <w:r>
        <w:t>vamorolona</w:t>
      </w:r>
      <w:proofErr w:type="spellEnd"/>
      <w:r>
        <w:t xml:space="preserve"> no afectó negativamente al desarrollo de espermatozoides y tejidos reproductivos en el estudio de toxicidad crónica en ratones. Tras la administración a largo plazo en perros, se observaron degeneraciones de espermatocitos/</w:t>
      </w:r>
      <w:proofErr w:type="spellStart"/>
      <w:r>
        <w:t>espermátides</w:t>
      </w:r>
      <w:proofErr w:type="spellEnd"/>
      <w:r>
        <w:t xml:space="preserve"> incompletamente reversibles en los testículos que produjeron </w:t>
      </w:r>
      <w:r>
        <w:lastRenderedPageBreak/>
        <w:t>oligospermia y restos de células germinales en los epidídimos. Además, las glándulas prostáticas se redujeron y contenían menos producto de secreción.</w:t>
      </w:r>
    </w:p>
    <w:p w14:paraId="5B0CB642" w14:textId="77777777" w:rsidR="006E3229" w:rsidRDefault="006E3229">
      <w:pPr>
        <w:spacing w:line="240" w:lineRule="auto"/>
        <w:rPr>
          <w:szCs w:val="22"/>
        </w:rPr>
      </w:pPr>
    </w:p>
    <w:p w14:paraId="11B8DFA4" w14:textId="77777777" w:rsidR="006E3229" w:rsidRDefault="00B43C9C">
      <w:pPr>
        <w:spacing w:line="240" w:lineRule="auto"/>
      </w:pPr>
      <w:r>
        <w:t xml:space="preserve">En las hembras, la administración continuada a largo plazo en perros produjo además una ausencia bilateral parcialmente reversible de </w:t>
      </w:r>
      <w:proofErr w:type="spellStart"/>
      <w:r>
        <w:rPr>
          <w:i/>
        </w:rPr>
        <w:t>corpora</w:t>
      </w:r>
      <w:proofErr w:type="spellEnd"/>
      <w:r>
        <w:rPr>
          <w:i/>
        </w:rPr>
        <w:t xml:space="preserve"> </w:t>
      </w:r>
      <w:proofErr w:type="spellStart"/>
      <w:r>
        <w:rPr>
          <w:i/>
        </w:rPr>
        <w:t>lutea</w:t>
      </w:r>
      <w:proofErr w:type="spellEnd"/>
      <w:r>
        <w:rPr>
          <w:i/>
        </w:rPr>
        <w:t xml:space="preserve"> </w:t>
      </w:r>
      <w:r>
        <w:t>en los ovarios. La inhibición de la fertilidad masculina y femenina es atribuible a la interferencia conocida del tratamiento a largo plazo con glucocorticoides con el eje hipotálamo-hipofisario-gonadal y se desarrolla sin un margen de seguridad basado en el AUC para los seres humanos en el DMRH.</w:t>
      </w:r>
    </w:p>
    <w:p w14:paraId="7C684C00" w14:textId="77777777" w:rsidR="006E3229" w:rsidRDefault="006E3229">
      <w:pPr>
        <w:jc w:val="both"/>
        <w:rPr>
          <w:szCs w:val="22"/>
        </w:rPr>
      </w:pPr>
    </w:p>
    <w:p w14:paraId="48388965" w14:textId="77777777" w:rsidR="006E3229" w:rsidRDefault="00B43C9C">
      <w:pPr>
        <w:keepNext/>
        <w:spacing w:line="240" w:lineRule="auto"/>
        <w:rPr>
          <w:u w:val="single"/>
        </w:rPr>
      </w:pPr>
      <w:r>
        <w:rPr>
          <w:u w:val="single"/>
        </w:rPr>
        <w:t>Toxicidad en animales juveniles</w:t>
      </w:r>
    </w:p>
    <w:p w14:paraId="3BFBC906" w14:textId="77777777" w:rsidR="006E3229" w:rsidRDefault="006E3229">
      <w:pPr>
        <w:keepNext/>
        <w:spacing w:line="240" w:lineRule="auto"/>
        <w:rPr>
          <w:szCs w:val="22"/>
        </w:rPr>
      </w:pPr>
    </w:p>
    <w:p w14:paraId="455BC325" w14:textId="77777777" w:rsidR="006E3229" w:rsidRDefault="00B43C9C">
      <w:pPr>
        <w:spacing w:line="240" w:lineRule="auto"/>
        <w:rPr>
          <w:szCs w:val="22"/>
        </w:rPr>
      </w:pPr>
      <w:r>
        <w:t xml:space="preserve">Los principales órganos diana de la </w:t>
      </w:r>
      <w:proofErr w:type="spellStart"/>
      <w:r>
        <w:t>vamorolona</w:t>
      </w:r>
      <w:proofErr w:type="spellEnd"/>
      <w:r>
        <w:t xml:space="preserve"> en ratones jóvenes machos y hembras se solapan con los de los ratones adultos, como la atrofia cortical suprarrenal y la degeneración/necrosis hepatocelular adversa relacionada con la </w:t>
      </w:r>
      <w:proofErr w:type="spellStart"/>
      <w:r>
        <w:t>vamorolona</w:t>
      </w:r>
      <w:proofErr w:type="spellEnd"/>
      <w:r>
        <w:t>.</w:t>
      </w:r>
    </w:p>
    <w:p w14:paraId="6C5A45B8" w14:textId="77777777" w:rsidR="006E3229" w:rsidRDefault="006E3229">
      <w:pPr>
        <w:spacing w:line="240" w:lineRule="auto"/>
        <w:rPr>
          <w:szCs w:val="22"/>
        </w:rPr>
      </w:pPr>
    </w:p>
    <w:p w14:paraId="5E319788" w14:textId="77777777" w:rsidR="006E3229" w:rsidRDefault="00B43C9C">
      <w:pPr>
        <w:spacing w:line="240" w:lineRule="auto"/>
      </w:pPr>
      <w:r>
        <w:t xml:space="preserve">Los efectos relacionados con la </w:t>
      </w:r>
      <w:proofErr w:type="spellStart"/>
      <w:r>
        <w:t>vamorolona</w:t>
      </w:r>
      <w:proofErr w:type="spellEnd"/>
      <w:r>
        <w:t xml:space="preserve"> observados exclusivamente en ratones jóvenes fueron reducciones no adversas de la tibia y la longitud corporal en animales machos y hembras y se atribuyeron a la inducción de crecimientos más lentos. Además, se detectó hipertrofia de células acinares de glándulas salivales mandibulares en hembras. Mientras que el retraso del crecimiento es un efecto bien conocido asociado al tratamiento con glucocorticoides de la población pediátrica, se desconoce la relevancia de los hallazgos de las glándulas salivales para dicha población. Al nivel sin efectos adversos observados (NOAEL) para la toxicidad general en ratones juveniles machos y hembras, no existe margen de seguridad con respecto a la exposición humana a la DMRH.</w:t>
      </w:r>
    </w:p>
    <w:p w14:paraId="2F8F27A1" w14:textId="77777777" w:rsidR="006E3229" w:rsidRDefault="006E3229">
      <w:pPr>
        <w:spacing w:line="240" w:lineRule="auto"/>
        <w:jc w:val="both"/>
      </w:pPr>
    </w:p>
    <w:p w14:paraId="21F0228F" w14:textId="77777777" w:rsidR="006E3229" w:rsidRDefault="006E3229">
      <w:pPr>
        <w:spacing w:line="240" w:lineRule="auto"/>
        <w:rPr>
          <w:szCs w:val="22"/>
        </w:rPr>
      </w:pPr>
    </w:p>
    <w:p w14:paraId="146A7DFA" w14:textId="77777777" w:rsidR="006E3229" w:rsidRPr="000C5EAC" w:rsidRDefault="00B43C9C">
      <w:pPr>
        <w:keepNext/>
        <w:suppressAutoHyphens/>
        <w:spacing w:line="240" w:lineRule="auto"/>
        <w:ind w:left="567" w:hanging="567"/>
        <w:rPr>
          <w:b/>
          <w:szCs w:val="22"/>
        </w:rPr>
      </w:pPr>
      <w:r w:rsidRPr="000C5EAC">
        <w:rPr>
          <w:rStyle w:val="DNEx2"/>
        </w:rPr>
        <w:t>6.</w:t>
      </w:r>
      <w:r w:rsidRPr="000C5EAC">
        <w:rPr>
          <w:rStyle w:val="DNEx2"/>
        </w:rPr>
        <w:tab/>
      </w:r>
      <w:r w:rsidRPr="000C5EAC">
        <w:rPr>
          <w:b/>
        </w:rPr>
        <w:t>DATOS FARMACÉUTICOS</w:t>
      </w:r>
    </w:p>
    <w:p w14:paraId="546F91DF" w14:textId="77777777" w:rsidR="006E3229" w:rsidRPr="000C5EAC" w:rsidRDefault="006E3229">
      <w:pPr>
        <w:keepNext/>
        <w:spacing w:line="240" w:lineRule="auto"/>
        <w:rPr>
          <w:szCs w:val="22"/>
        </w:rPr>
      </w:pPr>
    </w:p>
    <w:p w14:paraId="573BFEBD" w14:textId="77777777" w:rsidR="006E3229" w:rsidRPr="000C5EAC" w:rsidRDefault="00B43C9C">
      <w:pPr>
        <w:keepNext/>
        <w:spacing w:line="240" w:lineRule="auto"/>
        <w:ind w:left="567" w:hanging="567"/>
        <w:outlineLvl w:val="0"/>
        <w:rPr>
          <w:szCs w:val="22"/>
        </w:rPr>
      </w:pPr>
      <w:r w:rsidRPr="000C5EAC">
        <w:rPr>
          <w:rStyle w:val="DNEx2"/>
        </w:rPr>
        <w:t>6.1</w:t>
      </w:r>
      <w:r w:rsidRPr="000C5EAC">
        <w:rPr>
          <w:rStyle w:val="DNEx2"/>
        </w:rPr>
        <w:tab/>
      </w:r>
      <w:r w:rsidRPr="000C5EAC">
        <w:rPr>
          <w:b/>
        </w:rPr>
        <w:t>Lista de excipientes</w:t>
      </w:r>
    </w:p>
    <w:p w14:paraId="33A873A0" w14:textId="77777777" w:rsidR="006E3229" w:rsidRPr="000C5EAC" w:rsidRDefault="006E3229">
      <w:pPr>
        <w:keepNext/>
        <w:spacing w:line="240" w:lineRule="auto"/>
        <w:rPr>
          <w:i/>
          <w:szCs w:val="22"/>
        </w:rPr>
      </w:pPr>
    </w:p>
    <w:p w14:paraId="6068883B" w14:textId="77777777" w:rsidR="006E3229" w:rsidRPr="000C5EAC" w:rsidRDefault="00B43C9C">
      <w:pPr>
        <w:spacing w:line="240" w:lineRule="auto"/>
      </w:pPr>
      <w:r w:rsidRPr="000C5EAC">
        <w:t>Ácido cítrico (monohidratado) (E 330)</w:t>
      </w:r>
    </w:p>
    <w:p w14:paraId="253F27BC" w14:textId="77777777" w:rsidR="006E3229" w:rsidRPr="000C5EAC" w:rsidRDefault="00B43C9C">
      <w:pPr>
        <w:spacing w:line="240" w:lineRule="auto"/>
      </w:pPr>
      <w:r w:rsidRPr="000C5EAC">
        <w:t>Fosfato disódico (E 339)</w:t>
      </w:r>
    </w:p>
    <w:p w14:paraId="02E42B25" w14:textId="77777777" w:rsidR="006E3229" w:rsidRPr="003D46BA" w:rsidRDefault="00B43C9C">
      <w:pPr>
        <w:spacing w:line="240" w:lineRule="auto"/>
        <w:rPr>
          <w:lang w:val="pt-BR"/>
        </w:rPr>
      </w:pPr>
      <w:r w:rsidRPr="003D46BA">
        <w:rPr>
          <w:lang w:val="pt-BR"/>
        </w:rPr>
        <w:t>Glicerol (E 422)</w:t>
      </w:r>
    </w:p>
    <w:p w14:paraId="0657E7BD" w14:textId="77777777" w:rsidR="006E3229" w:rsidRPr="003D46BA" w:rsidRDefault="00B43C9C">
      <w:pPr>
        <w:spacing w:line="240" w:lineRule="auto"/>
        <w:rPr>
          <w:lang w:val="pt-BR"/>
        </w:rPr>
      </w:pPr>
      <w:r w:rsidRPr="003D46BA">
        <w:rPr>
          <w:lang w:val="pt-BR"/>
        </w:rPr>
        <w:t>Aroma de naranja</w:t>
      </w:r>
    </w:p>
    <w:p w14:paraId="7561E11A" w14:textId="77777777" w:rsidR="006E3229" w:rsidRPr="003D46BA" w:rsidRDefault="00B43C9C">
      <w:pPr>
        <w:spacing w:line="240" w:lineRule="auto"/>
        <w:rPr>
          <w:lang w:val="pt-BR"/>
        </w:rPr>
      </w:pPr>
      <w:r w:rsidRPr="003D46BA">
        <w:rPr>
          <w:lang w:val="pt-BR"/>
        </w:rPr>
        <w:t>Agua purificada</w:t>
      </w:r>
    </w:p>
    <w:p w14:paraId="4705900E" w14:textId="77777777" w:rsidR="006E3229" w:rsidRPr="003D46BA" w:rsidRDefault="00B43C9C">
      <w:pPr>
        <w:spacing w:line="240" w:lineRule="auto"/>
        <w:rPr>
          <w:lang w:val="pt-BR"/>
        </w:rPr>
      </w:pPr>
      <w:r w:rsidRPr="003D46BA">
        <w:rPr>
          <w:lang w:val="pt-BR"/>
        </w:rPr>
        <w:t>Benzoato de sodio (E 211)</w:t>
      </w:r>
    </w:p>
    <w:p w14:paraId="3B74501D" w14:textId="77777777" w:rsidR="006E3229" w:rsidRPr="003D46BA" w:rsidRDefault="00B43C9C">
      <w:pPr>
        <w:spacing w:line="240" w:lineRule="auto"/>
        <w:rPr>
          <w:lang w:val="pt-BR"/>
        </w:rPr>
      </w:pPr>
      <w:r w:rsidRPr="003D46BA">
        <w:rPr>
          <w:lang w:val="pt-BR"/>
        </w:rPr>
        <w:t>Sucralosa (E 955)</w:t>
      </w:r>
    </w:p>
    <w:p w14:paraId="78323901" w14:textId="77777777" w:rsidR="006E3229" w:rsidRPr="003D46BA" w:rsidRDefault="00B43C9C">
      <w:pPr>
        <w:spacing w:line="240" w:lineRule="auto"/>
        <w:rPr>
          <w:lang w:val="pt-BR"/>
        </w:rPr>
      </w:pPr>
      <w:r w:rsidRPr="003D46BA">
        <w:rPr>
          <w:lang w:val="pt-BR"/>
        </w:rPr>
        <w:t>Goma xantana (E 415)</w:t>
      </w:r>
    </w:p>
    <w:p w14:paraId="39C1DEB7" w14:textId="77777777" w:rsidR="006E3229" w:rsidRPr="003D46BA" w:rsidRDefault="00B43C9C">
      <w:pPr>
        <w:spacing w:line="240" w:lineRule="auto"/>
        <w:rPr>
          <w:lang w:val="pt-BR"/>
        </w:rPr>
      </w:pPr>
      <w:r w:rsidRPr="003D46BA">
        <w:rPr>
          <w:lang w:val="pt-BR"/>
        </w:rPr>
        <w:t>Ácido clorhídrico (para ajustar el pH)</w:t>
      </w:r>
    </w:p>
    <w:p w14:paraId="5D89D5FD" w14:textId="77777777" w:rsidR="006E3229" w:rsidRPr="003D46BA" w:rsidRDefault="006E3229">
      <w:pPr>
        <w:spacing w:line="240" w:lineRule="auto"/>
        <w:rPr>
          <w:lang w:val="pt-BR"/>
        </w:rPr>
      </w:pPr>
    </w:p>
    <w:p w14:paraId="0BE33E01" w14:textId="77777777" w:rsidR="006E3229" w:rsidRDefault="00B43C9C">
      <w:pPr>
        <w:keepNext/>
        <w:spacing w:line="240" w:lineRule="auto"/>
        <w:ind w:left="567" w:hanging="567"/>
        <w:outlineLvl w:val="0"/>
        <w:rPr>
          <w:szCs w:val="22"/>
        </w:rPr>
      </w:pPr>
      <w:r>
        <w:rPr>
          <w:rStyle w:val="DNEx2"/>
        </w:rPr>
        <w:t>6.2</w:t>
      </w:r>
      <w:r>
        <w:rPr>
          <w:rStyle w:val="DNEx2"/>
        </w:rPr>
        <w:tab/>
      </w:r>
      <w:r>
        <w:rPr>
          <w:b/>
        </w:rPr>
        <w:t>Incompatibilidades</w:t>
      </w:r>
    </w:p>
    <w:p w14:paraId="27CE5FD7" w14:textId="77777777" w:rsidR="006E3229" w:rsidRDefault="006E3229">
      <w:pPr>
        <w:keepNext/>
        <w:spacing w:line="240" w:lineRule="auto"/>
        <w:rPr>
          <w:szCs w:val="22"/>
        </w:rPr>
      </w:pPr>
    </w:p>
    <w:p w14:paraId="333F8CC7" w14:textId="77777777" w:rsidR="006E3229" w:rsidRDefault="00B43C9C">
      <w:pPr>
        <w:spacing w:line="240" w:lineRule="auto"/>
        <w:rPr>
          <w:szCs w:val="22"/>
        </w:rPr>
      </w:pPr>
      <w:r>
        <w:t>No procede.</w:t>
      </w:r>
    </w:p>
    <w:p w14:paraId="280887AF" w14:textId="77777777" w:rsidR="006E3229" w:rsidRDefault="006E3229">
      <w:pPr>
        <w:spacing w:line="240" w:lineRule="auto"/>
        <w:rPr>
          <w:szCs w:val="22"/>
        </w:rPr>
      </w:pPr>
    </w:p>
    <w:p w14:paraId="6A4A12CC" w14:textId="77777777" w:rsidR="006E3229" w:rsidRDefault="00B43C9C">
      <w:pPr>
        <w:keepNext/>
        <w:spacing w:line="240" w:lineRule="auto"/>
        <w:ind w:left="567" w:hanging="567"/>
        <w:outlineLvl w:val="0"/>
        <w:rPr>
          <w:szCs w:val="22"/>
        </w:rPr>
      </w:pPr>
      <w:r>
        <w:rPr>
          <w:rStyle w:val="DNEx2"/>
        </w:rPr>
        <w:t>6.3</w:t>
      </w:r>
      <w:r>
        <w:rPr>
          <w:rStyle w:val="DNEx2"/>
        </w:rPr>
        <w:tab/>
      </w:r>
      <w:r>
        <w:rPr>
          <w:b/>
        </w:rPr>
        <w:t>Periodo de validez</w:t>
      </w:r>
    </w:p>
    <w:p w14:paraId="36C00E3A" w14:textId="77777777" w:rsidR="006E3229" w:rsidRDefault="006E3229">
      <w:pPr>
        <w:keepNext/>
        <w:spacing w:line="240" w:lineRule="auto"/>
        <w:rPr>
          <w:szCs w:val="22"/>
        </w:rPr>
      </w:pPr>
    </w:p>
    <w:p w14:paraId="00EE930D" w14:textId="77777777" w:rsidR="006E3229" w:rsidRDefault="00B43C9C">
      <w:pPr>
        <w:keepNext/>
        <w:spacing w:line="240" w:lineRule="auto"/>
        <w:rPr>
          <w:u w:val="single"/>
        </w:rPr>
      </w:pPr>
      <w:r>
        <w:rPr>
          <w:u w:val="single"/>
        </w:rPr>
        <w:t>Antes de la apertura</w:t>
      </w:r>
    </w:p>
    <w:p w14:paraId="5B8C143E" w14:textId="77777777" w:rsidR="006E3229" w:rsidRDefault="006E3229">
      <w:pPr>
        <w:spacing w:line="240" w:lineRule="auto"/>
        <w:rPr>
          <w:u w:val="single"/>
        </w:rPr>
      </w:pPr>
    </w:p>
    <w:p w14:paraId="27F1630C" w14:textId="77777777" w:rsidR="006E3229" w:rsidRDefault="00B43C9C">
      <w:pPr>
        <w:spacing w:line="240" w:lineRule="auto"/>
      </w:pPr>
      <w:r>
        <w:t>3 años.</w:t>
      </w:r>
    </w:p>
    <w:p w14:paraId="72717E1A" w14:textId="77777777" w:rsidR="006E3229" w:rsidRDefault="006E3229">
      <w:pPr>
        <w:spacing w:line="240" w:lineRule="auto"/>
      </w:pPr>
    </w:p>
    <w:p w14:paraId="06FF94E0" w14:textId="77777777" w:rsidR="006E3229" w:rsidRDefault="00B43C9C">
      <w:pPr>
        <w:keepNext/>
        <w:spacing w:line="240" w:lineRule="auto"/>
        <w:rPr>
          <w:u w:val="single"/>
        </w:rPr>
      </w:pPr>
      <w:r>
        <w:rPr>
          <w:u w:val="single"/>
        </w:rPr>
        <w:t>Una vez abierto</w:t>
      </w:r>
    </w:p>
    <w:p w14:paraId="15FEF85F" w14:textId="77777777" w:rsidR="006E3229" w:rsidRDefault="006E3229">
      <w:pPr>
        <w:keepNext/>
        <w:spacing w:line="240" w:lineRule="auto"/>
      </w:pPr>
    </w:p>
    <w:p w14:paraId="718B0151" w14:textId="77777777" w:rsidR="006E3229" w:rsidRDefault="00B43C9C">
      <w:pPr>
        <w:spacing w:line="240" w:lineRule="auto"/>
      </w:pPr>
      <w:r>
        <w:t>3 meses.</w:t>
      </w:r>
    </w:p>
    <w:p w14:paraId="7CBE7217" w14:textId="77777777" w:rsidR="006E3229" w:rsidRDefault="00B43C9C">
      <w:pPr>
        <w:spacing w:line="240" w:lineRule="auto"/>
      </w:pPr>
      <w:r>
        <w:t>Conservar en nevera (entre 2 °C y 8 °C) en posición vertical.</w:t>
      </w:r>
    </w:p>
    <w:p w14:paraId="312BCB53" w14:textId="77777777" w:rsidR="006E3229" w:rsidRDefault="006E3229">
      <w:pPr>
        <w:spacing w:line="240" w:lineRule="auto"/>
      </w:pPr>
    </w:p>
    <w:p w14:paraId="78240970" w14:textId="77777777" w:rsidR="006E3229" w:rsidRDefault="00B43C9C">
      <w:pPr>
        <w:keepNext/>
        <w:spacing w:line="240" w:lineRule="auto"/>
        <w:ind w:left="567" w:hanging="567"/>
        <w:outlineLvl w:val="0"/>
        <w:rPr>
          <w:b/>
          <w:szCs w:val="22"/>
        </w:rPr>
      </w:pPr>
      <w:r>
        <w:rPr>
          <w:rStyle w:val="DNEx2"/>
        </w:rPr>
        <w:t>6.4</w:t>
      </w:r>
      <w:r>
        <w:rPr>
          <w:rStyle w:val="DNEx2"/>
        </w:rPr>
        <w:tab/>
      </w:r>
      <w:r>
        <w:rPr>
          <w:b/>
        </w:rPr>
        <w:t>Precauciones especiales de conservación</w:t>
      </w:r>
    </w:p>
    <w:p w14:paraId="198B092C" w14:textId="77777777" w:rsidR="006E3229" w:rsidRDefault="006E3229">
      <w:pPr>
        <w:keepNext/>
        <w:spacing w:line="240" w:lineRule="auto"/>
        <w:rPr>
          <w:szCs w:val="22"/>
        </w:rPr>
      </w:pPr>
    </w:p>
    <w:p w14:paraId="05EB9DA7" w14:textId="77777777" w:rsidR="006E3229" w:rsidRDefault="00B43C9C">
      <w:pPr>
        <w:spacing w:line="240" w:lineRule="auto"/>
      </w:pPr>
      <w:r>
        <w:t>Este medicamento no requiere ninguna temperatura especial de conservación.</w:t>
      </w:r>
    </w:p>
    <w:p w14:paraId="3B0BB9C7" w14:textId="77777777" w:rsidR="006E3229" w:rsidRDefault="006E3229">
      <w:pPr>
        <w:spacing w:line="240" w:lineRule="auto"/>
      </w:pPr>
    </w:p>
    <w:p w14:paraId="4BE2E447" w14:textId="77777777" w:rsidR="006E3229" w:rsidRDefault="00B43C9C">
      <w:pPr>
        <w:spacing w:line="240" w:lineRule="auto"/>
      </w:pPr>
      <w:r>
        <w:t>Para las condiciones de conservación tras la primera apertura del medicamento, ver sección 6.3.</w:t>
      </w:r>
    </w:p>
    <w:p w14:paraId="5A5C6197" w14:textId="77777777" w:rsidR="006E3229" w:rsidRDefault="006E3229">
      <w:pPr>
        <w:spacing w:line="240" w:lineRule="auto"/>
        <w:rPr>
          <w:szCs w:val="22"/>
        </w:rPr>
      </w:pPr>
    </w:p>
    <w:p w14:paraId="2518C9FB" w14:textId="77777777" w:rsidR="006E3229" w:rsidRDefault="00B43C9C">
      <w:pPr>
        <w:keepNext/>
        <w:spacing w:line="240" w:lineRule="auto"/>
        <w:ind w:left="567" w:hanging="567"/>
        <w:outlineLvl w:val="0"/>
        <w:rPr>
          <w:b/>
          <w:bCs/>
        </w:rPr>
      </w:pPr>
      <w:r>
        <w:rPr>
          <w:rStyle w:val="DNEx2"/>
        </w:rPr>
        <w:t>6.5</w:t>
      </w:r>
      <w:r>
        <w:rPr>
          <w:rStyle w:val="DNEx2"/>
        </w:rPr>
        <w:tab/>
      </w:r>
      <w:r>
        <w:rPr>
          <w:b/>
        </w:rPr>
        <w:t>Naturaleza y contenido del envase</w:t>
      </w:r>
    </w:p>
    <w:p w14:paraId="430959C8" w14:textId="77777777" w:rsidR="006E3229" w:rsidRDefault="006E3229">
      <w:pPr>
        <w:pStyle w:val="Default"/>
        <w:keepNext/>
        <w:rPr>
          <w:sz w:val="22"/>
          <w:szCs w:val="22"/>
        </w:rPr>
      </w:pPr>
    </w:p>
    <w:p w14:paraId="58C61EF4" w14:textId="77777777" w:rsidR="006E3229" w:rsidRDefault="00B43C9C">
      <w:pPr>
        <w:spacing w:line="240" w:lineRule="auto"/>
      </w:pPr>
      <w:r>
        <w:t>Frasco de vidrio de color ámbar que contiene 100 ml de suspensión oral con un tapón de polipropileno, a prueba de manipulaciones, a prueba de niños y con un revestimiento de polietileno de baja densidad.</w:t>
      </w:r>
    </w:p>
    <w:p w14:paraId="439E538D" w14:textId="77777777" w:rsidR="006E3229" w:rsidRDefault="006E3229">
      <w:pPr>
        <w:spacing w:line="240" w:lineRule="auto"/>
        <w:rPr>
          <w:szCs w:val="22"/>
        </w:rPr>
      </w:pPr>
    </w:p>
    <w:p w14:paraId="2BF82B0E" w14:textId="77777777" w:rsidR="006E3229" w:rsidRDefault="00B43C9C">
      <w:pPr>
        <w:spacing w:line="240" w:lineRule="auto"/>
      </w:pPr>
      <w:r>
        <w:t>Cada envase contiene un frasco, un adaptador de frasco a presión (polietileno de baja densidad) y dos jeringas orales idénticas (polietileno de baja densidad) graduadas de 0 a 8 ml con incrementos de 0,1 ml.</w:t>
      </w:r>
    </w:p>
    <w:p w14:paraId="6A9881F7" w14:textId="77777777" w:rsidR="006E3229" w:rsidRDefault="006E3229">
      <w:pPr>
        <w:spacing w:line="240" w:lineRule="auto"/>
        <w:rPr>
          <w:szCs w:val="22"/>
        </w:rPr>
      </w:pPr>
    </w:p>
    <w:p w14:paraId="77BEBE50" w14:textId="77777777" w:rsidR="006E3229" w:rsidRDefault="00B43C9C">
      <w:pPr>
        <w:keepNext/>
        <w:spacing w:line="240" w:lineRule="auto"/>
        <w:ind w:left="567" w:hanging="567"/>
        <w:outlineLvl w:val="0"/>
      </w:pPr>
      <w:bookmarkStart w:id="16" w:name="OLE_LINK1"/>
      <w:r>
        <w:rPr>
          <w:rStyle w:val="DNEx2"/>
        </w:rPr>
        <w:t>6.6</w:t>
      </w:r>
      <w:r>
        <w:rPr>
          <w:rStyle w:val="DNEx2"/>
        </w:rPr>
        <w:tab/>
      </w:r>
      <w:r>
        <w:rPr>
          <w:b/>
        </w:rPr>
        <w:t>Precauciones especiales de eliminación y otras manipulaciones</w:t>
      </w:r>
    </w:p>
    <w:p w14:paraId="6B97FE3E" w14:textId="77777777" w:rsidR="006E3229" w:rsidRDefault="006E3229">
      <w:pPr>
        <w:keepNext/>
        <w:spacing w:line="240" w:lineRule="auto"/>
        <w:rPr>
          <w:szCs w:val="22"/>
        </w:rPr>
      </w:pPr>
    </w:p>
    <w:p w14:paraId="4101820A" w14:textId="77777777" w:rsidR="006E3229" w:rsidRDefault="00B43C9C">
      <w:pPr>
        <w:spacing w:line="240" w:lineRule="auto"/>
      </w:pPr>
      <w:r>
        <w:t>La eliminación del medicamento no utilizado y de todos los materiales que hayan estado en contacto con él se realizará de acuerdo con la normativa local.</w:t>
      </w:r>
    </w:p>
    <w:p w14:paraId="71E69AAA" w14:textId="77777777" w:rsidR="006E3229" w:rsidRDefault="006E3229">
      <w:pPr>
        <w:spacing w:line="240" w:lineRule="auto"/>
      </w:pPr>
    </w:p>
    <w:p w14:paraId="36C84E37" w14:textId="77777777" w:rsidR="006E3229" w:rsidRDefault="00B43C9C">
      <w:pPr>
        <w:spacing w:line="240" w:lineRule="auto"/>
      </w:pPr>
      <w:r>
        <w:t>Cada jeringa de uso oral suministrada con AGAMREE puede utilizarse durante un máximo de 45 días.</w:t>
      </w:r>
    </w:p>
    <w:p w14:paraId="3D6D6188" w14:textId="77777777" w:rsidR="006E3229" w:rsidRDefault="006E3229">
      <w:pPr>
        <w:spacing w:line="240" w:lineRule="auto"/>
      </w:pPr>
    </w:p>
    <w:bookmarkEnd w:id="16"/>
    <w:p w14:paraId="395E5423" w14:textId="77777777" w:rsidR="0054690D" w:rsidRDefault="0054690D" w:rsidP="0054690D">
      <w:pPr>
        <w:keepNext/>
        <w:keepLines/>
        <w:spacing w:line="240" w:lineRule="auto"/>
        <w:rPr>
          <w:u w:val="single"/>
        </w:rPr>
      </w:pPr>
      <w:r>
        <w:rPr>
          <w:u w:val="single"/>
        </w:rPr>
        <w:t xml:space="preserve">Uso con una sonda de alimentación enteral: </w:t>
      </w:r>
    </w:p>
    <w:p w14:paraId="72CE91FC" w14:textId="7E50A361" w:rsidR="0054690D" w:rsidRDefault="0054690D" w:rsidP="0054690D">
      <w:pPr>
        <w:spacing w:line="240" w:lineRule="auto"/>
      </w:pPr>
      <w:r>
        <w:t xml:space="preserve">AGAMREE </w:t>
      </w:r>
      <w:r w:rsidR="009C4F81">
        <w:t xml:space="preserve">se </w:t>
      </w:r>
      <w:r>
        <w:t>puede administrar a través de una sonda de alimentación enteral (12 – 24 F</w:t>
      </w:r>
      <w:r w:rsidR="00A9458E">
        <w:t>r</w:t>
      </w:r>
      <w:r>
        <w:t>) sin modificación o dilución de la dosis prescrita habitual. AGAMREE no</w:t>
      </w:r>
      <w:r w:rsidR="009C4F81">
        <w:t xml:space="preserve"> se</w:t>
      </w:r>
      <w:r>
        <w:t xml:space="preserve"> debe mezclar con la fórmula de alimentación enteral u otros productos. La sonda de alimentación enteral</w:t>
      </w:r>
      <w:r w:rsidR="009C4F81">
        <w:t xml:space="preserve"> se</w:t>
      </w:r>
      <w:r>
        <w:t xml:space="preserve"> debe enjuagar con un mínimo de 20 ml de agua antes y después de la administración de AGAMREE.</w:t>
      </w:r>
    </w:p>
    <w:p w14:paraId="1577EA29" w14:textId="77777777" w:rsidR="0054690D" w:rsidRDefault="0054690D">
      <w:pPr>
        <w:keepNext/>
        <w:keepLines/>
        <w:spacing w:line="240" w:lineRule="auto"/>
        <w:rPr>
          <w:u w:val="single"/>
        </w:rPr>
      </w:pPr>
    </w:p>
    <w:p w14:paraId="464F0F73" w14:textId="77777777" w:rsidR="006E3229" w:rsidRDefault="006E3229">
      <w:pPr>
        <w:spacing w:line="240" w:lineRule="auto"/>
      </w:pPr>
    </w:p>
    <w:p w14:paraId="62107CA0" w14:textId="77777777" w:rsidR="006E3229" w:rsidRDefault="00B43C9C">
      <w:pPr>
        <w:keepNext/>
        <w:spacing w:line="240" w:lineRule="auto"/>
        <w:ind w:left="567" w:hanging="567"/>
      </w:pPr>
      <w:r>
        <w:rPr>
          <w:rStyle w:val="DNEx2"/>
        </w:rPr>
        <w:t>7.</w:t>
      </w:r>
      <w:r>
        <w:rPr>
          <w:rStyle w:val="DNEx2"/>
        </w:rPr>
        <w:tab/>
      </w:r>
      <w:r>
        <w:rPr>
          <w:b/>
        </w:rPr>
        <w:t>TITULAR DE LA AUTORIZACIÓN DE COMERCIALIZACIÓN</w:t>
      </w:r>
    </w:p>
    <w:p w14:paraId="2D89FBC4" w14:textId="77777777" w:rsidR="006E3229" w:rsidRDefault="006E3229">
      <w:pPr>
        <w:keepNext/>
        <w:spacing w:line="240" w:lineRule="auto"/>
        <w:rPr>
          <w:szCs w:val="22"/>
        </w:rPr>
      </w:pPr>
    </w:p>
    <w:p w14:paraId="218C486D" w14:textId="77777777" w:rsidR="006E3229" w:rsidRPr="009624C6" w:rsidRDefault="00B43C9C">
      <w:pPr>
        <w:keepNext/>
        <w:spacing w:line="240" w:lineRule="auto"/>
        <w:rPr>
          <w:szCs w:val="22"/>
          <w:lang w:val="de-DE"/>
        </w:rPr>
      </w:pPr>
      <w:r w:rsidRPr="009624C6">
        <w:rPr>
          <w:lang w:val="de-DE"/>
        </w:rPr>
        <w:t>Santhera Pharmaceuticals (Deutschland) GmbH</w:t>
      </w:r>
    </w:p>
    <w:p w14:paraId="1DC3363F" w14:textId="77777777" w:rsidR="006E3229" w:rsidRPr="009624C6" w:rsidRDefault="00B43C9C">
      <w:pPr>
        <w:keepNext/>
        <w:spacing w:line="240" w:lineRule="auto"/>
        <w:rPr>
          <w:szCs w:val="22"/>
          <w:lang w:val="de-DE"/>
        </w:rPr>
      </w:pPr>
      <w:r w:rsidRPr="009624C6">
        <w:rPr>
          <w:lang w:val="de-DE"/>
        </w:rPr>
        <w:t>Marie-Curie Strasse 8</w:t>
      </w:r>
    </w:p>
    <w:p w14:paraId="6504CEA6" w14:textId="77777777" w:rsidR="006E3229" w:rsidRPr="009624C6" w:rsidRDefault="00B43C9C">
      <w:pPr>
        <w:keepNext/>
        <w:spacing w:line="240" w:lineRule="auto"/>
        <w:rPr>
          <w:szCs w:val="22"/>
          <w:lang w:val="de-DE"/>
        </w:rPr>
      </w:pPr>
      <w:r w:rsidRPr="009624C6">
        <w:rPr>
          <w:lang w:val="de-DE"/>
        </w:rPr>
        <w:t>D-79539 Lörrach</w:t>
      </w:r>
    </w:p>
    <w:p w14:paraId="0478A640" w14:textId="77777777" w:rsidR="006E3229" w:rsidRPr="003D46BA" w:rsidRDefault="00B43C9C">
      <w:pPr>
        <w:keepNext/>
        <w:spacing w:line="240" w:lineRule="auto"/>
        <w:rPr>
          <w:szCs w:val="22"/>
          <w:lang w:val="de-DE"/>
        </w:rPr>
      </w:pPr>
      <w:r w:rsidRPr="003D46BA">
        <w:rPr>
          <w:lang w:val="de-DE"/>
        </w:rPr>
        <w:t>ALEMANIA</w:t>
      </w:r>
    </w:p>
    <w:p w14:paraId="238EA6F7" w14:textId="77777777" w:rsidR="006E3229" w:rsidRPr="003D46BA" w:rsidRDefault="006E3229">
      <w:pPr>
        <w:pStyle w:val="DNEx5"/>
        <w:rPr>
          <w:lang w:val="de-DE"/>
        </w:rPr>
      </w:pPr>
      <w:hyperlink r:id="rId11" w:history="1">
        <w:r w:rsidRPr="003D46BA">
          <w:rPr>
            <w:rStyle w:val="Hyperlink"/>
            <w:lang w:val="de-DE"/>
          </w:rPr>
          <w:t>office@santhera.com</w:t>
        </w:r>
      </w:hyperlink>
    </w:p>
    <w:p w14:paraId="32A810AC" w14:textId="77777777" w:rsidR="006E3229" w:rsidRPr="003D46BA" w:rsidRDefault="006E3229">
      <w:pPr>
        <w:spacing w:line="240" w:lineRule="auto"/>
        <w:rPr>
          <w:szCs w:val="22"/>
          <w:lang w:val="de-DE"/>
        </w:rPr>
      </w:pPr>
    </w:p>
    <w:p w14:paraId="74946023" w14:textId="77777777" w:rsidR="006E3229" w:rsidRPr="003D46BA" w:rsidRDefault="006E3229">
      <w:pPr>
        <w:spacing w:line="240" w:lineRule="auto"/>
        <w:rPr>
          <w:szCs w:val="22"/>
          <w:lang w:val="de-DE"/>
        </w:rPr>
      </w:pPr>
    </w:p>
    <w:p w14:paraId="7B390DC1" w14:textId="77777777" w:rsidR="006E3229" w:rsidRDefault="00B43C9C">
      <w:pPr>
        <w:keepNext/>
        <w:spacing w:line="240" w:lineRule="auto"/>
        <w:ind w:left="567" w:hanging="567"/>
        <w:rPr>
          <w:b/>
          <w:szCs w:val="22"/>
        </w:rPr>
      </w:pPr>
      <w:r>
        <w:rPr>
          <w:rStyle w:val="DNEx2"/>
        </w:rPr>
        <w:t>8.</w:t>
      </w:r>
      <w:r>
        <w:rPr>
          <w:rStyle w:val="DNEx2"/>
        </w:rPr>
        <w:tab/>
      </w:r>
      <w:r>
        <w:rPr>
          <w:b/>
        </w:rPr>
        <w:t>NÚMERO(S) DE AUTORIZACIÓN DE COMERCIALIZACIÓN</w:t>
      </w:r>
    </w:p>
    <w:p w14:paraId="56D1ACCF" w14:textId="77777777" w:rsidR="006E3229" w:rsidRDefault="006E3229">
      <w:pPr>
        <w:keepNext/>
        <w:spacing w:line="240" w:lineRule="auto"/>
        <w:rPr>
          <w:szCs w:val="22"/>
        </w:rPr>
      </w:pPr>
    </w:p>
    <w:p w14:paraId="44DF593D" w14:textId="77777777" w:rsidR="006E3229" w:rsidRDefault="00B43C9C">
      <w:pPr>
        <w:spacing w:line="240" w:lineRule="auto"/>
        <w:rPr>
          <w:szCs w:val="22"/>
        </w:rPr>
      </w:pPr>
      <w:r>
        <w:t>EU/1/23/1776/001</w:t>
      </w:r>
    </w:p>
    <w:p w14:paraId="476F6369" w14:textId="77777777" w:rsidR="006E3229" w:rsidRDefault="006E3229">
      <w:pPr>
        <w:spacing w:line="240" w:lineRule="auto"/>
        <w:rPr>
          <w:szCs w:val="22"/>
        </w:rPr>
      </w:pPr>
    </w:p>
    <w:p w14:paraId="17457C5A" w14:textId="77777777" w:rsidR="006E3229" w:rsidRDefault="006E3229">
      <w:pPr>
        <w:spacing w:line="240" w:lineRule="auto"/>
        <w:rPr>
          <w:szCs w:val="22"/>
        </w:rPr>
      </w:pPr>
    </w:p>
    <w:p w14:paraId="5FC04DED" w14:textId="77777777" w:rsidR="006E3229" w:rsidRDefault="00B43C9C">
      <w:pPr>
        <w:keepNext/>
        <w:spacing w:line="240" w:lineRule="auto"/>
        <w:ind w:left="567" w:hanging="567"/>
        <w:rPr>
          <w:szCs w:val="22"/>
        </w:rPr>
      </w:pPr>
      <w:r>
        <w:rPr>
          <w:rStyle w:val="DNEx2"/>
        </w:rPr>
        <w:t>9.</w:t>
      </w:r>
      <w:r>
        <w:rPr>
          <w:rStyle w:val="DNEx2"/>
        </w:rPr>
        <w:tab/>
      </w:r>
      <w:r>
        <w:rPr>
          <w:b/>
        </w:rPr>
        <w:t>FECHA DE LA PRIMERA AUTORIZACIÓN/RENOVACIÓN DE LA AUTORIZACIÓN</w:t>
      </w:r>
    </w:p>
    <w:p w14:paraId="6F7A7701" w14:textId="77777777" w:rsidR="006E3229" w:rsidRDefault="006E3229">
      <w:pPr>
        <w:keepNext/>
        <w:spacing w:line="240" w:lineRule="auto"/>
        <w:rPr>
          <w:i/>
          <w:szCs w:val="22"/>
        </w:rPr>
      </w:pPr>
    </w:p>
    <w:p w14:paraId="48344F82" w14:textId="77777777" w:rsidR="006E3229" w:rsidRDefault="00B43C9C">
      <w:pPr>
        <w:spacing w:line="240" w:lineRule="auto"/>
        <w:rPr>
          <w:szCs w:val="22"/>
        </w:rPr>
      </w:pPr>
      <w:r>
        <w:t>Fecha de la primera autorización: 14/diciembre/2023</w:t>
      </w:r>
    </w:p>
    <w:p w14:paraId="19DB08AB" w14:textId="77777777" w:rsidR="006E3229" w:rsidRDefault="006E3229">
      <w:pPr>
        <w:spacing w:line="240" w:lineRule="auto"/>
        <w:rPr>
          <w:szCs w:val="22"/>
        </w:rPr>
      </w:pPr>
    </w:p>
    <w:p w14:paraId="02E844D1" w14:textId="77777777" w:rsidR="006E3229" w:rsidRDefault="006E3229">
      <w:pPr>
        <w:spacing w:line="240" w:lineRule="auto"/>
        <w:rPr>
          <w:szCs w:val="22"/>
        </w:rPr>
      </w:pPr>
    </w:p>
    <w:p w14:paraId="23A4BE59" w14:textId="77777777" w:rsidR="006E3229" w:rsidRDefault="00B43C9C">
      <w:pPr>
        <w:keepNext/>
        <w:spacing w:line="240" w:lineRule="auto"/>
        <w:ind w:left="567" w:hanging="567"/>
        <w:rPr>
          <w:b/>
          <w:szCs w:val="22"/>
        </w:rPr>
      </w:pPr>
      <w:r>
        <w:rPr>
          <w:rStyle w:val="DNEx2"/>
        </w:rPr>
        <w:t>10.</w:t>
      </w:r>
      <w:r>
        <w:rPr>
          <w:rStyle w:val="DNEx2"/>
        </w:rPr>
        <w:tab/>
      </w:r>
      <w:r>
        <w:rPr>
          <w:b/>
        </w:rPr>
        <w:t>FECHA DE LA REVISIÓN DEL TEXTO</w:t>
      </w:r>
    </w:p>
    <w:p w14:paraId="02272D90" w14:textId="77777777" w:rsidR="006E3229" w:rsidRDefault="006E3229">
      <w:pPr>
        <w:keepNext/>
        <w:numPr>
          <w:ilvl w:val="12"/>
          <w:numId w:val="0"/>
        </w:numPr>
        <w:spacing w:line="240" w:lineRule="auto"/>
        <w:ind w:right="-2"/>
        <w:rPr>
          <w:iCs/>
          <w:szCs w:val="22"/>
        </w:rPr>
      </w:pPr>
    </w:p>
    <w:p w14:paraId="3A41784B" w14:textId="77777777" w:rsidR="006E3229" w:rsidRDefault="006E3229">
      <w:pPr>
        <w:keepNext/>
        <w:numPr>
          <w:ilvl w:val="12"/>
          <w:numId w:val="0"/>
        </w:numPr>
        <w:spacing w:line="240" w:lineRule="auto"/>
        <w:ind w:right="-2"/>
        <w:rPr>
          <w:iCs/>
          <w:szCs w:val="22"/>
        </w:rPr>
      </w:pPr>
    </w:p>
    <w:p w14:paraId="7CB0B693" w14:textId="77777777" w:rsidR="006E3229" w:rsidRDefault="00B43C9C">
      <w:pPr>
        <w:numPr>
          <w:ilvl w:val="12"/>
          <w:numId w:val="0"/>
        </w:numPr>
        <w:spacing w:line="240" w:lineRule="auto"/>
        <w:ind w:right="-2"/>
        <w:rPr>
          <w:szCs w:val="22"/>
        </w:rPr>
      </w:pPr>
      <w:r>
        <w:t xml:space="preserve">La información detallada de este medicamento está disponible en la página web de la Agencia Europea de Medicamentos </w:t>
      </w:r>
      <w:hyperlink r:id="rId12" w:history="1">
        <w:r w:rsidR="006E3229">
          <w:rPr>
            <w:rStyle w:val="Hyperlink"/>
          </w:rPr>
          <w:t>http://www.ema.europa.eu</w:t>
        </w:r>
      </w:hyperlink>
      <w:r>
        <w:t>.</w:t>
      </w:r>
      <w:r>
        <w:br w:type="page"/>
      </w:r>
    </w:p>
    <w:p w14:paraId="225923BC" w14:textId="77777777" w:rsidR="006E3229" w:rsidRDefault="006E3229">
      <w:pPr>
        <w:spacing w:line="240" w:lineRule="auto"/>
        <w:rPr>
          <w:szCs w:val="22"/>
        </w:rPr>
      </w:pPr>
    </w:p>
    <w:p w14:paraId="50BCA05D" w14:textId="77777777" w:rsidR="006E3229" w:rsidRDefault="006E3229">
      <w:pPr>
        <w:spacing w:line="240" w:lineRule="auto"/>
        <w:rPr>
          <w:szCs w:val="22"/>
        </w:rPr>
      </w:pPr>
    </w:p>
    <w:p w14:paraId="6F60EB0C" w14:textId="77777777" w:rsidR="006E3229" w:rsidRDefault="006E3229">
      <w:pPr>
        <w:spacing w:line="240" w:lineRule="auto"/>
        <w:rPr>
          <w:szCs w:val="22"/>
        </w:rPr>
      </w:pPr>
    </w:p>
    <w:p w14:paraId="74260E56" w14:textId="77777777" w:rsidR="006E3229" w:rsidRDefault="006E3229">
      <w:pPr>
        <w:spacing w:line="240" w:lineRule="auto"/>
        <w:rPr>
          <w:szCs w:val="22"/>
        </w:rPr>
      </w:pPr>
    </w:p>
    <w:p w14:paraId="7300F77E" w14:textId="77777777" w:rsidR="006E3229" w:rsidRDefault="006E3229">
      <w:pPr>
        <w:spacing w:line="240" w:lineRule="auto"/>
        <w:rPr>
          <w:szCs w:val="22"/>
        </w:rPr>
      </w:pPr>
    </w:p>
    <w:p w14:paraId="07239F87" w14:textId="77777777" w:rsidR="006E3229" w:rsidRDefault="006E3229">
      <w:pPr>
        <w:spacing w:line="240" w:lineRule="auto"/>
        <w:rPr>
          <w:szCs w:val="22"/>
        </w:rPr>
      </w:pPr>
    </w:p>
    <w:p w14:paraId="7CABB02B" w14:textId="77777777" w:rsidR="006E3229" w:rsidRDefault="006E3229">
      <w:pPr>
        <w:spacing w:line="240" w:lineRule="auto"/>
        <w:rPr>
          <w:szCs w:val="22"/>
        </w:rPr>
      </w:pPr>
    </w:p>
    <w:p w14:paraId="61924F50" w14:textId="77777777" w:rsidR="006E3229" w:rsidRDefault="006E3229">
      <w:pPr>
        <w:spacing w:line="240" w:lineRule="auto"/>
        <w:rPr>
          <w:szCs w:val="22"/>
        </w:rPr>
      </w:pPr>
    </w:p>
    <w:p w14:paraId="44F9AD45" w14:textId="77777777" w:rsidR="006E3229" w:rsidRDefault="006E3229">
      <w:pPr>
        <w:spacing w:line="240" w:lineRule="auto"/>
        <w:rPr>
          <w:szCs w:val="22"/>
        </w:rPr>
      </w:pPr>
    </w:p>
    <w:p w14:paraId="3978F78C" w14:textId="77777777" w:rsidR="006E3229" w:rsidRDefault="006E3229">
      <w:pPr>
        <w:spacing w:line="240" w:lineRule="auto"/>
        <w:rPr>
          <w:szCs w:val="22"/>
        </w:rPr>
      </w:pPr>
    </w:p>
    <w:p w14:paraId="70BD9AA3" w14:textId="77777777" w:rsidR="006E3229" w:rsidRDefault="006E3229">
      <w:pPr>
        <w:spacing w:line="240" w:lineRule="auto"/>
        <w:rPr>
          <w:szCs w:val="22"/>
        </w:rPr>
      </w:pPr>
    </w:p>
    <w:p w14:paraId="34E244D2" w14:textId="77777777" w:rsidR="006E3229" w:rsidRDefault="006E3229">
      <w:pPr>
        <w:spacing w:line="240" w:lineRule="auto"/>
        <w:rPr>
          <w:szCs w:val="22"/>
        </w:rPr>
      </w:pPr>
    </w:p>
    <w:p w14:paraId="6776EB74" w14:textId="77777777" w:rsidR="006E3229" w:rsidRDefault="006E3229">
      <w:pPr>
        <w:spacing w:line="240" w:lineRule="auto"/>
        <w:rPr>
          <w:szCs w:val="22"/>
        </w:rPr>
      </w:pPr>
    </w:p>
    <w:p w14:paraId="58339FB3" w14:textId="77777777" w:rsidR="006E3229" w:rsidRDefault="006E3229">
      <w:pPr>
        <w:spacing w:line="240" w:lineRule="auto"/>
        <w:rPr>
          <w:szCs w:val="22"/>
        </w:rPr>
      </w:pPr>
    </w:p>
    <w:p w14:paraId="4F8278B5" w14:textId="77777777" w:rsidR="006E3229" w:rsidRDefault="006E3229">
      <w:pPr>
        <w:spacing w:line="240" w:lineRule="auto"/>
        <w:rPr>
          <w:szCs w:val="22"/>
        </w:rPr>
      </w:pPr>
    </w:p>
    <w:p w14:paraId="5B5D9A0F" w14:textId="77777777" w:rsidR="006E3229" w:rsidRDefault="006E3229">
      <w:pPr>
        <w:spacing w:line="240" w:lineRule="auto"/>
        <w:rPr>
          <w:szCs w:val="22"/>
        </w:rPr>
      </w:pPr>
    </w:p>
    <w:p w14:paraId="30EC1747" w14:textId="77777777" w:rsidR="006E3229" w:rsidRDefault="006E3229">
      <w:pPr>
        <w:spacing w:line="240" w:lineRule="auto"/>
        <w:rPr>
          <w:szCs w:val="22"/>
        </w:rPr>
      </w:pPr>
    </w:p>
    <w:p w14:paraId="6C45D2DC" w14:textId="77777777" w:rsidR="006E3229" w:rsidRDefault="006E3229">
      <w:pPr>
        <w:spacing w:line="240" w:lineRule="auto"/>
        <w:rPr>
          <w:szCs w:val="22"/>
        </w:rPr>
      </w:pPr>
    </w:p>
    <w:p w14:paraId="4DB73A7B" w14:textId="77777777" w:rsidR="006E3229" w:rsidRDefault="006E3229">
      <w:pPr>
        <w:spacing w:line="240" w:lineRule="auto"/>
        <w:rPr>
          <w:szCs w:val="22"/>
        </w:rPr>
      </w:pPr>
    </w:p>
    <w:p w14:paraId="094B6491" w14:textId="77777777" w:rsidR="006E3229" w:rsidRDefault="006E3229">
      <w:pPr>
        <w:spacing w:line="240" w:lineRule="auto"/>
        <w:rPr>
          <w:szCs w:val="22"/>
        </w:rPr>
      </w:pPr>
    </w:p>
    <w:p w14:paraId="2C5DC706" w14:textId="77777777" w:rsidR="006E3229" w:rsidRDefault="006E3229">
      <w:pPr>
        <w:spacing w:line="240" w:lineRule="auto"/>
        <w:rPr>
          <w:szCs w:val="22"/>
        </w:rPr>
      </w:pPr>
    </w:p>
    <w:p w14:paraId="24A8FB70" w14:textId="77777777" w:rsidR="006E3229" w:rsidRDefault="006E3229">
      <w:pPr>
        <w:spacing w:line="240" w:lineRule="auto"/>
        <w:rPr>
          <w:szCs w:val="22"/>
        </w:rPr>
      </w:pPr>
    </w:p>
    <w:p w14:paraId="01C2AB64" w14:textId="77777777" w:rsidR="006E3229" w:rsidRDefault="00B43C9C">
      <w:pPr>
        <w:spacing w:line="240" w:lineRule="auto"/>
        <w:jc w:val="center"/>
        <w:rPr>
          <w:szCs w:val="22"/>
        </w:rPr>
      </w:pPr>
      <w:r>
        <w:rPr>
          <w:b/>
        </w:rPr>
        <w:t>ANEXO II</w:t>
      </w:r>
    </w:p>
    <w:p w14:paraId="2435DB8B" w14:textId="77777777" w:rsidR="006E3229" w:rsidRDefault="006E3229">
      <w:pPr>
        <w:spacing w:line="240" w:lineRule="auto"/>
        <w:ind w:right="1416"/>
        <w:rPr>
          <w:szCs w:val="22"/>
        </w:rPr>
      </w:pPr>
    </w:p>
    <w:p w14:paraId="41343086" w14:textId="77777777" w:rsidR="006E3229" w:rsidRDefault="00B43C9C">
      <w:pPr>
        <w:pStyle w:val="Style1"/>
      </w:pPr>
      <w:r>
        <w:t>FABRICANTE(S) RESPONSABLE(S) DE LA LIBERACIÓN DE LOS LOTES</w:t>
      </w:r>
    </w:p>
    <w:p w14:paraId="0A366B09" w14:textId="77777777" w:rsidR="006E3229" w:rsidRDefault="006E3229">
      <w:pPr>
        <w:spacing w:line="240" w:lineRule="auto"/>
        <w:ind w:left="567" w:hanging="567"/>
        <w:rPr>
          <w:szCs w:val="22"/>
        </w:rPr>
      </w:pPr>
    </w:p>
    <w:p w14:paraId="64B4F064" w14:textId="77777777" w:rsidR="006E3229" w:rsidRDefault="00B43C9C">
      <w:pPr>
        <w:pStyle w:val="Style1"/>
      </w:pPr>
      <w:r>
        <w:t>CONDICIONES O RESTRICCIONES DE SUMINISTRO Y USO</w:t>
      </w:r>
    </w:p>
    <w:p w14:paraId="0C77080B" w14:textId="77777777" w:rsidR="006E3229" w:rsidRDefault="006E3229">
      <w:pPr>
        <w:spacing w:line="240" w:lineRule="auto"/>
        <w:ind w:left="567" w:hanging="567"/>
        <w:rPr>
          <w:szCs w:val="22"/>
        </w:rPr>
      </w:pPr>
    </w:p>
    <w:p w14:paraId="4D7C4E0F" w14:textId="77777777" w:rsidR="006E3229" w:rsidRDefault="00B43C9C">
      <w:pPr>
        <w:pStyle w:val="Style1"/>
      </w:pPr>
      <w:r>
        <w:t>OTRAS CONDICIONES Y REQUISITOS DE LA AUTORIZACIÓN DE COMERCIALIZACIÓN</w:t>
      </w:r>
    </w:p>
    <w:p w14:paraId="34CB7AE7" w14:textId="77777777" w:rsidR="006E3229" w:rsidRDefault="006E3229">
      <w:pPr>
        <w:spacing w:line="240" w:lineRule="auto"/>
        <w:ind w:right="1558"/>
        <w:rPr>
          <w:b/>
        </w:rPr>
      </w:pPr>
    </w:p>
    <w:p w14:paraId="7D36C781" w14:textId="77777777" w:rsidR="006E3229" w:rsidRDefault="00B43C9C">
      <w:pPr>
        <w:pStyle w:val="Style1"/>
      </w:pPr>
      <w:r>
        <w:t>CONDICIONES O RESTRICCIONES RESPECTO A UN USO SEGURO Y EFICAZ DEL MEDICAMENTO</w:t>
      </w:r>
    </w:p>
    <w:p w14:paraId="3990AD07" w14:textId="77777777" w:rsidR="006E3229" w:rsidRDefault="006E3229">
      <w:pPr>
        <w:spacing w:line="240" w:lineRule="auto"/>
        <w:ind w:right="1416"/>
        <w:rPr>
          <w:b/>
        </w:rPr>
      </w:pPr>
    </w:p>
    <w:p w14:paraId="7E4AC779" w14:textId="1EF7B86C" w:rsidR="006E3229" w:rsidRDefault="00B43C9C" w:rsidP="000E290C">
      <w:pPr>
        <w:pStyle w:val="TitleB"/>
      </w:pPr>
      <w:r>
        <w:br w:type="page"/>
      </w:r>
      <w:r w:rsidR="000E290C">
        <w:lastRenderedPageBreak/>
        <w:t>A.</w:t>
      </w:r>
      <w:r w:rsidR="000E290C">
        <w:tab/>
      </w:r>
      <w:r>
        <w:t>FABRICANTE(S) RESPONSABLE(S) DE LA LIBERACIÓN DE LOS LOTES</w:t>
      </w:r>
    </w:p>
    <w:p w14:paraId="15D3564F" w14:textId="77777777" w:rsidR="006E3229" w:rsidRDefault="006E3229">
      <w:pPr>
        <w:keepNext/>
        <w:spacing w:line="240" w:lineRule="auto"/>
        <w:ind w:right="1416"/>
        <w:rPr>
          <w:szCs w:val="22"/>
        </w:rPr>
      </w:pPr>
    </w:p>
    <w:p w14:paraId="67A2D729" w14:textId="77777777" w:rsidR="006E3229" w:rsidRDefault="00B43C9C">
      <w:pPr>
        <w:keepNext/>
        <w:spacing w:line="240" w:lineRule="auto"/>
        <w:outlineLvl w:val="0"/>
        <w:rPr>
          <w:szCs w:val="22"/>
        </w:rPr>
      </w:pPr>
      <w:r>
        <w:rPr>
          <w:u w:val="single"/>
        </w:rPr>
        <w:t>Nombre y dirección del (de los) fabricante(s) responsable(s) de la liberación de los lotes</w:t>
      </w:r>
    </w:p>
    <w:p w14:paraId="6D251E27" w14:textId="77777777" w:rsidR="006E3229" w:rsidRDefault="006E3229">
      <w:pPr>
        <w:keepNext/>
        <w:spacing w:line="240" w:lineRule="auto"/>
        <w:rPr>
          <w:szCs w:val="22"/>
        </w:rPr>
      </w:pPr>
    </w:p>
    <w:p w14:paraId="4402AB57" w14:textId="77777777" w:rsidR="006E3229" w:rsidRPr="009624C6" w:rsidRDefault="00B43C9C">
      <w:pPr>
        <w:spacing w:line="240" w:lineRule="auto"/>
        <w:rPr>
          <w:szCs w:val="22"/>
          <w:lang w:val="de-DE"/>
        </w:rPr>
      </w:pPr>
      <w:r w:rsidRPr="009624C6">
        <w:rPr>
          <w:lang w:val="de-DE"/>
        </w:rPr>
        <w:t>Santhera Pharmaceuticals (Deutschland) GmbH</w:t>
      </w:r>
    </w:p>
    <w:p w14:paraId="3573F51C" w14:textId="77777777" w:rsidR="006E3229" w:rsidRPr="009624C6" w:rsidRDefault="00B43C9C">
      <w:pPr>
        <w:spacing w:line="240" w:lineRule="auto"/>
        <w:rPr>
          <w:szCs w:val="22"/>
          <w:lang w:val="de-DE"/>
        </w:rPr>
      </w:pPr>
      <w:r w:rsidRPr="009624C6">
        <w:rPr>
          <w:lang w:val="de-DE"/>
        </w:rPr>
        <w:t>Marie-Curie-Strasse 8</w:t>
      </w:r>
    </w:p>
    <w:p w14:paraId="3C8EF81B" w14:textId="77777777" w:rsidR="006E3229" w:rsidRPr="000E290C" w:rsidRDefault="00B43C9C">
      <w:pPr>
        <w:spacing w:line="240" w:lineRule="auto"/>
        <w:rPr>
          <w:szCs w:val="22"/>
        </w:rPr>
      </w:pPr>
      <w:r w:rsidRPr="000E290C">
        <w:t xml:space="preserve">D-79539 </w:t>
      </w:r>
      <w:proofErr w:type="spellStart"/>
      <w:r w:rsidRPr="000E290C">
        <w:t>Lörrach</w:t>
      </w:r>
      <w:proofErr w:type="spellEnd"/>
    </w:p>
    <w:p w14:paraId="53D101D8" w14:textId="77777777" w:rsidR="006E3229" w:rsidRDefault="00B43C9C">
      <w:pPr>
        <w:spacing w:line="240" w:lineRule="auto"/>
        <w:rPr>
          <w:szCs w:val="22"/>
        </w:rPr>
      </w:pPr>
      <w:r>
        <w:t>ALEMANIA</w:t>
      </w:r>
    </w:p>
    <w:p w14:paraId="144093BD" w14:textId="77777777" w:rsidR="006E3229" w:rsidRDefault="006E3229">
      <w:pPr>
        <w:spacing w:line="240" w:lineRule="auto"/>
        <w:rPr>
          <w:szCs w:val="22"/>
        </w:rPr>
      </w:pPr>
    </w:p>
    <w:p w14:paraId="0C706C17" w14:textId="77777777" w:rsidR="006E3229" w:rsidRDefault="006E3229">
      <w:pPr>
        <w:spacing w:line="240" w:lineRule="auto"/>
        <w:rPr>
          <w:szCs w:val="22"/>
        </w:rPr>
      </w:pPr>
    </w:p>
    <w:p w14:paraId="4FEF6B32" w14:textId="27B59B5D" w:rsidR="006E3229" w:rsidRDefault="000E290C" w:rsidP="003D46BA">
      <w:pPr>
        <w:pStyle w:val="TitleB"/>
      </w:pPr>
      <w:r>
        <w:t>B.</w:t>
      </w:r>
      <w:r>
        <w:tab/>
      </w:r>
      <w:r w:rsidR="00B43C9C">
        <w:t>CONDICIONES O RESTRICCIONES DE SUMINISTRO Y USO</w:t>
      </w:r>
    </w:p>
    <w:p w14:paraId="2EF049E3" w14:textId="77777777" w:rsidR="006E3229" w:rsidRDefault="006E3229">
      <w:pPr>
        <w:keepNext/>
        <w:spacing w:line="240" w:lineRule="auto"/>
        <w:rPr>
          <w:szCs w:val="22"/>
        </w:rPr>
      </w:pPr>
    </w:p>
    <w:p w14:paraId="534F5272" w14:textId="77777777" w:rsidR="006E3229" w:rsidRDefault="00B43C9C">
      <w:pPr>
        <w:spacing w:line="240" w:lineRule="auto"/>
      </w:pPr>
      <w:r>
        <w:t>Medicamento sujeto a prescripción médica restringida (ver Anexo I: Ficha técnica o Resumen de las Características del Producto, sección 4.2).</w:t>
      </w:r>
    </w:p>
    <w:p w14:paraId="251AB61C" w14:textId="77777777" w:rsidR="006E3229" w:rsidRDefault="006E3229">
      <w:pPr>
        <w:numPr>
          <w:ilvl w:val="12"/>
          <w:numId w:val="0"/>
        </w:numPr>
        <w:spacing w:line="240" w:lineRule="auto"/>
        <w:rPr>
          <w:szCs w:val="22"/>
        </w:rPr>
      </w:pPr>
    </w:p>
    <w:p w14:paraId="0CC909B8" w14:textId="77777777" w:rsidR="006E3229" w:rsidRDefault="006E3229">
      <w:pPr>
        <w:numPr>
          <w:ilvl w:val="12"/>
          <w:numId w:val="0"/>
        </w:numPr>
        <w:spacing w:line="240" w:lineRule="auto"/>
        <w:rPr>
          <w:szCs w:val="22"/>
        </w:rPr>
      </w:pPr>
    </w:p>
    <w:p w14:paraId="17869E81" w14:textId="6C688071" w:rsidR="006E3229" w:rsidRDefault="000E290C" w:rsidP="003D46BA">
      <w:pPr>
        <w:pStyle w:val="TitleB"/>
      </w:pPr>
      <w:r>
        <w:t>C.</w:t>
      </w:r>
      <w:r>
        <w:tab/>
      </w:r>
      <w:r w:rsidR="00B43C9C">
        <w:t>OTRAS CONDICIONES Y REQUISITOS DE LA AUTORIZACIÓN DE COMERCIALIZACIÓN</w:t>
      </w:r>
    </w:p>
    <w:p w14:paraId="227B795B" w14:textId="77777777" w:rsidR="006E3229" w:rsidRDefault="006E3229">
      <w:pPr>
        <w:keepNext/>
        <w:spacing w:line="240" w:lineRule="auto"/>
        <w:ind w:right="-1"/>
        <w:rPr>
          <w:iCs/>
          <w:szCs w:val="22"/>
          <w:u w:val="single"/>
        </w:rPr>
      </w:pPr>
    </w:p>
    <w:p w14:paraId="75EB5E43" w14:textId="77777777" w:rsidR="006E3229" w:rsidRDefault="00B43C9C">
      <w:pPr>
        <w:keepNext/>
        <w:numPr>
          <w:ilvl w:val="0"/>
          <w:numId w:val="4"/>
        </w:numPr>
        <w:spacing w:line="240" w:lineRule="auto"/>
        <w:ind w:right="-1" w:hanging="720"/>
        <w:rPr>
          <w:b/>
          <w:szCs w:val="22"/>
        </w:rPr>
      </w:pPr>
      <w:r>
        <w:rPr>
          <w:b/>
        </w:rPr>
        <w:t>Informes periódicos de seguridad (IPS)</w:t>
      </w:r>
    </w:p>
    <w:p w14:paraId="618C381C" w14:textId="77777777" w:rsidR="006E3229" w:rsidRDefault="006E3229">
      <w:pPr>
        <w:keepNext/>
        <w:tabs>
          <w:tab w:val="left" w:pos="0"/>
        </w:tabs>
        <w:spacing w:line="240" w:lineRule="auto"/>
        <w:ind w:right="567"/>
      </w:pPr>
    </w:p>
    <w:p w14:paraId="5B51691B" w14:textId="77777777" w:rsidR="006E3229" w:rsidRDefault="00B43C9C">
      <w:pPr>
        <w:tabs>
          <w:tab w:val="left" w:pos="0"/>
        </w:tabs>
        <w:spacing w:line="240" w:lineRule="auto"/>
        <w:ind w:right="567"/>
        <w:rPr>
          <w:iCs/>
          <w:szCs w:val="22"/>
        </w:rPr>
      </w:pPr>
      <w:r>
        <w:t xml:space="preserve">Los requerimientos para la presentación de los IPS para este medicamento se establecen en la lista de fechas de referencia de la Unión (lista EURD) prevista en el artículo 107 </w:t>
      </w:r>
      <w:proofErr w:type="spellStart"/>
      <w:r>
        <w:rPr>
          <w:i/>
          <w:iCs/>
        </w:rPr>
        <w:t>quater</w:t>
      </w:r>
      <w:proofErr w:type="spellEnd"/>
      <w:r>
        <w:t>, apartado 7, de la Directiva 2001/83/CE y cualquier actualización posterior publicada en el portal web europeo sobre medicamentos.</w:t>
      </w:r>
    </w:p>
    <w:p w14:paraId="5D3A0FF7" w14:textId="77777777" w:rsidR="006E3229" w:rsidRDefault="006E3229">
      <w:pPr>
        <w:tabs>
          <w:tab w:val="left" w:pos="0"/>
        </w:tabs>
        <w:spacing w:line="240" w:lineRule="auto"/>
        <w:ind w:right="567"/>
        <w:rPr>
          <w:iCs/>
          <w:szCs w:val="22"/>
        </w:rPr>
      </w:pPr>
    </w:p>
    <w:p w14:paraId="17836ACC" w14:textId="77777777" w:rsidR="006E3229" w:rsidRDefault="006E3229">
      <w:pPr>
        <w:spacing w:line="240" w:lineRule="auto"/>
        <w:ind w:right="-1"/>
        <w:rPr>
          <w:u w:val="single"/>
        </w:rPr>
      </w:pPr>
    </w:p>
    <w:p w14:paraId="27A4D573" w14:textId="23BC0B50" w:rsidR="006E3229" w:rsidRDefault="000E290C" w:rsidP="003D46BA">
      <w:pPr>
        <w:pStyle w:val="TitleB"/>
      </w:pPr>
      <w:r>
        <w:t>D.</w:t>
      </w:r>
      <w:r>
        <w:tab/>
      </w:r>
      <w:r w:rsidR="00B43C9C">
        <w:t>CONDICIONES O RESTRICCIONES EN RELACIÓN CON LA UTILIZACIÓN SEGURA Y EFICAZ DEL MEDICAMENTO</w:t>
      </w:r>
    </w:p>
    <w:p w14:paraId="799D5F3C" w14:textId="77777777" w:rsidR="006E3229" w:rsidRDefault="006E3229">
      <w:pPr>
        <w:keepNext/>
        <w:spacing w:line="240" w:lineRule="auto"/>
        <w:ind w:right="-1"/>
        <w:rPr>
          <w:u w:val="single"/>
        </w:rPr>
      </w:pPr>
    </w:p>
    <w:p w14:paraId="255B856C" w14:textId="77777777" w:rsidR="006E3229" w:rsidRDefault="00B43C9C">
      <w:pPr>
        <w:keepNext/>
        <w:numPr>
          <w:ilvl w:val="0"/>
          <w:numId w:val="4"/>
        </w:numPr>
        <w:spacing w:line="240" w:lineRule="auto"/>
        <w:ind w:right="-1" w:hanging="720"/>
        <w:rPr>
          <w:b/>
          <w:bCs/>
        </w:rPr>
      </w:pPr>
      <w:r>
        <w:rPr>
          <w:b/>
        </w:rPr>
        <w:t>Plan de gestión de riesgos (PGR)</w:t>
      </w:r>
    </w:p>
    <w:p w14:paraId="431A4731" w14:textId="77777777" w:rsidR="006E3229" w:rsidRDefault="006E3229">
      <w:pPr>
        <w:keepNext/>
        <w:spacing w:line="240" w:lineRule="auto"/>
        <w:ind w:left="720" w:right="-1"/>
        <w:rPr>
          <w:b/>
        </w:rPr>
      </w:pPr>
    </w:p>
    <w:p w14:paraId="6229FD2A" w14:textId="77777777" w:rsidR="006E3229" w:rsidRDefault="00B43C9C">
      <w:pPr>
        <w:tabs>
          <w:tab w:val="left" w:pos="0"/>
        </w:tabs>
        <w:spacing w:line="240" w:lineRule="auto"/>
        <w:ind w:right="567"/>
        <w:rPr>
          <w:szCs w:val="22"/>
        </w:rPr>
      </w:pPr>
      <w:r>
        <w:t>El titular de la autorización de comercialización (TAC) realizará las actividades e intervenciones de farmacovigilancia necesarias según lo acordado en la versión del PGR incluido en el Módulo 1.8.2 de la autorización de comercialización y en cualquier actualización del PGR que se acuerde posteriormente.</w:t>
      </w:r>
    </w:p>
    <w:p w14:paraId="7FE21057" w14:textId="77777777" w:rsidR="006E3229" w:rsidRDefault="006E3229">
      <w:pPr>
        <w:spacing w:line="240" w:lineRule="auto"/>
        <w:ind w:right="-1"/>
        <w:rPr>
          <w:iCs/>
          <w:szCs w:val="22"/>
        </w:rPr>
      </w:pPr>
    </w:p>
    <w:p w14:paraId="1E99E2E0" w14:textId="77777777" w:rsidR="006E3229" w:rsidRDefault="00B43C9C">
      <w:pPr>
        <w:spacing w:line="240" w:lineRule="auto"/>
        <w:ind w:right="-1"/>
        <w:rPr>
          <w:iCs/>
          <w:szCs w:val="22"/>
        </w:rPr>
      </w:pPr>
      <w:r>
        <w:t>Se debe presentar un PGR actualizado:</w:t>
      </w:r>
    </w:p>
    <w:p w14:paraId="10A17C3A" w14:textId="77777777" w:rsidR="006E3229" w:rsidRDefault="00B43C9C">
      <w:pPr>
        <w:numPr>
          <w:ilvl w:val="0"/>
          <w:numId w:val="5"/>
        </w:numPr>
        <w:spacing w:line="240" w:lineRule="auto"/>
        <w:ind w:left="567" w:right="-1" w:hanging="207"/>
      </w:pPr>
      <w:r>
        <w:t>A petición de la Agencia Europea de Medicamentos.</w:t>
      </w:r>
    </w:p>
    <w:p w14:paraId="1E27702C" w14:textId="77777777" w:rsidR="006E3229" w:rsidRDefault="00B43C9C">
      <w:pPr>
        <w:numPr>
          <w:ilvl w:val="0"/>
          <w:numId w:val="5"/>
        </w:numPr>
        <w:tabs>
          <w:tab w:val="clear" w:pos="720"/>
        </w:tabs>
        <w:spacing w:line="240" w:lineRule="auto"/>
        <w:ind w:left="567" w:right="-1" w:hanging="207"/>
        <w:rPr>
          <w:szCs w:val="22"/>
        </w:rPr>
      </w:pPr>
      <w: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p>
    <w:p w14:paraId="6A071D2D" w14:textId="77777777" w:rsidR="006E3229" w:rsidRDefault="006E3229">
      <w:pPr>
        <w:spacing w:line="240" w:lineRule="auto"/>
        <w:ind w:right="-1"/>
      </w:pPr>
    </w:p>
    <w:p w14:paraId="2DF73558" w14:textId="77777777" w:rsidR="006E3229" w:rsidRDefault="00B43C9C">
      <w:pPr>
        <w:keepNext/>
        <w:numPr>
          <w:ilvl w:val="0"/>
          <w:numId w:val="4"/>
        </w:numPr>
        <w:spacing w:line="240" w:lineRule="auto"/>
        <w:ind w:right="-1" w:hanging="720"/>
        <w:rPr>
          <w:b/>
          <w:bCs/>
        </w:rPr>
      </w:pPr>
      <w:r>
        <w:rPr>
          <w:b/>
        </w:rPr>
        <w:t>Medidas adicionales de minimización de riesgos</w:t>
      </w:r>
    </w:p>
    <w:p w14:paraId="7FC63D51" w14:textId="77777777" w:rsidR="006E3229" w:rsidRDefault="006E3229">
      <w:pPr>
        <w:keepNext/>
        <w:spacing w:line="240" w:lineRule="auto"/>
        <w:ind w:right="-1"/>
        <w:rPr>
          <w:szCs w:val="22"/>
        </w:rPr>
      </w:pPr>
    </w:p>
    <w:p w14:paraId="732B5026" w14:textId="77777777" w:rsidR="006E3229" w:rsidRDefault="00B43C9C">
      <w:pPr>
        <w:keepNext/>
        <w:spacing w:line="240" w:lineRule="auto"/>
        <w:rPr>
          <w:b/>
          <w:bCs/>
        </w:rPr>
      </w:pPr>
      <w:r>
        <w:rPr>
          <w:b/>
        </w:rPr>
        <w:t>Tarjeta de alerta para el paciente</w:t>
      </w:r>
    </w:p>
    <w:p w14:paraId="5FAEA83B" w14:textId="77777777" w:rsidR="006E3229" w:rsidRDefault="006E3229">
      <w:pPr>
        <w:keepNext/>
        <w:spacing w:line="240" w:lineRule="auto"/>
        <w:rPr>
          <w:b/>
          <w:bCs/>
        </w:rPr>
      </w:pPr>
    </w:p>
    <w:p w14:paraId="4A78C4F6" w14:textId="77777777" w:rsidR="006E3229" w:rsidRDefault="00B43C9C">
      <w:pPr>
        <w:spacing w:line="240" w:lineRule="auto"/>
      </w:pPr>
      <w:r>
        <w:t>Este paciente está recibiendo tratamiento a largo plazo con AGAMREE (</w:t>
      </w:r>
      <w:proofErr w:type="spellStart"/>
      <w:r>
        <w:t>vamorolona</w:t>
      </w:r>
      <w:proofErr w:type="spellEnd"/>
      <w:r>
        <w:t>), un corticosteroide disociativo para el tratamiento crónico de la distrofia muscular de Duchenne (DMD), por lo que depende físicamente del tratamiento diario con esteroides como medicamento crítico.</w:t>
      </w:r>
    </w:p>
    <w:p w14:paraId="1628EFEE" w14:textId="77777777" w:rsidR="006E3229" w:rsidRDefault="006E3229">
      <w:pPr>
        <w:spacing w:line="240" w:lineRule="auto"/>
      </w:pPr>
    </w:p>
    <w:p w14:paraId="3B8939C7" w14:textId="77777777" w:rsidR="006E3229" w:rsidRDefault="00B43C9C">
      <w:pPr>
        <w:spacing w:line="240" w:lineRule="auto"/>
      </w:pPr>
      <w:r>
        <w:t>Si este paciente no se siente bien (cansancio excesivo, debilidad inesperada, vómitos, diarrea, mareos o confusión), deberá considerarse la posibilidad de una insuficiencia suprarrenal aguda o crisis suprarrenal.</w:t>
      </w:r>
    </w:p>
    <w:p w14:paraId="1A7A699A" w14:textId="77777777" w:rsidR="006E3229" w:rsidRDefault="00B43C9C">
      <w:pPr>
        <w:tabs>
          <w:tab w:val="clear" w:pos="567"/>
        </w:tabs>
        <w:spacing w:line="240" w:lineRule="auto"/>
        <w:ind w:right="-1"/>
        <w:rPr>
          <w:szCs w:val="22"/>
        </w:rPr>
      </w:pPr>
      <w:r>
        <w:br w:type="page"/>
      </w:r>
    </w:p>
    <w:p w14:paraId="6531F868" w14:textId="77777777" w:rsidR="006E3229" w:rsidRDefault="006E3229">
      <w:pPr>
        <w:spacing w:line="240" w:lineRule="auto"/>
        <w:rPr>
          <w:szCs w:val="22"/>
        </w:rPr>
      </w:pPr>
    </w:p>
    <w:p w14:paraId="4913A837" w14:textId="77777777" w:rsidR="006E3229" w:rsidRDefault="006E3229">
      <w:pPr>
        <w:spacing w:line="240" w:lineRule="auto"/>
        <w:rPr>
          <w:szCs w:val="22"/>
        </w:rPr>
      </w:pPr>
    </w:p>
    <w:p w14:paraId="1229182E" w14:textId="77777777" w:rsidR="006E3229" w:rsidRDefault="006E3229">
      <w:pPr>
        <w:spacing w:line="240" w:lineRule="auto"/>
        <w:rPr>
          <w:szCs w:val="22"/>
        </w:rPr>
      </w:pPr>
    </w:p>
    <w:p w14:paraId="4D915A27" w14:textId="77777777" w:rsidR="006E3229" w:rsidRDefault="006E3229">
      <w:pPr>
        <w:spacing w:line="240" w:lineRule="auto"/>
        <w:rPr>
          <w:szCs w:val="22"/>
        </w:rPr>
      </w:pPr>
    </w:p>
    <w:p w14:paraId="5C3C61E8" w14:textId="77777777" w:rsidR="006E3229" w:rsidRDefault="006E3229">
      <w:pPr>
        <w:spacing w:line="240" w:lineRule="auto"/>
        <w:rPr>
          <w:szCs w:val="22"/>
        </w:rPr>
      </w:pPr>
    </w:p>
    <w:p w14:paraId="1384F606" w14:textId="77777777" w:rsidR="006E3229" w:rsidRDefault="006E3229">
      <w:pPr>
        <w:spacing w:line="240" w:lineRule="auto"/>
        <w:rPr>
          <w:szCs w:val="22"/>
        </w:rPr>
      </w:pPr>
    </w:p>
    <w:p w14:paraId="6EDEF781" w14:textId="77777777" w:rsidR="006E3229" w:rsidRDefault="006E3229">
      <w:pPr>
        <w:spacing w:line="240" w:lineRule="auto"/>
        <w:rPr>
          <w:szCs w:val="22"/>
        </w:rPr>
      </w:pPr>
    </w:p>
    <w:p w14:paraId="7AC9F9F5" w14:textId="77777777" w:rsidR="006E3229" w:rsidRDefault="006E3229">
      <w:pPr>
        <w:spacing w:line="240" w:lineRule="auto"/>
        <w:rPr>
          <w:szCs w:val="22"/>
        </w:rPr>
      </w:pPr>
    </w:p>
    <w:p w14:paraId="31873400" w14:textId="77777777" w:rsidR="006E3229" w:rsidRDefault="006E3229">
      <w:pPr>
        <w:spacing w:line="240" w:lineRule="auto"/>
        <w:rPr>
          <w:szCs w:val="22"/>
        </w:rPr>
      </w:pPr>
    </w:p>
    <w:p w14:paraId="2AE2B18D" w14:textId="77777777" w:rsidR="006E3229" w:rsidRDefault="006E3229">
      <w:pPr>
        <w:spacing w:line="240" w:lineRule="auto"/>
        <w:rPr>
          <w:szCs w:val="22"/>
        </w:rPr>
      </w:pPr>
    </w:p>
    <w:p w14:paraId="55C247FC" w14:textId="77777777" w:rsidR="006E3229" w:rsidRDefault="006E3229">
      <w:pPr>
        <w:spacing w:line="240" w:lineRule="auto"/>
        <w:rPr>
          <w:szCs w:val="22"/>
        </w:rPr>
      </w:pPr>
    </w:p>
    <w:p w14:paraId="19507F9E" w14:textId="77777777" w:rsidR="006E3229" w:rsidRDefault="006E3229">
      <w:pPr>
        <w:spacing w:line="240" w:lineRule="auto"/>
        <w:rPr>
          <w:szCs w:val="22"/>
        </w:rPr>
      </w:pPr>
    </w:p>
    <w:p w14:paraId="403C878C" w14:textId="77777777" w:rsidR="006E3229" w:rsidRDefault="006E3229">
      <w:pPr>
        <w:spacing w:line="240" w:lineRule="auto"/>
        <w:rPr>
          <w:szCs w:val="22"/>
        </w:rPr>
      </w:pPr>
    </w:p>
    <w:p w14:paraId="6D28D3B5" w14:textId="77777777" w:rsidR="006E3229" w:rsidRDefault="006E3229">
      <w:pPr>
        <w:spacing w:line="240" w:lineRule="auto"/>
        <w:rPr>
          <w:szCs w:val="22"/>
        </w:rPr>
      </w:pPr>
    </w:p>
    <w:p w14:paraId="524EBC64" w14:textId="77777777" w:rsidR="006E3229" w:rsidRDefault="006E3229">
      <w:pPr>
        <w:spacing w:line="240" w:lineRule="auto"/>
        <w:rPr>
          <w:szCs w:val="22"/>
        </w:rPr>
      </w:pPr>
    </w:p>
    <w:p w14:paraId="319E2910" w14:textId="77777777" w:rsidR="006E3229" w:rsidRDefault="006E3229">
      <w:pPr>
        <w:spacing w:line="240" w:lineRule="auto"/>
        <w:rPr>
          <w:szCs w:val="22"/>
        </w:rPr>
      </w:pPr>
    </w:p>
    <w:p w14:paraId="1B9A1166" w14:textId="77777777" w:rsidR="006E3229" w:rsidRDefault="006E3229">
      <w:pPr>
        <w:spacing w:line="240" w:lineRule="auto"/>
        <w:rPr>
          <w:szCs w:val="22"/>
        </w:rPr>
      </w:pPr>
    </w:p>
    <w:p w14:paraId="009A2D95" w14:textId="77777777" w:rsidR="006E3229" w:rsidRDefault="006E3229">
      <w:pPr>
        <w:spacing w:line="240" w:lineRule="auto"/>
        <w:rPr>
          <w:szCs w:val="22"/>
        </w:rPr>
      </w:pPr>
    </w:p>
    <w:p w14:paraId="35D35118" w14:textId="77777777" w:rsidR="006E3229" w:rsidRDefault="006E3229">
      <w:pPr>
        <w:spacing w:line="240" w:lineRule="auto"/>
        <w:rPr>
          <w:szCs w:val="22"/>
        </w:rPr>
      </w:pPr>
    </w:p>
    <w:p w14:paraId="06DAE6C2" w14:textId="77777777" w:rsidR="006E3229" w:rsidRDefault="006E3229">
      <w:pPr>
        <w:spacing w:line="240" w:lineRule="auto"/>
        <w:rPr>
          <w:szCs w:val="22"/>
        </w:rPr>
      </w:pPr>
    </w:p>
    <w:p w14:paraId="16D341AC" w14:textId="77777777" w:rsidR="006E3229" w:rsidRDefault="006E3229">
      <w:pPr>
        <w:spacing w:line="240" w:lineRule="auto"/>
        <w:rPr>
          <w:szCs w:val="22"/>
        </w:rPr>
      </w:pPr>
    </w:p>
    <w:p w14:paraId="418B28DE" w14:textId="77777777" w:rsidR="006E3229" w:rsidRDefault="006E3229">
      <w:pPr>
        <w:spacing w:line="240" w:lineRule="auto"/>
        <w:rPr>
          <w:szCs w:val="22"/>
        </w:rPr>
      </w:pPr>
    </w:p>
    <w:p w14:paraId="12ABAE22" w14:textId="77777777" w:rsidR="006E3229" w:rsidRDefault="00B43C9C">
      <w:pPr>
        <w:spacing w:line="240" w:lineRule="auto"/>
        <w:jc w:val="center"/>
        <w:outlineLvl w:val="0"/>
        <w:rPr>
          <w:b/>
          <w:szCs w:val="22"/>
        </w:rPr>
      </w:pPr>
      <w:r>
        <w:rPr>
          <w:b/>
        </w:rPr>
        <w:t>ANEXO III</w:t>
      </w:r>
    </w:p>
    <w:p w14:paraId="5F440DE4" w14:textId="77777777" w:rsidR="006E3229" w:rsidRDefault="006E3229">
      <w:pPr>
        <w:spacing w:line="240" w:lineRule="auto"/>
        <w:jc w:val="center"/>
        <w:rPr>
          <w:b/>
          <w:szCs w:val="22"/>
        </w:rPr>
      </w:pPr>
    </w:p>
    <w:p w14:paraId="50D5BEDE" w14:textId="77777777" w:rsidR="006E3229" w:rsidRDefault="00B43C9C">
      <w:pPr>
        <w:spacing w:line="240" w:lineRule="auto"/>
        <w:jc w:val="center"/>
        <w:outlineLvl w:val="0"/>
        <w:rPr>
          <w:b/>
          <w:szCs w:val="22"/>
        </w:rPr>
      </w:pPr>
      <w:r>
        <w:rPr>
          <w:b/>
        </w:rPr>
        <w:t>ETIQUETADO Y PROSPECTO</w:t>
      </w:r>
    </w:p>
    <w:p w14:paraId="330818BA" w14:textId="77777777" w:rsidR="006E3229" w:rsidRDefault="00B43C9C">
      <w:pPr>
        <w:spacing w:line="240" w:lineRule="auto"/>
        <w:rPr>
          <w:b/>
          <w:szCs w:val="22"/>
        </w:rPr>
      </w:pPr>
      <w:r>
        <w:br w:type="page"/>
      </w:r>
    </w:p>
    <w:p w14:paraId="58A95563" w14:textId="77777777" w:rsidR="006E3229" w:rsidRDefault="006E3229">
      <w:pPr>
        <w:spacing w:line="240" w:lineRule="auto"/>
        <w:rPr>
          <w:szCs w:val="22"/>
        </w:rPr>
      </w:pPr>
    </w:p>
    <w:p w14:paraId="733D8B2E" w14:textId="77777777" w:rsidR="006E3229" w:rsidRDefault="006E3229">
      <w:pPr>
        <w:spacing w:line="240" w:lineRule="auto"/>
        <w:rPr>
          <w:szCs w:val="22"/>
        </w:rPr>
      </w:pPr>
    </w:p>
    <w:p w14:paraId="1B116A36" w14:textId="77777777" w:rsidR="006E3229" w:rsidRDefault="006E3229">
      <w:pPr>
        <w:spacing w:line="240" w:lineRule="auto"/>
        <w:rPr>
          <w:szCs w:val="22"/>
        </w:rPr>
      </w:pPr>
    </w:p>
    <w:p w14:paraId="06244EE5" w14:textId="77777777" w:rsidR="006E3229" w:rsidRDefault="006E3229">
      <w:pPr>
        <w:spacing w:line="240" w:lineRule="auto"/>
        <w:rPr>
          <w:szCs w:val="22"/>
        </w:rPr>
      </w:pPr>
    </w:p>
    <w:p w14:paraId="39F3604A" w14:textId="77777777" w:rsidR="006E3229" w:rsidRDefault="006E3229">
      <w:pPr>
        <w:spacing w:line="240" w:lineRule="auto"/>
        <w:rPr>
          <w:szCs w:val="22"/>
        </w:rPr>
      </w:pPr>
    </w:p>
    <w:p w14:paraId="48C1BA18" w14:textId="77777777" w:rsidR="006E3229" w:rsidRDefault="006E3229">
      <w:pPr>
        <w:spacing w:line="240" w:lineRule="auto"/>
        <w:rPr>
          <w:szCs w:val="22"/>
        </w:rPr>
      </w:pPr>
    </w:p>
    <w:p w14:paraId="4B0D01EF" w14:textId="77777777" w:rsidR="006E3229" w:rsidRDefault="006E3229">
      <w:pPr>
        <w:spacing w:line="240" w:lineRule="auto"/>
        <w:rPr>
          <w:szCs w:val="22"/>
        </w:rPr>
      </w:pPr>
    </w:p>
    <w:p w14:paraId="4D101826" w14:textId="77777777" w:rsidR="006E3229" w:rsidRDefault="006E3229">
      <w:pPr>
        <w:spacing w:line="240" w:lineRule="auto"/>
        <w:rPr>
          <w:szCs w:val="22"/>
        </w:rPr>
      </w:pPr>
    </w:p>
    <w:p w14:paraId="7D7B39F9" w14:textId="77777777" w:rsidR="006E3229" w:rsidRDefault="006E3229">
      <w:pPr>
        <w:spacing w:line="240" w:lineRule="auto"/>
        <w:rPr>
          <w:szCs w:val="22"/>
        </w:rPr>
      </w:pPr>
    </w:p>
    <w:p w14:paraId="7B6C134B" w14:textId="77777777" w:rsidR="006E3229" w:rsidRDefault="006E3229">
      <w:pPr>
        <w:spacing w:line="240" w:lineRule="auto"/>
        <w:rPr>
          <w:szCs w:val="22"/>
        </w:rPr>
      </w:pPr>
    </w:p>
    <w:p w14:paraId="7C2D1E9A" w14:textId="77777777" w:rsidR="006E3229" w:rsidRDefault="006E3229">
      <w:pPr>
        <w:spacing w:line="240" w:lineRule="auto"/>
        <w:rPr>
          <w:szCs w:val="22"/>
        </w:rPr>
      </w:pPr>
    </w:p>
    <w:p w14:paraId="69FBEB9C" w14:textId="77777777" w:rsidR="006E3229" w:rsidRDefault="006E3229">
      <w:pPr>
        <w:spacing w:line="240" w:lineRule="auto"/>
        <w:rPr>
          <w:szCs w:val="22"/>
        </w:rPr>
      </w:pPr>
    </w:p>
    <w:p w14:paraId="008AAEA5" w14:textId="77777777" w:rsidR="006E3229" w:rsidRDefault="006E3229">
      <w:pPr>
        <w:spacing w:line="240" w:lineRule="auto"/>
        <w:rPr>
          <w:szCs w:val="22"/>
        </w:rPr>
      </w:pPr>
    </w:p>
    <w:p w14:paraId="635AA3CA" w14:textId="77777777" w:rsidR="006E3229" w:rsidRDefault="006E3229">
      <w:pPr>
        <w:spacing w:line="240" w:lineRule="auto"/>
        <w:rPr>
          <w:szCs w:val="22"/>
        </w:rPr>
      </w:pPr>
    </w:p>
    <w:p w14:paraId="274A70E6" w14:textId="77777777" w:rsidR="006E3229" w:rsidRDefault="006E3229">
      <w:pPr>
        <w:spacing w:line="240" w:lineRule="auto"/>
        <w:rPr>
          <w:szCs w:val="22"/>
        </w:rPr>
      </w:pPr>
    </w:p>
    <w:p w14:paraId="6DD9F7CD" w14:textId="77777777" w:rsidR="006E3229" w:rsidRDefault="006E3229">
      <w:pPr>
        <w:spacing w:line="240" w:lineRule="auto"/>
        <w:rPr>
          <w:szCs w:val="22"/>
        </w:rPr>
      </w:pPr>
    </w:p>
    <w:p w14:paraId="5E0461EA" w14:textId="77777777" w:rsidR="006E3229" w:rsidRDefault="006E3229">
      <w:pPr>
        <w:spacing w:line="240" w:lineRule="auto"/>
        <w:rPr>
          <w:szCs w:val="22"/>
        </w:rPr>
      </w:pPr>
    </w:p>
    <w:p w14:paraId="692D4451" w14:textId="77777777" w:rsidR="006E3229" w:rsidRDefault="006E3229">
      <w:pPr>
        <w:spacing w:line="240" w:lineRule="auto"/>
        <w:rPr>
          <w:szCs w:val="22"/>
        </w:rPr>
      </w:pPr>
    </w:p>
    <w:p w14:paraId="08A2D05D" w14:textId="77777777" w:rsidR="006E3229" w:rsidRDefault="006E3229">
      <w:pPr>
        <w:spacing w:line="240" w:lineRule="auto"/>
        <w:rPr>
          <w:szCs w:val="22"/>
        </w:rPr>
      </w:pPr>
    </w:p>
    <w:p w14:paraId="692039B4" w14:textId="77777777" w:rsidR="006E3229" w:rsidRDefault="006E3229">
      <w:pPr>
        <w:spacing w:line="240" w:lineRule="auto"/>
        <w:rPr>
          <w:szCs w:val="22"/>
        </w:rPr>
      </w:pPr>
    </w:p>
    <w:p w14:paraId="145297E5" w14:textId="77777777" w:rsidR="006E3229" w:rsidRDefault="006E3229">
      <w:pPr>
        <w:spacing w:line="240" w:lineRule="auto"/>
        <w:rPr>
          <w:szCs w:val="22"/>
        </w:rPr>
      </w:pPr>
    </w:p>
    <w:p w14:paraId="3F99D614" w14:textId="77777777" w:rsidR="006E3229" w:rsidRDefault="006E3229">
      <w:pPr>
        <w:spacing w:line="240" w:lineRule="auto"/>
        <w:rPr>
          <w:szCs w:val="22"/>
        </w:rPr>
      </w:pPr>
    </w:p>
    <w:p w14:paraId="0BB6855A" w14:textId="0DAD10F9" w:rsidR="006E3229" w:rsidRDefault="003D46BA" w:rsidP="003D46BA">
      <w:pPr>
        <w:pStyle w:val="TitleA"/>
      </w:pPr>
      <w:r>
        <w:t xml:space="preserve">A. </w:t>
      </w:r>
      <w:r w:rsidR="00B43C9C">
        <w:t>ETIQUETADO</w:t>
      </w:r>
    </w:p>
    <w:p w14:paraId="74267721" w14:textId="77777777" w:rsidR="006E3229" w:rsidRDefault="00B43C9C">
      <w:pPr>
        <w:shd w:val="clear" w:color="auto" w:fill="FFFFFF"/>
        <w:spacing w:line="240" w:lineRule="auto"/>
        <w:rPr>
          <w:szCs w:val="22"/>
        </w:rPr>
      </w:pPr>
      <w:r>
        <w:br w:type="page"/>
      </w:r>
    </w:p>
    <w:p w14:paraId="02B517FD" w14:textId="77777777" w:rsidR="006E3229" w:rsidRDefault="00B43C9C">
      <w:pPr>
        <w:pBdr>
          <w:top w:val="single" w:sz="4" w:space="1" w:color="auto"/>
          <w:left w:val="single" w:sz="4" w:space="4" w:color="auto"/>
          <w:bottom w:val="single" w:sz="4" w:space="1" w:color="auto"/>
          <w:right w:val="single" w:sz="4" w:space="4" w:color="auto"/>
        </w:pBdr>
        <w:spacing w:line="240" w:lineRule="auto"/>
        <w:rPr>
          <w:b/>
          <w:szCs w:val="22"/>
        </w:rPr>
      </w:pPr>
      <w:r>
        <w:rPr>
          <w:b/>
        </w:rPr>
        <w:lastRenderedPageBreak/>
        <w:t>INFORMACIÓN QUE DEBE FIGURAR EN EL EMBALAJE EXTERIOR</w:t>
      </w:r>
    </w:p>
    <w:p w14:paraId="78660712" w14:textId="77777777" w:rsidR="006E3229" w:rsidRDefault="006E3229">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7D2A264A" w14:textId="77777777" w:rsidR="006E3229" w:rsidRDefault="00B43C9C">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rPr>
        <w:t>CAJA</w:t>
      </w:r>
    </w:p>
    <w:p w14:paraId="550BD340" w14:textId="77777777" w:rsidR="006E3229" w:rsidRDefault="006E3229">
      <w:pPr>
        <w:spacing w:line="240" w:lineRule="auto"/>
      </w:pPr>
    </w:p>
    <w:p w14:paraId="41B42D85" w14:textId="77777777" w:rsidR="006E3229" w:rsidRDefault="006E3229">
      <w:pPr>
        <w:spacing w:line="240" w:lineRule="auto"/>
        <w:rPr>
          <w:szCs w:val="22"/>
        </w:rPr>
      </w:pPr>
    </w:p>
    <w:p w14:paraId="3843170A" w14:textId="77777777" w:rsidR="006E3229" w:rsidRDefault="00B43C9C">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Pr>
          <w:rStyle w:val="DNEx2"/>
        </w:rPr>
        <w:t>1.</w:t>
      </w:r>
      <w:r>
        <w:rPr>
          <w:rStyle w:val="DNEx2"/>
        </w:rPr>
        <w:tab/>
      </w:r>
      <w:r>
        <w:rPr>
          <w:b/>
        </w:rPr>
        <w:t>NOMBRE DEL MEDICAMENTO</w:t>
      </w:r>
    </w:p>
    <w:p w14:paraId="00D7BEAB" w14:textId="77777777" w:rsidR="006E3229" w:rsidRDefault="006E3229">
      <w:pPr>
        <w:keepNext/>
        <w:spacing w:line="240" w:lineRule="auto"/>
        <w:rPr>
          <w:szCs w:val="22"/>
        </w:rPr>
      </w:pPr>
    </w:p>
    <w:p w14:paraId="6FBA460A" w14:textId="77777777" w:rsidR="006E3229" w:rsidRDefault="00B43C9C">
      <w:pPr>
        <w:spacing w:line="240" w:lineRule="auto"/>
        <w:rPr>
          <w:szCs w:val="22"/>
        </w:rPr>
      </w:pPr>
      <w:r>
        <w:t>AGAMREE 40 mg/ml suspensión oral</w:t>
      </w:r>
    </w:p>
    <w:p w14:paraId="581DD602" w14:textId="77777777" w:rsidR="006E3229" w:rsidRPr="003D46BA" w:rsidRDefault="00B43C9C">
      <w:pPr>
        <w:spacing w:line="240" w:lineRule="auto"/>
        <w:rPr>
          <w:szCs w:val="22"/>
          <w:lang w:val="pt-BR"/>
        </w:rPr>
      </w:pPr>
      <w:r w:rsidRPr="003D46BA">
        <w:rPr>
          <w:lang w:val="pt-BR"/>
        </w:rPr>
        <w:t>vamorolona</w:t>
      </w:r>
    </w:p>
    <w:p w14:paraId="0BA7F128" w14:textId="77777777" w:rsidR="006E3229" w:rsidRPr="003D46BA" w:rsidRDefault="006E3229">
      <w:pPr>
        <w:spacing w:line="240" w:lineRule="auto"/>
        <w:rPr>
          <w:szCs w:val="22"/>
          <w:lang w:val="pt-BR"/>
        </w:rPr>
      </w:pPr>
    </w:p>
    <w:p w14:paraId="44DB4A9F" w14:textId="77777777" w:rsidR="006E3229" w:rsidRPr="003D46BA" w:rsidRDefault="006E3229">
      <w:pPr>
        <w:spacing w:line="240" w:lineRule="auto"/>
        <w:rPr>
          <w:szCs w:val="22"/>
          <w:lang w:val="pt-BR"/>
        </w:rPr>
      </w:pPr>
    </w:p>
    <w:p w14:paraId="2BCA8D5B" w14:textId="77777777" w:rsidR="006E3229" w:rsidRPr="003D46BA" w:rsidRDefault="00B43C9C">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pt-BR"/>
        </w:rPr>
      </w:pPr>
      <w:r w:rsidRPr="003D46BA">
        <w:rPr>
          <w:rStyle w:val="DNEx2"/>
          <w:lang w:val="pt-BR"/>
        </w:rPr>
        <w:t>2.</w:t>
      </w:r>
      <w:r w:rsidRPr="003D46BA">
        <w:rPr>
          <w:rStyle w:val="DNEx2"/>
          <w:lang w:val="pt-BR"/>
        </w:rPr>
        <w:tab/>
      </w:r>
      <w:r w:rsidRPr="003D46BA">
        <w:rPr>
          <w:b/>
          <w:lang w:val="pt-BR"/>
        </w:rPr>
        <w:t>PRINCIPIO(S) ACTIVO(S)</w:t>
      </w:r>
    </w:p>
    <w:p w14:paraId="149D9C80" w14:textId="77777777" w:rsidR="006E3229" w:rsidRPr="003D46BA" w:rsidRDefault="006E3229">
      <w:pPr>
        <w:keepNext/>
        <w:spacing w:line="240" w:lineRule="auto"/>
        <w:rPr>
          <w:szCs w:val="22"/>
          <w:lang w:val="pt-BR"/>
        </w:rPr>
      </w:pPr>
    </w:p>
    <w:p w14:paraId="7D899611" w14:textId="77777777" w:rsidR="006E3229" w:rsidRDefault="00B43C9C">
      <w:pPr>
        <w:spacing w:line="240" w:lineRule="auto"/>
        <w:rPr>
          <w:szCs w:val="22"/>
        </w:rPr>
      </w:pPr>
      <w:r>
        <w:t xml:space="preserve">Cada ml de suspensión oral contiene 40 mg de </w:t>
      </w:r>
      <w:proofErr w:type="spellStart"/>
      <w:r>
        <w:t>vamorolona</w:t>
      </w:r>
      <w:proofErr w:type="spellEnd"/>
      <w:r>
        <w:t>.</w:t>
      </w:r>
    </w:p>
    <w:p w14:paraId="224EF387" w14:textId="77777777" w:rsidR="006E3229" w:rsidRDefault="006E3229">
      <w:pPr>
        <w:spacing w:line="240" w:lineRule="auto"/>
        <w:rPr>
          <w:szCs w:val="22"/>
        </w:rPr>
      </w:pPr>
    </w:p>
    <w:p w14:paraId="49E14481" w14:textId="77777777" w:rsidR="006E3229" w:rsidRDefault="006E3229">
      <w:pPr>
        <w:spacing w:line="240" w:lineRule="auto"/>
        <w:rPr>
          <w:szCs w:val="22"/>
        </w:rPr>
      </w:pPr>
    </w:p>
    <w:p w14:paraId="620DE71F" w14:textId="77777777" w:rsidR="006E3229" w:rsidRDefault="00B43C9C">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rStyle w:val="DNEx2"/>
        </w:rPr>
        <w:t>3.</w:t>
      </w:r>
      <w:r>
        <w:rPr>
          <w:rStyle w:val="DNEx2"/>
        </w:rPr>
        <w:tab/>
      </w:r>
      <w:r>
        <w:rPr>
          <w:b/>
        </w:rPr>
        <w:t>LISTA DE EXCIPIENTES</w:t>
      </w:r>
    </w:p>
    <w:p w14:paraId="4A687D6F" w14:textId="77777777" w:rsidR="006E3229" w:rsidRDefault="006E3229">
      <w:pPr>
        <w:keepNext/>
        <w:spacing w:line="240" w:lineRule="auto"/>
        <w:rPr>
          <w:szCs w:val="22"/>
        </w:rPr>
      </w:pPr>
    </w:p>
    <w:p w14:paraId="25A0D7C1" w14:textId="77777777" w:rsidR="006E3229" w:rsidRDefault="00B43C9C">
      <w:pPr>
        <w:spacing w:line="240" w:lineRule="auto"/>
        <w:rPr>
          <w:szCs w:val="22"/>
        </w:rPr>
      </w:pPr>
      <w:r>
        <w:t xml:space="preserve">Contiene benzoato de sodio (E 211). </w:t>
      </w:r>
      <w:r>
        <w:rPr>
          <w:highlight w:val="lightGray"/>
        </w:rPr>
        <w:t>Para mayor información, consultar el prospecto.</w:t>
      </w:r>
    </w:p>
    <w:p w14:paraId="2681C515" w14:textId="77777777" w:rsidR="006E3229" w:rsidRDefault="006E3229">
      <w:pPr>
        <w:spacing w:line="240" w:lineRule="auto"/>
        <w:rPr>
          <w:szCs w:val="22"/>
        </w:rPr>
      </w:pPr>
    </w:p>
    <w:p w14:paraId="5B72726C" w14:textId="77777777" w:rsidR="006E3229" w:rsidRDefault="006E3229">
      <w:pPr>
        <w:spacing w:line="240" w:lineRule="auto"/>
        <w:rPr>
          <w:szCs w:val="22"/>
        </w:rPr>
      </w:pPr>
    </w:p>
    <w:p w14:paraId="509C7120" w14:textId="77777777" w:rsidR="006E3229" w:rsidRDefault="00B43C9C">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rStyle w:val="DNEx2"/>
        </w:rPr>
        <w:t>4.</w:t>
      </w:r>
      <w:r>
        <w:rPr>
          <w:rStyle w:val="DNEx2"/>
        </w:rPr>
        <w:tab/>
      </w:r>
      <w:r>
        <w:rPr>
          <w:b/>
        </w:rPr>
        <w:t>FORMA FARMACÉUTICA Y CONTENIDO DEL ENVASE</w:t>
      </w:r>
    </w:p>
    <w:p w14:paraId="1CACB4F0" w14:textId="77777777" w:rsidR="006E3229" w:rsidRDefault="006E3229">
      <w:pPr>
        <w:keepNext/>
        <w:spacing w:line="240" w:lineRule="auto"/>
        <w:rPr>
          <w:szCs w:val="22"/>
        </w:rPr>
      </w:pPr>
    </w:p>
    <w:p w14:paraId="28A62CA3" w14:textId="77777777" w:rsidR="006E3229" w:rsidRDefault="00B43C9C">
      <w:pPr>
        <w:spacing w:line="240" w:lineRule="auto"/>
      </w:pPr>
      <w:r>
        <w:rPr>
          <w:highlight w:val="lightGray"/>
        </w:rPr>
        <w:t>Suspensión oral</w:t>
      </w:r>
    </w:p>
    <w:p w14:paraId="0A0B2DB4" w14:textId="77777777" w:rsidR="006E3229" w:rsidRDefault="006E3229">
      <w:pPr>
        <w:spacing w:line="240" w:lineRule="auto"/>
        <w:rPr>
          <w:szCs w:val="22"/>
        </w:rPr>
      </w:pPr>
    </w:p>
    <w:p w14:paraId="69E5069D" w14:textId="77777777" w:rsidR="006E3229" w:rsidRDefault="00B43C9C">
      <w:pPr>
        <w:spacing w:line="240" w:lineRule="auto"/>
        <w:rPr>
          <w:szCs w:val="22"/>
        </w:rPr>
      </w:pPr>
      <w:r>
        <w:t xml:space="preserve">1 frasco de 100 ml </w:t>
      </w:r>
      <w:r>
        <w:rPr>
          <w:highlight w:val="lightGray"/>
        </w:rPr>
        <w:t>de suspensión oral.</w:t>
      </w:r>
    </w:p>
    <w:p w14:paraId="123BA608" w14:textId="77777777" w:rsidR="006E3229" w:rsidRDefault="00B43C9C">
      <w:pPr>
        <w:spacing w:line="240" w:lineRule="auto"/>
      </w:pPr>
      <w:r>
        <w:t>1 adaptador de frasco a presión.</w:t>
      </w:r>
    </w:p>
    <w:p w14:paraId="155D3117" w14:textId="77777777" w:rsidR="006E3229" w:rsidRDefault="00B43C9C">
      <w:pPr>
        <w:spacing w:line="240" w:lineRule="auto"/>
      </w:pPr>
      <w:r>
        <w:t>Dos jeringas orales de 8 ml.</w:t>
      </w:r>
    </w:p>
    <w:p w14:paraId="3330EAF7" w14:textId="77777777" w:rsidR="006E3229" w:rsidRDefault="006E3229">
      <w:pPr>
        <w:spacing w:line="240" w:lineRule="auto"/>
        <w:rPr>
          <w:szCs w:val="22"/>
        </w:rPr>
      </w:pPr>
    </w:p>
    <w:p w14:paraId="76B2D4A0" w14:textId="77777777" w:rsidR="006E3229" w:rsidRDefault="006E3229">
      <w:pPr>
        <w:spacing w:line="240" w:lineRule="auto"/>
        <w:rPr>
          <w:szCs w:val="22"/>
        </w:rPr>
      </w:pPr>
    </w:p>
    <w:p w14:paraId="45940898" w14:textId="77777777" w:rsidR="006E3229" w:rsidRDefault="00B43C9C">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rStyle w:val="DNEx2"/>
        </w:rPr>
        <w:t>5.</w:t>
      </w:r>
      <w:r>
        <w:rPr>
          <w:rStyle w:val="DNEx2"/>
        </w:rPr>
        <w:tab/>
      </w:r>
      <w:r>
        <w:rPr>
          <w:b/>
        </w:rPr>
        <w:t>MODO Y VÍA(S) DE ADMINISTRACIÓN</w:t>
      </w:r>
    </w:p>
    <w:p w14:paraId="5B1A7C78" w14:textId="77777777" w:rsidR="006E3229" w:rsidRDefault="006E3229">
      <w:pPr>
        <w:keepNext/>
        <w:spacing w:line="240" w:lineRule="auto"/>
      </w:pPr>
    </w:p>
    <w:p w14:paraId="2225EBDA" w14:textId="77777777" w:rsidR="006E3229" w:rsidRDefault="00B43C9C">
      <w:pPr>
        <w:spacing w:line="240" w:lineRule="auto"/>
      </w:pPr>
      <w:r>
        <w:t>Agitar bien antes de usar.</w:t>
      </w:r>
    </w:p>
    <w:p w14:paraId="23D5BF06" w14:textId="77777777" w:rsidR="006E3229" w:rsidRDefault="00B43C9C">
      <w:pPr>
        <w:spacing w:line="240" w:lineRule="auto"/>
        <w:rPr>
          <w:szCs w:val="22"/>
        </w:rPr>
      </w:pPr>
      <w:r>
        <w:t>Leer el prospecto antes de utilizar este medicamento.</w:t>
      </w:r>
    </w:p>
    <w:p w14:paraId="5A0DFED4" w14:textId="77777777" w:rsidR="006E3229" w:rsidRDefault="00B43C9C">
      <w:pPr>
        <w:autoSpaceDE w:val="0"/>
        <w:autoSpaceDN w:val="0"/>
        <w:adjustRightInd w:val="0"/>
        <w:spacing w:line="240" w:lineRule="auto"/>
        <w:rPr>
          <w:szCs w:val="22"/>
        </w:rPr>
      </w:pPr>
      <w:r>
        <w:t>Vía oral.</w:t>
      </w:r>
    </w:p>
    <w:p w14:paraId="65F5E6F3" w14:textId="77777777" w:rsidR="006E3229" w:rsidRDefault="006E3229">
      <w:pPr>
        <w:spacing w:line="240" w:lineRule="auto"/>
        <w:rPr>
          <w:szCs w:val="22"/>
        </w:rPr>
      </w:pPr>
    </w:p>
    <w:p w14:paraId="25A9F39C" w14:textId="77777777" w:rsidR="006E3229" w:rsidRDefault="006E3229">
      <w:pPr>
        <w:spacing w:line="240" w:lineRule="auto"/>
        <w:rPr>
          <w:szCs w:val="22"/>
        </w:rPr>
      </w:pPr>
    </w:p>
    <w:p w14:paraId="03F380C4" w14:textId="77777777" w:rsidR="006E3229" w:rsidRDefault="00B43C9C">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rStyle w:val="DNEx2"/>
        </w:rPr>
        <w:t>6.</w:t>
      </w:r>
      <w:r>
        <w:rPr>
          <w:rStyle w:val="DNEx2"/>
        </w:rPr>
        <w:tab/>
      </w:r>
      <w:r>
        <w:rPr>
          <w:b/>
        </w:rPr>
        <w:t>ADVERTENCIA ESPECIAL DE QUE EL MEDICAMENTO DEBE MANTENERSE FUERA DE LA VISTA Y DEL ALCANCE DE LOS NIÑOS</w:t>
      </w:r>
    </w:p>
    <w:p w14:paraId="2F9F918E" w14:textId="77777777" w:rsidR="006E3229" w:rsidRDefault="006E3229">
      <w:pPr>
        <w:keepNext/>
        <w:spacing w:line="240" w:lineRule="auto"/>
        <w:rPr>
          <w:szCs w:val="22"/>
        </w:rPr>
      </w:pPr>
    </w:p>
    <w:p w14:paraId="179FD0D3" w14:textId="77777777" w:rsidR="006E3229" w:rsidRDefault="00B43C9C">
      <w:pPr>
        <w:spacing w:line="240" w:lineRule="auto"/>
        <w:rPr>
          <w:szCs w:val="22"/>
        </w:rPr>
      </w:pPr>
      <w:r>
        <w:t>Mantener fuera de la vista y del alcance de los niños.</w:t>
      </w:r>
    </w:p>
    <w:p w14:paraId="691AF921" w14:textId="77777777" w:rsidR="006E3229" w:rsidRDefault="006E3229">
      <w:pPr>
        <w:spacing w:line="240" w:lineRule="auto"/>
        <w:rPr>
          <w:szCs w:val="22"/>
        </w:rPr>
      </w:pPr>
    </w:p>
    <w:p w14:paraId="4AD455F5" w14:textId="77777777" w:rsidR="006E3229" w:rsidRDefault="006E3229">
      <w:pPr>
        <w:spacing w:line="240" w:lineRule="auto"/>
        <w:rPr>
          <w:szCs w:val="22"/>
        </w:rPr>
      </w:pPr>
    </w:p>
    <w:p w14:paraId="4EF27238" w14:textId="77777777" w:rsidR="006E3229" w:rsidRDefault="00B43C9C">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rStyle w:val="DNEx2"/>
        </w:rPr>
        <w:t>7.</w:t>
      </w:r>
      <w:r>
        <w:rPr>
          <w:rStyle w:val="DNEx2"/>
        </w:rPr>
        <w:tab/>
      </w:r>
      <w:r>
        <w:rPr>
          <w:b/>
        </w:rPr>
        <w:t>OTRA(S) ADVERTENCIA(S) ESPECIAL(ES), SI ES NECESARIO</w:t>
      </w:r>
    </w:p>
    <w:p w14:paraId="46149C7E" w14:textId="77777777" w:rsidR="006E3229" w:rsidRDefault="006E3229">
      <w:pPr>
        <w:spacing w:line="240" w:lineRule="auto"/>
        <w:rPr>
          <w:szCs w:val="22"/>
        </w:rPr>
      </w:pPr>
    </w:p>
    <w:p w14:paraId="1FC478EC" w14:textId="77777777" w:rsidR="006E3229" w:rsidRDefault="006E3229">
      <w:pPr>
        <w:tabs>
          <w:tab w:val="left" w:pos="749"/>
        </w:tabs>
        <w:spacing w:line="240" w:lineRule="auto"/>
      </w:pPr>
    </w:p>
    <w:p w14:paraId="4F5FC5D5" w14:textId="77777777" w:rsidR="006E3229" w:rsidRDefault="00B43C9C">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Pr>
          <w:rStyle w:val="DNEx2"/>
        </w:rPr>
        <w:t>8.</w:t>
      </w:r>
      <w:r>
        <w:rPr>
          <w:rStyle w:val="DNEx2"/>
        </w:rPr>
        <w:tab/>
      </w:r>
      <w:r>
        <w:rPr>
          <w:b/>
        </w:rPr>
        <w:t>FECHA DE CADUCIDAD</w:t>
      </w:r>
    </w:p>
    <w:p w14:paraId="28355CE3" w14:textId="77777777" w:rsidR="006E3229" w:rsidRDefault="006E3229">
      <w:pPr>
        <w:keepNext/>
        <w:spacing w:line="240" w:lineRule="auto"/>
      </w:pPr>
    </w:p>
    <w:p w14:paraId="22394882" w14:textId="77777777" w:rsidR="006E3229" w:rsidRDefault="00B43C9C">
      <w:pPr>
        <w:spacing w:line="240" w:lineRule="auto"/>
      </w:pPr>
      <w:r>
        <w:t>CAD</w:t>
      </w:r>
    </w:p>
    <w:p w14:paraId="0A9F671D" w14:textId="77777777" w:rsidR="006E3229" w:rsidRDefault="00B43C9C">
      <w:pPr>
        <w:spacing w:line="240" w:lineRule="auto"/>
      </w:pPr>
      <w:r>
        <w:t>Después de la primera apertura, conservar el frasco en posición vertical en nevera.</w:t>
      </w:r>
    </w:p>
    <w:p w14:paraId="20438CBE" w14:textId="77777777" w:rsidR="006E3229" w:rsidRDefault="00B43C9C">
      <w:pPr>
        <w:spacing w:line="240" w:lineRule="auto"/>
      </w:pPr>
      <w:r>
        <w:t>Descarte cualquier suspensión restante en un plazo de 3 meses a partir de la primera apertura.</w:t>
      </w:r>
    </w:p>
    <w:p w14:paraId="5A7B1A42" w14:textId="77777777" w:rsidR="006E3229" w:rsidRDefault="006E3229">
      <w:pPr>
        <w:spacing w:line="240" w:lineRule="auto"/>
      </w:pPr>
    </w:p>
    <w:p w14:paraId="3FAB2986" w14:textId="77777777" w:rsidR="006E3229" w:rsidRDefault="00B43C9C">
      <w:pPr>
        <w:spacing w:line="240" w:lineRule="auto"/>
      </w:pPr>
      <w:r>
        <w:t>Fecha de la primera apertura:</w:t>
      </w:r>
    </w:p>
    <w:p w14:paraId="2464C177" w14:textId="77777777" w:rsidR="006E3229" w:rsidRDefault="006E3229">
      <w:pPr>
        <w:spacing w:line="240" w:lineRule="auto"/>
      </w:pPr>
    </w:p>
    <w:p w14:paraId="485EA628" w14:textId="77777777" w:rsidR="006E3229" w:rsidRDefault="006E3229">
      <w:pPr>
        <w:spacing w:line="240" w:lineRule="auto"/>
        <w:rPr>
          <w:szCs w:val="22"/>
        </w:rPr>
      </w:pPr>
    </w:p>
    <w:p w14:paraId="721921A6" w14:textId="77777777" w:rsidR="006E3229" w:rsidRDefault="00B43C9C">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rStyle w:val="DNEx2"/>
        </w:rPr>
        <w:lastRenderedPageBreak/>
        <w:t>9.</w:t>
      </w:r>
      <w:r>
        <w:rPr>
          <w:rStyle w:val="DNEx2"/>
        </w:rPr>
        <w:tab/>
      </w:r>
      <w:r>
        <w:rPr>
          <w:b/>
        </w:rPr>
        <w:t>CONDICIONES ESPECIALES DE CONSERVACIÓN</w:t>
      </w:r>
    </w:p>
    <w:p w14:paraId="492CC455" w14:textId="77777777" w:rsidR="006E3229" w:rsidRDefault="006E3229">
      <w:pPr>
        <w:spacing w:line="240" w:lineRule="auto"/>
        <w:rPr>
          <w:szCs w:val="22"/>
        </w:rPr>
      </w:pPr>
    </w:p>
    <w:p w14:paraId="5574C16D" w14:textId="77777777" w:rsidR="006E3229" w:rsidRDefault="006E3229">
      <w:pPr>
        <w:spacing w:line="240" w:lineRule="auto"/>
        <w:ind w:left="567" w:hanging="567"/>
        <w:rPr>
          <w:szCs w:val="22"/>
        </w:rPr>
      </w:pPr>
    </w:p>
    <w:p w14:paraId="7B2D568C" w14:textId="77777777" w:rsidR="006E3229" w:rsidRDefault="006E3229">
      <w:pPr>
        <w:spacing w:line="240" w:lineRule="auto"/>
        <w:ind w:left="567" w:hanging="567"/>
        <w:rPr>
          <w:szCs w:val="22"/>
        </w:rPr>
      </w:pPr>
    </w:p>
    <w:p w14:paraId="155E44E7" w14:textId="77777777" w:rsidR="006E3229" w:rsidRDefault="00B43C9C">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Pr>
          <w:rStyle w:val="DNEx2"/>
        </w:rPr>
        <w:t>10.</w:t>
      </w:r>
      <w:r>
        <w:rPr>
          <w:rStyle w:val="DNEx2"/>
        </w:rPr>
        <w:tab/>
      </w:r>
      <w:r>
        <w:rPr>
          <w:b/>
        </w:rPr>
        <w:t>PRECAUCIONES ESPECIALES DE ELIMINACIÓN DEL MEDICAMENTO NO UTILIZADO Y DE LOS MATERIALES DERIVADOS DE SU USO, CUANDO CORRESPONDA</w:t>
      </w:r>
    </w:p>
    <w:p w14:paraId="5C861820" w14:textId="77777777" w:rsidR="006E3229" w:rsidRDefault="006E3229">
      <w:pPr>
        <w:spacing w:line="240" w:lineRule="auto"/>
        <w:rPr>
          <w:szCs w:val="22"/>
        </w:rPr>
      </w:pPr>
    </w:p>
    <w:p w14:paraId="1F586509" w14:textId="77777777" w:rsidR="006E3229" w:rsidRDefault="006E3229">
      <w:pPr>
        <w:spacing w:line="240" w:lineRule="auto"/>
        <w:rPr>
          <w:szCs w:val="22"/>
        </w:rPr>
      </w:pPr>
    </w:p>
    <w:p w14:paraId="1D28C2D8" w14:textId="77777777" w:rsidR="006E3229" w:rsidRDefault="006E3229">
      <w:pPr>
        <w:spacing w:line="240" w:lineRule="auto"/>
        <w:rPr>
          <w:szCs w:val="22"/>
        </w:rPr>
      </w:pPr>
    </w:p>
    <w:p w14:paraId="3FC79144" w14:textId="77777777" w:rsidR="006E3229" w:rsidRDefault="00B43C9C">
      <w:pPr>
        <w:keepNext/>
        <w:pBdr>
          <w:top w:val="single" w:sz="4" w:space="1" w:color="auto"/>
          <w:left w:val="single" w:sz="4" w:space="4" w:color="auto"/>
          <w:bottom w:val="single" w:sz="4" w:space="1" w:color="auto"/>
          <w:right w:val="single" w:sz="4" w:space="4" w:color="auto"/>
        </w:pBdr>
        <w:spacing w:line="240" w:lineRule="auto"/>
        <w:outlineLvl w:val="0"/>
        <w:rPr>
          <w:b/>
          <w:szCs w:val="22"/>
        </w:rPr>
      </w:pPr>
      <w:r>
        <w:rPr>
          <w:rStyle w:val="DNEx2"/>
        </w:rPr>
        <w:t>11.</w:t>
      </w:r>
      <w:r>
        <w:rPr>
          <w:rStyle w:val="DNEx2"/>
        </w:rPr>
        <w:tab/>
      </w:r>
      <w:r>
        <w:rPr>
          <w:b/>
        </w:rPr>
        <w:t>NOMBRE Y DIRECCIÓN DEL TITULAR DE LA AUTORIZACIÓN DE COMERCIALIZACIÓN</w:t>
      </w:r>
    </w:p>
    <w:p w14:paraId="661CAB67" w14:textId="77777777" w:rsidR="006E3229" w:rsidRDefault="006E3229">
      <w:pPr>
        <w:keepNext/>
        <w:spacing w:line="240" w:lineRule="auto"/>
        <w:rPr>
          <w:szCs w:val="22"/>
        </w:rPr>
      </w:pPr>
    </w:p>
    <w:p w14:paraId="74E8761E" w14:textId="77777777" w:rsidR="006E3229" w:rsidRPr="009624C6" w:rsidRDefault="00B43C9C">
      <w:pPr>
        <w:spacing w:line="240" w:lineRule="auto"/>
        <w:rPr>
          <w:szCs w:val="22"/>
          <w:lang w:val="de-DE"/>
        </w:rPr>
      </w:pPr>
      <w:r w:rsidRPr="009624C6">
        <w:rPr>
          <w:lang w:val="de-DE"/>
        </w:rPr>
        <w:t>Santhera Pharmaceuticals (Deutschland) GmbH</w:t>
      </w:r>
    </w:p>
    <w:p w14:paraId="150845BA" w14:textId="77777777" w:rsidR="006E3229" w:rsidRPr="009624C6" w:rsidRDefault="00B43C9C">
      <w:pPr>
        <w:spacing w:line="240" w:lineRule="auto"/>
        <w:rPr>
          <w:szCs w:val="22"/>
          <w:lang w:val="de-DE"/>
        </w:rPr>
      </w:pPr>
      <w:r w:rsidRPr="009624C6">
        <w:rPr>
          <w:lang w:val="de-DE"/>
        </w:rPr>
        <w:t>Marie-Curie-Straße 8</w:t>
      </w:r>
    </w:p>
    <w:p w14:paraId="7967A88A" w14:textId="77777777" w:rsidR="006E3229" w:rsidRDefault="00B43C9C">
      <w:pPr>
        <w:spacing w:line="240" w:lineRule="auto"/>
        <w:rPr>
          <w:szCs w:val="22"/>
        </w:rPr>
      </w:pPr>
      <w:r>
        <w:t>D-79539 </w:t>
      </w:r>
      <w:proofErr w:type="spellStart"/>
      <w:r>
        <w:t>Lörrach</w:t>
      </w:r>
      <w:proofErr w:type="spellEnd"/>
    </w:p>
    <w:p w14:paraId="18B9AA46" w14:textId="77777777" w:rsidR="006E3229" w:rsidRDefault="00B43C9C">
      <w:pPr>
        <w:spacing w:line="240" w:lineRule="auto"/>
        <w:rPr>
          <w:szCs w:val="22"/>
        </w:rPr>
      </w:pPr>
      <w:r>
        <w:t>Alemania</w:t>
      </w:r>
    </w:p>
    <w:p w14:paraId="25C607E3" w14:textId="77777777" w:rsidR="006E3229" w:rsidRDefault="006E3229">
      <w:pPr>
        <w:spacing w:line="240" w:lineRule="auto"/>
        <w:rPr>
          <w:szCs w:val="22"/>
        </w:rPr>
      </w:pPr>
    </w:p>
    <w:p w14:paraId="39295BBE" w14:textId="77777777" w:rsidR="006E3229" w:rsidRDefault="006E3229">
      <w:pPr>
        <w:spacing w:line="240" w:lineRule="auto"/>
        <w:rPr>
          <w:szCs w:val="22"/>
        </w:rPr>
      </w:pPr>
    </w:p>
    <w:p w14:paraId="02B15E6B" w14:textId="77777777" w:rsidR="006E3229" w:rsidRDefault="00B43C9C">
      <w:pPr>
        <w:keepNext/>
        <w:pBdr>
          <w:top w:val="single" w:sz="4" w:space="1" w:color="auto"/>
          <w:left w:val="single" w:sz="4" w:space="4" w:color="auto"/>
          <w:bottom w:val="single" w:sz="4" w:space="1" w:color="auto"/>
          <w:right w:val="single" w:sz="4" w:space="4" w:color="auto"/>
        </w:pBdr>
        <w:spacing w:line="240" w:lineRule="auto"/>
        <w:outlineLvl w:val="0"/>
        <w:rPr>
          <w:szCs w:val="22"/>
        </w:rPr>
      </w:pPr>
      <w:r>
        <w:rPr>
          <w:rStyle w:val="DNEx2"/>
        </w:rPr>
        <w:t>12.</w:t>
      </w:r>
      <w:r>
        <w:rPr>
          <w:rStyle w:val="DNEx2"/>
        </w:rPr>
        <w:tab/>
      </w:r>
      <w:r>
        <w:rPr>
          <w:b/>
        </w:rPr>
        <w:t>NÚMERO(S) DE AUTORIZACIÓN DE COMERCIALIZACIÓN</w:t>
      </w:r>
    </w:p>
    <w:p w14:paraId="697FF2E7" w14:textId="77777777" w:rsidR="006E3229" w:rsidRDefault="006E3229">
      <w:pPr>
        <w:keepNext/>
        <w:spacing w:line="240" w:lineRule="auto"/>
        <w:rPr>
          <w:szCs w:val="22"/>
        </w:rPr>
      </w:pPr>
    </w:p>
    <w:p w14:paraId="6C96856C" w14:textId="77777777" w:rsidR="006E3229" w:rsidRDefault="00B43C9C">
      <w:pPr>
        <w:spacing w:line="240" w:lineRule="auto"/>
        <w:outlineLvl w:val="0"/>
        <w:rPr>
          <w:szCs w:val="22"/>
        </w:rPr>
      </w:pPr>
      <w:r>
        <w:t>EU/1/23/1776/001</w:t>
      </w:r>
    </w:p>
    <w:p w14:paraId="65897A97" w14:textId="77777777" w:rsidR="006E3229" w:rsidRDefault="006E3229">
      <w:pPr>
        <w:spacing w:line="240" w:lineRule="auto"/>
        <w:rPr>
          <w:szCs w:val="22"/>
        </w:rPr>
      </w:pPr>
    </w:p>
    <w:p w14:paraId="6630E485" w14:textId="77777777" w:rsidR="006E3229" w:rsidRDefault="006E3229">
      <w:pPr>
        <w:spacing w:line="240" w:lineRule="auto"/>
        <w:rPr>
          <w:szCs w:val="22"/>
        </w:rPr>
      </w:pPr>
    </w:p>
    <w:p w14:paraId="7CBBB135" w14:textId="77777777" w:rsidR="006E3229" w:rsidRDefault="00B43C9C">
      <w:pPr>
        <w:keepNext/>
        <w:pBdr>
          <w:top w:val="single" w:sz="4" w:space="1" w:color="auto"/>
          <w:left w:val="single" w:sz="4" w:space="4" w:color="auto"/>
          <w:bottom w:val="single" w:sz="4" w:space="1" w:color="auto"/>
          <w:right w:val="single" w:sz="4" w:space="4" w:color="auto"/>
        </w:pBdr>
        <w:spacing w:line="240" w:lineRule="auto"/>
        <w:outlineLvl w:val="0"/>
        <w:rPr>
          <w:szCs w:val="22"/>
        </w:rPr>
      </w:pPr>
      <w:r>
        <w:rPr>
          <w:rStyle w:val="DNEx2"/>
        </w:rPr>
        <w:t>13.</w:t>
      </w:r>
      <w:r>
        <w:rPr>
          <w:rStyle w:val="DNEx2"/>
        </w:rPr>
        <w:tab/>
      </w:r>
      <w:r>
        <w:rPr>
          <w:b/>
        </w:rPr>
        <w:t>NÚMERO DE LOTE</w:t>
      </w:r>
    </w:p>
    <w:p w14:paraId="478A37DD" w14:textId="77777777" w:rsidR="006E3229" w:rsidRDefault="006E3229">
      <w:pPr>
        <w:keepNext/>
        <w:spacing w:line="240" w:lineRule="auto"/>
        <w:rPr>
          <w:i/>
          <w:szCs w:val="22"/>
        </w:rPr>
      </w:pPr>
    </w:p>
    <w:p w14:paraId="1C8DEBA2" w14:textId="77777777" w:rsidR="006E3229" w:rsidRDefault="00B43C9C">
      <w:pPr>
        <w:spacing w:line="240" w:lineRule="auto"/>
      </w:pPr>
      <w:r>
        <w:t>Lote</w:t>
      </w:r>
    </w:p>
    <w:p w14:paraId="0B95713C" w14:textId="77777777" w:rsidR="006E3229" w:rsidRDefault="006E3229">
      <w:pPr>
        <w:spacing w:line="240" w:lineRule="auto"/>
        <w:rPr>
          <w:i/>
          <w:szCs w:val="22"/>
        </w:rPr>
      </w:pPr>
    </w:p>
    <w:p w14:paraId="7F25B3EE" w14:textId="77777777" w:rsidR="006E3229" w:rsidRDefault="006E3229">
      <w:pPr>
        <w:spacing w:line="240" w:lineRule="auto"/>
        <w:rPr>
          <w:szCs w:val="22"/>
        </w:rPr>
      </w:pPr>
    </w:p>
    <w:p w14:paraId="6474A6F2" w14:textId="77777777" w:rsidR="006E3229" w:rsidRDefault="00B43C9C">
      <w:pPr>
        <w:pBdr>
          <w:top w:val="single" w:sz="4" w:space="1" w:color="auto"/>
          <w:left w:val="single" w:sz="4" w:space="4" w:color="auto"/>
          <w:bottom w:val="single" w:sz="4" w:space="1" w:color="auto"/>
          <w:right w:val="single" w:sz="4" w:space="4" w:color="auto"/>
        </w:pBdr>
        <w:spacing w:line="240" w:lineRule="auto"/>
        <w:outlineLvl w:val="0"/>
        <w:rPr>
          <w:szCs w:val="22"/>
        </w:rPr>
      </w:pPr>
      <w:r>
        <w:rPr>
          <w:rStyle w:val="DNEx2"/>
        </w:rPr>
        <w:t>14.</w:t>
      </w:r>
      <w:r>
        <w:rPr>
          <w:rStyle w:val="DNEx2"/>
        </w:rPr>
        <w:tab/>
      </w:r>
      <w:r>
        <w:rPr>
          <w:b/>
        </w:rPr>
        <w:t>CONDICIONES GENERALES DE DISPENSACIÓN</w:t>
      </w:r>
    </w:p>
    <w:p w14:paraId="6A358AEC" w14:textId="77777777" w:rsidR="006E3229" w:rsidRDefault="006E3229">
      <w:pPr>
        <w:spacing w:line="240" w:lineRule="auto"/>
        <w:rPr>
          <w:i/>
          <w:szCs w:val="22"/>
        </w:rPr>
      </w:pPr>
    </w:p>
    <w:p w14:paraId="231F66FD" w14:textId="77777777" w:rsidR="006E3229" w:rsidRDefault="006E3229">
      <w:pPr>
        <w:spacing w:line="240" w:lineRule="auto"/>
        <w:rPr>
          <w:i/>
          <w:szCs w:val="22"/>
        </w:rPr>
      </w:pPr>
    </w:p>
    <w:p w14:paraId="06BEB6EE" w14:textId="77777777" w:rsidR="006E3229" w:rsidRDefault="006E3229">
      <w:pPr>
        <w:spacing w:line="240" w:lineRule="auto"/>
        <w:rPr>
          <w:szCs w:val="22"/>
        </w:rPr>
      </w:pPr>
    </w:p>
    <w:p w14:paraId="5D7C72B8" w14:textId="77777777" w:rsidR="006E3229" w:rsidRDefault="00B43C9C">
      <w:pPr>
        <w:pBdr>
          <w:top w:val="single" w:sz="4" w:space="2" w:color="auto"/>
          <w:left w:val="single" w:sz="4" w:space="4" w:color="auto"/>
          <w:bottom w:val="single" w:sz="4" w:space="1" w:color="auto"/>
          <w:right w:val="single" w:sz="4" w:space="4" w:color="auto"/>
        </w:pBdr>
        <w:spacing w:line="240" w:lineRule="auto"/>
        <w:outlineLvl w:val="0"/>
        <w:rPr>
          <w:szCs w:val="22"/>
        </w:rPr>
      </w:pPr>
      <w:r>
        <w:rPr>
          <w:rStyle w:val="DNEx2"/>
        </w:rPr>
        <w:t>15.</w:t>
      </w:r>
      <w:r>
        <w:rPr>
          <w:rStyle w:val="DNEx2"/>
        </w:rPr>
        <w:tab/>
      </w:r>
      <w:r>
        <w:rPr>
          <w:b/>
        </w:rPr>
        <w:t>INSTRUCCIONES DE USO</w:t>
      </w:r>
    </w:p>
    <w:p w14:paraId="0A49E7C5" w14:textId="77777777" w:rsidR="006E3229" w:rsidRDefault="006E3229">
      <w:pPr>
        <w:spacing w:line="240" w:lineRule="auto"/>
        <w:rPr>
          <w:szCs w:val="22"/>
        </w:rPr>
      </w:pPr>
    </w:p>
    <w:p w14:paraId="504D2BC2" w14:textId="77777777" w:rsidR="006E3229" w:rsidRDefault="006E3229">
      <w:pPr>
        <w:spacing w:line="240" w:lineRule="auto"/>
        <w:rPr>
          <w:szCs w:val="22"/>
        </w:rPr>
      </w:pPr>
    </w:p>
    <w:p w14:paraId="3B949E59" w14:textId="77777777" w:rsidR="006E3229" w:rsidRDefault="00B43C9C">
      <w:pPr>
        <w:keepNext/>
        <w:pBdr>
          <w:top w:val="single" w:sz="4" w:space="1" w:color="auto"/>
          <w:left w:val="single" w:sz="4" w:space="4" w:color="auto"/>
          <w:bottom w:val="single" w:sz="4" w:space="0" w:color="auto"/>
          <w:right w:val="single" w:sz="4" w:space="4" w:color="auto"/>
        </w:pBdr>
        <w:spacing w:line="240" w:lineRule="auto"/>
        <w:rPr>
          <w:szCs w:val="22"/>
        </w:rPr>
      </w:pPr>
      <w:r>
        <w:rPr>
          <w:rStyle w:val="DNEx2"/>
        </w:rPr>
        <w:t>16.</w:t>
      </w:r>
      <w:r>
        <w:rPr>
          <w:rStyle w:val="DNEx2"/>
        </w:rPr>
        <w:tab/>
      </w:r>
      <w:r>
        <w:rPr>
          <w:b/>
        </w:rPr>
        <w:t>INFORMACIÓN EN BRAILLE</w:t>
      </w:r>
    </w:p>
    <w:p w14:paraId="4F8B9340" w14:textId="77777777" w:rsidR="006E3229" w:rsidRDefault="006E3229">
      <w:pPr>
        <w:keepNext/>
        <w:spacing w:line="240" w:lineRule="auto"/>
        <w:rPr>
          <w:szCs w:val="22"/>
        </w:rPr>
      </w:pPr>
    </w:p>
    <w:p w14:paraId="389CCCB3" w14:textId="77777777" w:rsidR="006E3229" w:rsidRPr="003D46BA" w:rsidRDefault="00B43C9C">
      <w:pPr>
        <w:spacing w:line="240" w:lineRule="auto"/>
        <w:rPr>
          <w:szCs w:val="22"/>
          <w:lang w:val="pt-BR"/>
        </w:rPr>
      </w:pPr>
      <w:r w:rsidRPr="003D46BA">
        <w:rPr>
          <w:lang w:val="pt-BR"/>
        </w:rPr>
        <w:t>AGAMREE</w:t>
      </w:r>
    </w:p>
    <w:p w14:paraId="7265CFAF" w14:textId="77777777" w:rsidR="006E3229" w:rsidRPr="003D46BA" w:rsidRDefault="006E3229">
      <w:pPr>
        <w:spacing w:line="240" w:lineRule="auto"/>
        <w:rPr>
          <w:szCs w:val="22"/>
          <w:shd w:val="clear" w:color="auto" w:fill="CCCCCC"/>
          <w:lang w:val="pt-BR"/>
        </w:rPr>
      </w:pPr>
    </w:p>
    <w:p w14:paraId="46DD528D" w14:textId="77777777" w:rsidR="006E3229" w:rsidRPr="003D46BA" w:rsidRDefault="006E3229">
      <w:pPr>
        <w:spacing w:line="240" w:lineRule="auto"/>
        <w:rPr>
          <w:szCs w:val="22"/>
          <w:shd w:val="clear" w:color="auto" w:fill="CCCCCC"/>
          <w:lang w:val="pt-BR"/>
        </w:rPr>
      </w:pPr>
    </w:p>
    <w:p w14:paraId="33B4CD4E" w14:textId="77777777" w:rsidR="006E3229" w:rsidRPr="003D46BA" w:rsidRDefault="00B43C9C">
      <w:pPr>
        <w:keepNext/>
        <w:pBdr>
          <w:top w:val="single" w:sz="4" w:space="1" w:color="auto"/>
          <w:left w:val="single" w:sz="4" w:space="4" w:color="auto"/>
          <w:bottom w:val="single" w:sz="4" w:space="0" w:color="auto"/>
          <w:right w:val="single" w:sz="4" w:space="4" w:color="auto"/>
        </w:pBdr>
        <w:tabs>
          <w:tab w:val="clear" w:pos="567"/>
        </w:tabs>
        <w:spacing w:line="240" w:lineRule="auto"/>
        <w:rPr>
          <w:i/>
          <w:lang w:val="pt-BR"/>
        </w:rPr>
      </w:pPr>
      <w:r w:rsidRPr="003D46BA">
        <w:rPr>
          <w:rStyle w:val="DNEx2"/>
          <w:lang w:val="pt-BR"/>
        </w:rPr>
        <w:t>17.</w:t>
      </w:r>
      <w:r w:rsidRPr="003D46BA">
        <w:rPr>
          <w:rStyle w:val="DNEx2"/>
          <w:lang w:val="pt-BR"/>
        </w:rPr>
        <w:tab/>
      </w:r>
      <w:r w:rsidRPr="003D46BA">
        <w:rPr>
          <w:b/>
          <w:lang w:val="pt-BR"/>
        </w:rPr>
        <w:t>IDENTIFICADOR ÚNICO - CÓDIGO DE BARRAS 2D</w:t>
      </w:r>
    </w:p>
    <w:p w14:paraId="3A34FA42" w14:textId="77777777" w:rsidR="006E3229" w:rsidRPr="003D46BA" w:rsidRDefault="006E3229">
      <w:pPr>
        <w:keepNext/>
        <w:tabs>
          <w:tab w:val="clear" w:pos="567"/>
        </w:tabs>
        <w:spacing w:line="240" w:lineRule="auto"/>
        <w:rPr>
          <w:lang w:val="pt-BR"/>
        </w:rPr>
      </w:pPr>
    </w:p>
    <w:p w14:paraId="1D719669" w14:textId="77777777" w:rsidR="006E3229" w:rsidRDefault="00B43C9C">
      <w:pPr>
        <w:spacing w:line="240" w:lineRule="auto"/>
        <w:rPr>
          <w:szCs w:val="22"/>
          <w:shd w:val="clear" w:color="auto" w:fill="CCCCCC"/>
        </w:rPr>
      </w:pPr>
      <w:r>
        <w:rPr>
          <w:highlight w:val="lightGray"/>
        </w:rPr>
        <w:t>Incluido el código de barras 2D que lleva el identificador único.</w:t>
      </w:r>
    </w:p>
    <w:p w14:paraId="29A40B38" w14:textId="77777777" w:rsidR="006E3229" w:rsidRDefault="006E3229">
      <w:pPr>
        <w:spacing w:line="240" w:lineRule="auto"/>
        <w:rPr>
          <w:szCs w:val="22"/>
          <w:shd w:val="clear" w:color="auto" w:fill="CCCCCC"/>
        </w:rPr>
      </w:pPr>
    </w:p>
    <w:p w14:paraId="154F2B5A" w14:textId="77777777" w:rsidR="006E3229" w:rsidRDefault="006E3229">
      <w:pPr>
        <w:tabs>
          <w:tab w:val="clear" w:pos="567"/>
        </w:tabs>
        <w:spacing w:line="240" w:lineRule="auto"/>
      </w:pPr>
    </w:p>
    <w:p w14:paraId="193EE487" w14:textId="77777777" w:rsidR="006E3229" w:rsidRDefault="00B43C9C">
      <w:pPr>
        <w:keepNext/>
        <w:pBdr>
          <w:top w:val="single" w:sz="4" w:space="1" w:color="auto"/>
          <w:left w:val="single" w:sz="4" w:space="4" w:color="auto"/>
          <w:bottom w:val="single" w:sz="4" w:space="0" w:color="auto"/>
          <w:right w:val="single" w:sz="4" w:space="4" w:color="auto"/>
        </w:pBdr>
        <w:tabs>
          <w:tab w:val="clear" w:pos="567"/>
        </w:tabs>
        <w:spacing w:line="240" w:lineRule="auto"/>
        <w:rPr>
          <w:i/>
        </w:rPr>
      </w:pPr>
      <w:r>
        <w:rPr>
          <w:rStyle w:val="DNEx2"/>
        </w:rPr>
        <w:t>18.</w:t>
      </w:r>
      <w:r>
        <w:rPr>
          <w:rStyle w:val="DNEx2"/>
        </w:rPr>
        <w:tab/>
      </w:r>
      <w:r>
        <w:rPr>
          <w:b/>
        </w:rPr>
        <w:t>IDENTIFICADOR ÚNICO - INFORMACIÓN EN CARACTERES VISUALES</w:t>
      </w:r>
    </w:p>
    <w:p w14:paraId="1CD1D7CD" w14:textId="77777777" w:rsidR="006E3229" w:rsidRDefault="006E3229">
      <w:pPr>
        <w:keepNext/>
        <w:tabs>
          <w:tab w:val="clear" w:pos="567"/>
        </w:tabs>
        <w:spacing w:line="240" w:lineRule="auto"/>
      </w:pPr>
    </w:p>
    <w:p w14:paraId="39509543" w14:textId="77777777" w:rsidR="006E3229" w:rsidRDefault="00B43C9C">
      <w:pPr>
        <w:spacing w:line="240" w:lineRule="auto"/>
      </w:pPr>
      <w:r>
        <w:t>PC</w:t>
      </w:r>
    </w:p>
    <w:p w14:paraId="637AF13F" w14:textId="77777777" w:rsidR="006E3229" w:rsidRDefault="00B43C9C">
      <w:pPr>
        <w:spacing w:line="240" w:lineRule="auto"/>
      </w:pPr>
      <w:r>
        <w:t>SN</w:t>
      </w:r>
    </w:p>
    <w:p w14:paraId="7E85E9C8" w14:textId="77777777" w:rsidR="006E3229" w:rsidRDefault="00B43C9C">
      <w:pPr>
        <w:spacing w:line="240" w:lineRule="auto"/>
      </w:pPr>
      <w:r>
        <w:t>NN</w:t>
      </w:r>
    </w:p>
    <w:p w14:paraId="72668D12" w14:textId="77777777" w:rsidR="006E3229" w:rsidRDefault="006E3229">
      <w:pPr>
        <w:spacing w:line="240" w:lineRule="auto"/>
      </w:pPr>
    </w:p>
    <w:p w14:paraId="633EEFA3" w14:textId="77777777" w:rsidR="006E3229" w:rsidRDefault="006E3229">
      <w:pPr>
        <w:spacing w:line="240" w:lineRule="auto"/>
      </w:pPr>
    </w:p>
    <w:p w14:paraId="007C230D" w14:textId="77777777" w:rsidR="006E3229" w:rsidRDefault="006E3229">
      <w:pPr>
        <w:spacing w:line="240" w:lineRule="auto"/>
      </w:pPr>
    </w:p>
    <w:p w14:paraId="35594D3D" w14:textId="77777777" w:rsidR="006E3229" w:rsidRDefault="006E3229">
      <w:pPr>
        <w:spacing w:line="240" w:lineRule="auto"/>
      </w:pPr>
    </w:p>
    <w:p w14:paraId="3DF4FABF" w14:textId="77777777" w:rsidR="006E3229" w:rsidRDefault="006E3229">
      <w:pPr>
        <w:rPr>
          <w:szCs w:val="22"/>
        </w:rPr>
      </w:pPr>
    </w:p>
    <w:p w14:paraId="7A4451B4" w14:textId="77777777" w:rsidR="006E3229" w:rsidRDefault="00B43C9C">
      <w:pPr>
        <w:pBdr>
          <w:top w:val="single" w:sz="4" w:space="1" w:color="auto"/>
          <w:left w:val="single" w:sz="4" w:space="4" w:color="auto"/>
          <w:bottom w:val="single" w:sz="4" w:space="1" w:color="auto"/>
          <w:right w:val="single" w:sz="4" w:space="4" w:color="auto"/>
        </w:pBdr>
        <w:spacing w:line="240" w:lineRule="auto"/>
        <w:rPr>
          <w:b/>
          <w:szCs w:val="22"/>
        </w:rPr>
      </w:pPr>
      <w:r>
        <w:rPr>
          <w:b/>
        </w:rPr>
        <w:t>INFORMACIÓN QUE DEBE FIGURAR EN EL ACONDICIONAMIENTO PRIMARIO</w:t>
      </w:r>
    </w:p>
    <w:p w14:paraId="29FF6685" w14:textId="77777777" w:rsidR="006E3229" w:rsidRDefault="006E3229">
      <w:pPr>
        <w:keepNext/>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460CC72B" w14:textId="77777777" w:rsidR="006E3229" w:rsidRDefault="00B43C9C">
      <w:pPr>
        <w:keepNext/>
        <w:pBdr>
          <w:top w:val="single" w:sz="4" w:space="1" w:color="auto"/>
          <w:left w:val="single" w:sz="4" w:space="4" w:color="auto"/>
          <w:bottom w:val="single" w:sz="4" w:space="1" w:color="auto"/>
          <w:right w:val="single" w:sz="4" w:space="4" w:color="auto"/>
        </w:pBdr>
        <w:spacing w:line="240" w:lineRule="auto"/>
        <w:ind w:left="567" w:hanging="567"/>
      </w:pPr>
      <w:r>
        <w:rPr>
          <w:b/>
        </w:rPr>
        <w:t>ETIQUETA DEL FRASCO</w:t>
      </w:r>
    </w:p>
    <w:p w14:paraId="7341A811" w14:textId="77777777" w:rsidR="006E3229" w:rsidRDefault="006E3229">
      <w:pPr>
        <w:keepNext/>
        <w:spacing w:line="240" w:lineRule="auto"/>
      </w:pPr>
    </w:p>
    <w:p w14:paraId="38D98026" w14:textId="77777777" w:rsidR="006E3229" w:rsidRDefault="006E3229">
      <w:pPr>
        <w:keepNext/>
        <w:spacing w:line="240" w:lineRule="auto"/>
        <w:rPr>
          <w:szCs w:val="22"/>
        </w:rPr>
      </w:pPr>
    </w:p>
    <w:p w14:paraId="0B1601E8" w14:textId="77777777" w:rsidR="006E3229" w:rsidRDefault="00B43C9C">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Pr>
          <w:rStyle w:val="DNEx2"/>
        </w:rPr>
        <w:t>1.</w:t>
      </w:r>
      <w:r>
        <w:rPr>
          <w:rStyle w:val="DNEx2"/>
        </w:rPr>
        <w:tab/>
      </w:r>
      <w:r>
        <w:rPr>
          <w:b/>
        </w:rPr>
        <w:t>NOMBRE DEL MEDICAMENTO</w:t>
      </w:r>
    </w:p>
    <w:p w14:paraId="6653DB6C" w14:textId="77777777" w:rsidR="006E3229" w:rsidRDefault="006E3229">
      <w:pPr>
        <w:keepNext/>
        <w:spacing w:line="240" w:lineRule="auto"/>
        <w:rPr>
          <w:szCs w:val="22"/>
        </w:rPr>
      </w:pPr>
    </w:p>
    <w:p w14:paraId="3A15BCA4" w14:textId="77777777" w:rsidR="006E3229" w:rsidRDefault="00B43C9C">
      <w:pPr>
        <w:spacing w:line="240" w:lineRule="auto"/>
        <w:rPr>
          <w:szCs w:val="22"/>
        </w:rPr>
      </w:pPr>
      <w:r>
        <w:t>AGAMREE 40 mg/ml suspensión oral</w:t>
      </w:r>
    </w:p>
    <w:p w14:paraId="6EF2A376" w14:textId="77777777" w:rsidR="006E3229" w:rsidRDefault="00B43C9C">
      <w:pPr>
        <w:rPr>
          <w:szCs w:val="22"/>
        </w:rPr>
      </w:pPr>
      <w:proofErr w:type="spellStart"/>
      <w:r>
        <w:t>vamorolona</w:t>
      </w:r>
      <w:proofErr w:type="spellEnd"/>
    </w:p>
    <w:p w14:paraId="6D75D56F" w14:textId="77777777" w:rsidR="006E3229" w:rsidRDefault="006E3229">
      <w:pPr>
        <w:spacing w:line="240" w:lineRule="auto"/>
        <w:rPr>
          <w:szCs w:val="22"/>
        </w:rPr>
      </w:pPr>
    </w:p>
    <w:p w14:paraId="5C89EEFF" w14:textId="77777777" w:rsidR="006E3229" w:rsidRDefault="006E3229">
      <w:pPr>
        <w:spacing w:line="240" w:lineRule="auto"/>
        <w:rPr>
          <w:szCs w:val="22"/>
        </w:rPr>
      </w:pPr>
    </w:p>
    <w:p w14:paraId="32A2873A" w14:textId="77777777" w:rsidR="006E3229" w:rsidRDefault="00B43C9C">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Pr>
          <w:rStyle w:val="DNEx2"/>
        </w:rPr>
        <w:t>2.</w:t>
      </w:r>
      <w:r>
        <w:rPr>
          <w:rStyle w:val="DNEx2"/>
        </w:rPr>
        <w:tab/>
      </w:r>
      <w:r>
        <w:rPr>
          <w:b/>
        </w:rPr>
        <w:t>PRINCIPIO(S) ACTIVO(S)</w:t>
      </w:r>
    </w:p>
    <w:p w14:paraId="202A86B3" w14:textId="77777777" w:rsidR="006E3229" w:rsidRDefault="006E3229">
      <w:pPr>
        <w:keepNext/>
        <w:spacing w:line="240" w:lineRule="auto"/>
        <w:rPr>
          <w:szCs w:val="22"/>
        </w:rPr>
      </w:pPr>
    </w:p>
    <w:p w14:paraId="1A7E5792" w14:textId="77777777" w:rsidR="006E3229" w:rsidRDefault="00B43C9C">
      <w:pPr>
        <w:spacing w:line="240" w:lineRule="auto"/>
        <w:rPr>
          <w:szCs w:val="22"/>
        </w:rPr>
      </w:pPr>
      <w:r>
        <w:t xml:space="preserve">Cada ml de suspensión oral contiene 40 mg de </w:t>
      </w:r>
      <w:proofErr w:type="spellStart"/>
      <w:r>
        <w:t>vamorolona</w:t>
      </w:r>
      <w:proofErr w:type="spellEnd"/>
      <w:r>
        <w:t>.</w:t>
      </w:r>
    </w:p>
    <w:p w14:paraId="7BF24E02" w14:textId="77777777" w:rsidR="006E3229" w:rsidRDefault="006E3229">
      <w:pPr>
        <w:spacing w:line="240" w:lineRule="auto"/>
        <w:rPr>
          <w:szCs w:val="22"/>
        </w:rPr>
      </w:pPr>
    </w:p>
    <w:p w14:paraId="19A797FE" w14:textId="77777777" w:rsidR="006E3229" w:rsidRDefault="006E3229">
      <w:pPr>
        <w:spacing w:line="240" w:lineRule="auto"/>
        <w:rPr>
          <w:szCs w:val="22"/>
        </w:rPr>
      </w:pPr>
    </w:p>
    <w:p w14:paraId="4D7EA917" w14:textId="77777777" w:rsidR="006E3229" w:rsidRDefault="00B43C9C">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rStyle w:val="DNEx2"/>
        </w:rPr>
        <w:t>3.</w:t>
      </w:r>
      <w:r>
        <w:rPr>
          <w:rStyle w:val="DNEx2"/>
        </w:rPr>
        <w:tab/>
      </w:r>
      <w:r>
        <w:rPr>
          <w:b/>
        </w:rPr>
        <w:t>LISTA DE EXCIPIENTES</w:t>
      </w:r>
    </w:p>
    <w:p w14:paraId="0F29AB94" w14:textId="77777777" w:rsidR="006E3229" w:rsidRDefault="006E3229">
      <w:pPr>
        <w:keepNext/>
        <w:spacing w:line="240" w:lineRule="auto"/>
        <w:rPr>
          <w:szCs w:val="22"/>
        </w:rPr>
      </w:pPr>
    </w:p>
    <w:p w14:paraId="4CA80689" w14:textId="77777777" w:rsidR="006E3229" w:rsidRDefault="00B43C9C">
      <w:pPr>
        <w:spacing w:line="240" w:lineRule="auto"/>
        <w:rPr>
          <w:szCs w:val="22"/>
        </w:rPr>
      </w:pPr>
      <w:r>
        <w:t xml:space="preserve">Contiene benzoato de sodio (E 211). </w:t>
      </w:r>
      <w:r>
        <w:rPr>
          <w:highlight w:val="lightGray"/>
        </w:rPr>
        <w:t>Para mayor información, consultar el prospecto.</w:t>
      </w:r>
    </w:p>
    <w:p w14:paraId="650F9154" w14:textId="77777777" w:rsidR="006E3229" w:rsidRDefault="006E3229">
      <w:pPr>
        <w:spacing w:line="240" w:lineRule="auto"/>
        <w:rPr>
          <w:szCs w:val="22"/>
        </w:rPr>
      </w:pPr>
    </w:p>
    <w:p w14:paraId="2147425F" w14:textId="77777777" w:rsidR="006E3229" w:rsidRDefault="006E3229">
      <w:pPr>
        <w:spacing w:line="240" w:lineRule="auto"/>
        <w:rPr>
          <w:szCs w:val="22"/>
        </w:rPr>
      </w:pPr>
    </w:p>
    <w:p w14:paraId="45C9FDD8" w14:textId="77777777" w:rsidR="006E3229" w:rsidRDefault="00B43C9C">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rStyle w:val="DNEx2"/>
        </w:rPr>
        <w:t>4.</w:t>
      </w:r>
      <w:r>
        <w:rPr>
          <w:rStyle w:val="DNEx2"/>
        </w:rPr>
        <w:tab/>
      </w:r>
      <w:r>
        <w:rPr>
          <w:b/>
        </w:rPr>
        <w:t>FORMA FARMACÉUTICA Y CONTENIDO DEL ENVASE</w:t>
      </w:r>
    </w:p>
    <w:p w14:paraId="711C1E4F" w14:textId="77777777" w:rsidR="006E3229" w:rsidRDefault="006E3229">
      <w:pPr>
        <w:keepNext/>
        <w:spacing w:line="240" w:lineRule="auto"/>
        <w:rPr>
          <w:szCs w:val="22"/>
        </w:rPr>
      </w:pPr>
    </w:p>
    <w:p w14:paraId="5EC3AA8B" w14:textId="77777777" w:rsidR="006E3229" w:rsidRDefault="00B43C9C">
      <w:pPr>
        <w:spacing w:line="240" w:lineRule="auto"/>
        <w:rPr>
          <w:szCs w:val="22"/>
        </w:rPr>
      </w:pPr>
      <w:r>
        <w:rPr>
          <w:highlight w:val="lightGray"/>
        </w:rPr>
        <w:t>Suspensión oral</w:t>
      </w:r>
    </w:p>
    <w:p w14:paraId="13727B6D" w14:textId="77777777" w:rsidR="006E3229" w:rsidRDefault="006E3229">
      <w:pPr>
        <w:spacing w:line="240" w:lineRule="auto"/>
        <w:rPr>
          <w:szCs w:val="22"/>
        </w:rPr>
      </w:pPr>
    </w:p>
    <w:p w14:paraId="29F5D1C7" w14:textId="77777777" w:rsidR="006E3229" w:rsidRDefault="00B43C9C">
      <w:pPr>
        <w:spacing w:line="240" w:lineRule="auto"/>
        <w:rPr>
          <w:szCs w:val="22"/>
        </w:rPr>
      </w:pPr>
      <w:r>
        <w:t>100 ml</w:t>
      </w:r>
    </w:p>
    <w:p w14:paraId="567D7637" w14:textId="77777777" w:rsidR="006E3229" w:rsidRDefault="006E3229">
      <w:pPr>
        <w:spacing w:line="240" w:lineRule="auto"/>
        <w:rPr>
          <w:szCs w:val="22"/>
        </w:rPr>
      </w:pPr>
    </w:p>
    <w:p w14:paraId="262CFB4B" w14:textId="77777777" w:rsidR="006E3229" w:rsidRDefault="006E3229">
      <w:pPr>
        <w:spacing w:line="240" w:lineRule="auto"/>
        <w:rPr>
          <w:szCs w:val="22"/>
        </w:rPr>
      </w:pPr>
    </w:p>
    <w:p w14:paraId="26B12186" w14:textId="77777777" w:rsidR="006E3229" w:rsidRDefault="00B43C9C">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rStyle w:val="DNEx2"/>
        </w:rPr>
        <w:t>5.</w:t>
      </w:r>
      <w:r>
        <w:rPr>
          <w:rStyle w:val="DNEx2"/>
        </w:rPr>
        <w:tab/>
      </w:r>
      <w:r>
        <w:rPr>
          <w:b/>
        </w:rPr>
        <w:t>MODO Y VÍA(S) DE ADMINISTRACIÓN</w:t>
      </w:r>
    </w:p>
    <w:p w14:paraId="745FCAC6" w14:textId="77777777" w:rsidR="006E3229" w:rsidRDefault="006E3229">
      <w:pPr>
        <w:keepNext/>
        <w:spacing w:line="240" w:lineRule="auto"/>
        <w:rPr>
          <w:szCs w:val="22"/>
        </w:rPr>
      </w:pPr>
    </w:p>
    <w:p w14:paraId="19F2F782" w14:textId="77777777" w:rsidR="006E3229" w:rsidRDefault="00B43C9C">
      <w:pPr>
        <w:spacing w:line="240" w:lineRule="auto"/>
      </w:pPr>
      <w:r>
        <w:t>Agitar bien antes de usar.</w:t>
      </w:r>
    </w:p>
    <w:p w14:paraId="190DE728" w14:textId="77777777" w:rsidR="006E3229" w:rsidRDefault="00B43C9C">
      <w:pPr>
        <w:spacing w:line="240" w:lineRule="auto"/>
        <w:rPr>
          <w:szCs w:val="22"/>
        </w:rPr>
      </w:pPr>
      <w:r>
        <w:t>Leer el prospecto antes de utilizar este medicamento.</w:t>
      </w:r>
    </w:p>
    <w:p w14:paraId="4569B476" w14:textId="77777777" w:rsidR="006E3229" w:rsidRDefault="00B43C9C">
      <w:pPr>
        <w:autoSpaceDE w:val="0"/>
        <w:autoSpaceDN w:val="0"/>
        <w:adjustRightInd w:val="0"/>
        <w:spacing w:line="240" w:lineRule="auto"/>
        <w:rPr>
          <w:szCs w:val="22"/>
        </w:rPr>
      </w:pPr>
      <w:r>
        <w:t>Vía oral.</w:t>
      </w:r>
    </w:p>
    <w:p w14:paraId="033CDEEC" w14:textId="77777777" w:rsidR="006E3229" w:rsidRDefault="006E3229">
      <w:pPr>
        <w:spacing w:line="240" w:lineRule="auto"/>
        <w:rPr>
          <w:szCs w:val="22"/>
        </w:rPr>
      </w:pPr>
    </w:p>
    <w:p w14:paraId="5140C539" w14:textId="77777777" w:rsidR="006E3229" w:rsidRDefault="006E3229">
      <w:pPr>
        <w:spacing w:line="240" w:lineRule="auto"/>
        <w:rPr>
          <w:szCs w:val="22"/>
        </w:rPr>
      </w:pPr>
    </w:p>
    <w:p w14:paraId="3CDAEC1C" w14:textId="77777777" w:rsidR="006E3229" w:rsidRDefault="00B43C9C">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rStyle w:val="DNEx2"/>
        </w:rPr>
        <w:t>6.</w:t>
      </w:r>
      <w:r>
        <w:rPr>
          <w:rStyle w:val="DNEx2"/>
        </w:rPr>
        <w:tab/>
      </w:r>
      <w:r>
        <w:rPr>
          <w:b/>
        </w:rPr>
        <w:t>ADVERTENCIA ESPECIAL DE QUE EL MEDICAMENTO DEBE MANTENERSE FUERA DE LA VISTA Y DEL ALCANCE DE LOS NIÑOS</w:t>
      </w:r>
    </w:p>
    <w:p w14:paraId="35A0B4D5" w14:textId="77777777" w:rsidR="006E3229" w:rsidRDefault="006E3229">
      <w:pPr>
        <w:keepNext/>
        <w:spacing w:line="240" w:lineRule="auto"/>
        <w:rPr>
          <w:szCs w:val="22"/>
        </w:rPr>
      </w:pPr>
    </w:p>
    <w:p w14:paraId="71460DDE" w14:textId="77777777" w:rsidR="006E3229" w:rsidRDefault="00B43C9C">
      <w:pPr>
        <w:spacing w:line="240" w:lineRule="auto"/>
        <w:rPr>
          <w:szCs w:val="22"/>
        </w:rPr>
      </w:pPr>
      <w:r>
        <w:t>Mantener fuera de la vista y del alcance de los niños.</w:t>
      </w:r>
    </w:p>
    <w:p w14:paraId="278EEA39" w14:textId="77777777" w:rsidR="006E3229" w:rsidRDefault="006E3229">
      <w:pPr>
        <w:spacing w:line="240" w:lineRule="auto"/>
      </w:pPr>
    </w:p>
    <w:p w14:paraId="30BC47D4" w14:textId="77777777" w:rsidR="006E3229" w:rsidRDefault="006E3229">
      <w:pPr>
        <w:spacing w:line="240" w:lineRule="auto"/>
      </w:pPr>
    </w:p>
    <w:p w14:paraId="421C4F8E" w14:textId="77777777" w:rsidR="006E3229" w:rsidRDefault="00B43C9C">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rStyle w:val="DNEx2"/>
        </w:rPr>
        <w:t>7.</w:t>
      </w:r>
      <w:r>
        <w:rPr>
          <w:rStyle w:val="DNEx2"/>
        </w:rPr>
        <w:tab/>
      </w:r>
      <w:r>
        <w:rPr>
          <w:b/>
        </w:rPr>
        <w:t>OTRA(S) ADVERTENCIA(S) ESPECIAL(ES), SI ES NECESARIO</w:t>
      </w:r>
    </w:p>
    <w:p w14:paraId="5324D59F" w14:textId="77777777" w:rsidR="006E3229" w:rsidRDefault="006E3229">
      <w:pPr>
        <w:spacing w:line="240" w:lineRule="auto"/>
        <w:rPr>
          <w:szCs w:val="22"/>
        </w:rPr>
      </w:pPr>
    </w:p>
    <w:p w14:paraId="47242933" w14:textId="77777777" w:rsidR="006E3229" w:rsidRDefault="006E3229">
      <w:pPr>
        <w:tabs>
          <w:tab w:val="left" w:pos="749"/>
        </w:tabs>
        <w:spacing w:line="240" w:lineRule="auto"/>
      </w:pPr>
    </w:p>
    <w:p w14:paraId="514D6DB5" w14:textId="77777777" w:rsidR="006E3229" w:rsidRDefault="00B43C9C">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Pr>
          <w:rStyle w:val="DNEx2"/>
        </w:rPr>
        <w:t>8.</w:t>
      </w:r>
      <w:r>
        <w:rPr>
          <w:rStyle w:val="DNEx2"/>
        </w:rPr>
        <w:tab/>
      </w:r>
      <w:r>
        <w:rPr>
          <w:b/>
        </w:rPr>
        <w:t>FECHA DE CADUCIDAD</w:t>
      </w:r>
    </w:p>
    <w:p w14:paraId="22768CFA" w14:textId="77777777" w:rsidR="006E3229" w:rsidRDefault="006E3229">
      <w:pPr>
        <w:keepNext/>
        <w:spacing w:line="240" w:lineRule="auto"/>
      </w:pPr>
    </w:p>
    <w:p w14:paraId="390B0C97" w14:textId="77777777" w:rsidR="006E3229" w:rsidRDefault="00B43C9C">
      <w:pPr>
        <w:spacing w:line="240" w:lineRule="auto"/>
      </w:pPr>
      <w:r>
        <w:t>CAD</w:t>
      </w:r>
    </w:p>
    <w:p w14:paraId="77EED86A" w14:textId="77777777" w:rsidR="006E3229" w:rsidRDefault="00B43C9C">
      <w:pPr>
        <w:spacing w:line="240" w:lineRule="auto"/>
      </w:pPr>
      <w:r>
        <w:t>Después de la primera apertura, guardar el frasco en posición vertical en un frigorífico.</w:t>
      </w:r>
    </w:p>
    <w:p w14:paraId="20F1595D" w14:textId="77777777" w:rsidR="006E3229" w:rsidRDefault="00B43C9C">
      <w:pPr>
        <w:spacing w:line="240" w:lineRule="auto"/>
      </w:pPr>
      <w:r>
        <w:t>Descarte cualquier suspensión restante en un plazo de 3 meses a partir de la primera apertura.</w:t>
      </w:r>
    </w:p>
    <w:p w14:paraId="65FE0C31" w14:textId="77777777" w:rsidR="006E3229" w:rsidRDefault="006E3229">
      <w:pPr>
        <w:spacing w:line="240" w:lineRule="auto"/>
      </w:pPr>
    </w:p>
    <w:p w14:paraId="5E26919C" w14:textId="77777777" w:rsidR="006E3229" w:rsidRDefault="006E3229">
      <w:pPr>
        <w:spacing w:line="240" w:lineRule="auto"/>
      </w:pPr>
    </w:p>
    <w:p w14:paraId="08ACF766" w14:textId="77777777" w:rsidR="006E3229" w:rsidRDefault="00B43C9C">
      <w:pPr>
        <w:pBdr>
          <w:top w:val="single" w:sz="4" w:space="1" w:color="auto"/>
          <w:left w:val="single" w:sz="4" w:space="4" w:color="auto"/>
          <w:bottom w:val="single" w:sz="4" w:space="1" w:color="auto"/>
          <w:right w:val="single" w:sz="4" w:space="4" w:color="auto"/>
        </w:pBdr>
        <w:spacing w:line="240" w:lineRule="auto"/>
        <w:ind w:left="567" w:hanging="567"/>
        <w:outlineLvl w:val="1"/>
        <w:rPr>
          <w:szCs w:val="22"/>
        </w:rPr>
      </w:pPr>
      <w:r>
        <w:rPr>
          <w:rStyle w:val="DNEx2"/>
        </w:rPr>
        <w:t>9.</w:t>
      </w:r>
      <w:r>
        <w:rPr>
          <w:rStyle w:val="DNEx2"/>
        </w:rPr>
        <w:tab/>
      </w:r>
      <w:r>
        <w:rPr>
          <w:b/>
        </w:rPr>
        <w:t>CONDICIONES ESPECIALES DE CONSERVACIÓN</w:t>
      </w:r>
    </w:p>
    <w:p w14:paraId="6E9BC2D8" w14:textId="77777777" w:rsidR="006E3229" w:rsidRDefault="006E3229">
      <w:pPr>
        <w:spacing w:line="240" w:lineRule="auto"/>
        <w:rPr>
          <w:szCs w:val="22"/>
        </w:rPr>
      </w:pPr>
    </w:p>
    <w:p w14:paraId="688EBA8C" w14:textId="77777777" w:rsidR="006E3229" w:rsidRDefault="006E3229">
      <w:pPr>
        <w:spacing w:line="240" w:lineRule="auto"/>
        <w:rPr>
          <w:szCs w:val="22"/>
        </w:rPr>
      </w:pPr>
    </w:p>
    <w:p w14:paraId="46978438" w14:textId="77777777" w:rsidR="006E3229" w:rsidRDefault="00B43C9C">
      <w:pPr>
        <w:pBdr>
          <w:top w:val="single" w:sz="4" w:space="1" w:color="auto"/>
          <w:left w:val="single" w:sz="4" w:space="4" w:color="auto"/>
          <w:bottom w:val="single" w:sz="4" w:space="1" w:color="auto"/>
          <w:right w:val="single" w:sz="4" w:space="4" w:color="auto"/>
        </w:pBdr>
        <w:spacing w:line="240" w:lineRule="auto"/>
        <w:outlineLvl w:val="1"/>
        <w:rPr>
          <w:b/>
          <w:szCs w:val="22"/>
        </w:rPr>
      </w:pPr>
      <w:r>
        <w:rPr>
          <w:rStyle w:val="DNEx2"/>
        </w:rPr>
        <w:lastRenderedPageBreak/>
        <w:t>10.</w:t>
      </w:r>
      <w:r>
        <w:rPr>
          <w:rStyle w:val="DNEx2"/>
        </w:rPr>
        <w:tab/>
      </w:r>
      <w:r>
        <w:rPr>
          <w:b/>
        </w:rPr>
        <w:t>PRECAUCIONES ESPECIALES DE ELIMINACIÓN DEL MEDICAMENTO NO UTILIZADO Y DE LOS MATERIALES DERIVADOS DE SU USO, CUANDO CORRESPONDA</w:t>
      </w:r>
    </w:p>
    <w:p w14:paraId="3DB83FBF" w14:textId="77777777" w:rsidR="006E3229" w:rsidRDefault="006E3229">
      <w:pPr>
        <w:spacing w:line="240" w:lineRule="auto"/>
        <w:rPr>
          <w:szCs w:val="22"/>
        </w:rPr>
      </w:pPr>
    </w:p>
    <w:p w14:paraId="60724F56" w14:textId="77777777" w:rsidR="006E3229" w:rsidRDefault="006E3229">
      <w:pPr>
        <w:spacing w:line="240" w:lineRule="auto"/>
      </w:pPr>
    </w:p>
    <w:p w14:paraId="1C5A84FD" w14:textId="77777777" w:rsidR="006E3229" w:rsidRDefault="00B43C9C">
      <w:pPr>
        <w:keepNext/>
        <w:pBdr>
          <w:top w:val="single" w:sz="4" w:space="1" w:color="auto"/>
          <w:left w:val="single" w:sz="4" w:space="4" w:color="auto"/>
          <w:bottom w:val="single" w:sz="4" w:space="1" w:color="auto"/>
          <w:right w:val="single" w:sz="4" w:space="4" w:color="auto"/>
        </w:pBdr>
        <w:spacing w:line="240" w:lineRule="auto"/>
        <w:outlineLvl w:val="1"/>
        <w:rPr>
          <w:b/>
          <w:bCs/>
        </w:rPr>
      </w:pPr>
      <w:r>
        <w:rPr>
          <w:rStyle w:val="DNEx2"/>
        </w:rPr>
        <w:t>11.</w:t>
      </w:r>
      <w:r>
        <w:rPr>
          <w:rStyle w:val="DNEx2"/>
        </w:rPr>
        <w:tab/>
      </w:r>
      <w:r>
        <w:rPr>
          <w:b/>
        </w:rPr>
        <w:t>NOMBRE Y DIRECCIÓN DEL TITULAR DE LA AUTORIZACIÓN DE COMERCIALIZACIÓN</w:t>
      </w:r>
    </w:p>
    <w:p w14:paraId="57ACA338" w14:textId="77777777" w:rsidR="006E3229" w:rsidRDefault="006E3229">
      <w:pPr>
        <w:keepNext/>
        <w:spacing w:line="240" w:lineRule="auto"/>
        <w:rPr>
          <w:i/>
          <w:szCs w:val="22"/>
        </w:rPr>
      </w:pPr>
    </w:p>
    <w:p w14:paraId="14FE75DC" w14:textId="77777777" w:rsidR="006E3229" w:rsidRPr="009624C6" w:rsidRDefault="00B43C9C">
      <w:pPr>
        <w:keepNext/>
        <w:spacing w:line="240" w:lineRule="auto"/>
        <w:rPr>
          <w:szCs w:val="22"/>
          <w:lang w:val="de-DE"/>
        </w:rPr>
      </w:pPr>
      <w:r w:rsidRPr="009624C6">
        <w:rPr>
          <w:lang w:val="de-DE"/>
        </w:rPr>
        <w:t>Santhera Pharmaceuticals (Deutschland) GmbH</w:t>
      </w:r>
    </w:p>
    <w:p w14:paraId="00FC3C96" w14:textId="77777777" w:rsidR="006E3229" w:rsidRPr="009624C6" w:rsidRDefault="00B43C9C">
      <w:pPr>
        <w:keepNext/>
        <w:spacing w:line="240" w:lineRule="auto"/>
        <w:rPr>
          <w:szCs w:val="22"/>
          <w:lang w:val="de-DE"/>
        </w:rPr>
      </w:pPr>
      <w:r w:rsidRPr="009624C6">
        <w:rPr>
          <w:lang w:val="de-DE"/>
        </w:rPr>
        <w:t>Marie-Curie-Straße 8</w:t>
      </w:r>
    </w:p>
    <w:p w14:paraId="67ACFACA" w14:textId="77777777" w:rsidR="006E3229" w:rsidRDefault="00B43C9C">
      <w:pPr>
        <w:keepNext/>
        <w:spacing w:line="240" w:lineRule="auto"/>
        <w:rPr>
          <w:szCs w:val="22"/>
        </w:rPr>
      </w:pPr>
      <w:r>
        <w:t>D-79539 </w:t>
      </w:r>
      <w:proofErr w:type="spellStart"/>
      <w:r>
        <w:t>Lörrach</w:t>
      </w:r>
      <w:proofErr w:type="spellEnd"/>
    </w:p>
    <w:p w14:paraId="721E0F57" w14:textId="77777777" w:rsidR="006E3229" w:rsidRDefault="00B43C9C">
      <w:pPr>
        <w:spacing w:line="240" w:lineRule="auto"/>
        <w:rPr>
          <w:szCs w:val="22"/>
        </w:rPr>
      </w:pPr>
      <w:r>
        <w:t>Alemania</w:t>
      </w:r>
    </w:p>
    <w:p w14:paraId="063F80DC" w14:textId="77777777" w:rsidR="006E3229" w:rsidRDefault="006E3229">
      <w:pPr>
        <w:spacing w:line="240" w:lineRule="auto"/>
      </w:pPr>
    </w:p>
    <w:p w14:paraId="4D3F1BF6" w14:textId="77777777" w:rsidR="006E3229" w:rsidRDefault="006E3229">
      <w:pPr>
        <w:spacing w:line="240" w:lineRule="auto"/>
      </w:pPr>
    </w:p>
    <w:p w14:paraId="0920945F" w14:textId="77777777" w:rsidR="006E3229" w:rsidRDefault="00B43C9C">
      <w:pPr>
        <w:keepNext/>
        <w:pBdr>
          <w:top w:val="single" w:sz="4" w:space="1" w:color="auto"/>
          <w:left w:val="single" w:sz="4" w:space="4" w:color="auto"/>
          <w:bottom w:val="single" w:sz="4" w:space="1" w:color="auto"/>
          <w:right w:val="single" w:sz="4" w:space="4" w:color="auto"/>
        </w:pBdr>
        <w:spacing w:line="240" w:lineRule="auto"/>
        <w:outlineLvl w:val="1"/>
      </w:pPr>
      <w:r>
        <w:rPr>
          <w:rStyle w:val="DNEx2"/>
        </w:rPr>
        <w:t>12.</w:t>
      </w:r>
      <w:r>
        <w:rPr>
          <w:rStyle w:val="DNEx2"/>
        </w:rPr>
        <w:tab/>
      </w:r>
      <w:r>
        <w:rPr>
          <w:b/>
        </w:rPr>
        <w:t>NÚMERO(S) DE AUTORIZACIÓN DE COMERCIALIZACIÓN</w:t>
      </w:r>
    </w:p>
    <w:p w14:paraId="41E8B87C" w14:textId="77777777" w:rsidR="006E3229" w:rsidRDefault="006E3229">
      <w:pPr>
        <w:keepNext/>
        <w:spacing w:line="240" w:lineRule="auto"/>
      </w:pPr>
    </w:p>
    <w:p w14:paraId="17FA3AD3" w14:textId="77777777" w:rsidR="006E3229" w:rsidRDefault="00B43C9C">
      <w:pPr>
        <w:spacing w:line="240" w:lineRule="auto"/>
        <w:outlineLvl w:val="0"/>
      </w:pPr>
      <w:r>
        <w:t>EU/1/23/1776/001</w:t>
      </w:r>
    </w:p>
    <w:p w14:paraId="75AF78F5" w14:textId="77777777" w:rsidR="006E3229" w:rsidRDefault="006E3229">
      <w:pPr>
        <w:spacing w:line="240" w:lineRule="auto"/>
        <w:rPr>
          <w:szCs w:val="22"/>
        </w:rPr>
      </w:pPr>
    </w:p>
    <w:p w14:paraId="67C033B5" w14:textId="77777777" w:rsidR="006E3229" w:rsidRDefault="006E3229">
      <w:pPr>
        <w:spacing w:line="240" w:lineRule="auto"/>
      </w:pPr>
    </w:p>
    <w:p w14:paraId="538C8563" w14:textId="77777777" w:rsidR="006E3229" w:rsidRDefault="00B43C9C">
      <w:pPr>
        <w:keepNext/>
        <w:pBdr>
          <w:top w:val="single" w:sz="4" w:space="1" w:color="auto"/>
          <w:left w:val="single" w:sz="4" w:space="4" w:color="auto"/>
          <w:bottom w:val="single" w:sz="4" w:space="1" w:color="auto"/>
          <w:right w:val="single" w:sz="4" w:space="4" w:color="auto"/>
        </w:pBdr>
        <w:spacing w:line="240" w:lineRule="auto"/>
        <w:outlineLvl w:val="1"/>
        <w:rPr>
          <w:b/>
          <w:szCs w:val="22"/>
        </w:rPr>
      </w:pPr>
      <w:r>
        <w:rPr>
          <w:rStyle w:val="DNEx2"/>
        </w:rPr>
        <w:t>13.</w:t>
      </w:r>
      <w:r>
        <w:rPr>
          <w:rStyle w:val="DNEx2"/>
        </w:rPr>
        <w:tab/>
      </w:r>
      <w:r>
        <w:rPr>
          <w:b/>
        </w:rPr>
        <w:t>NÚMERO DE LOTE</w:t>
      </w:r>
    </w:p>
    <w:p w14:paraId="50E6109D" w14:textId="77777777" w:rsidR="006E3229" w:rsidRDefault="006E3229">
      <w:pPr>
        <w:keepNext/>
        <w:spacing w:line="240" w:lineRule="auto"/>
        <w:rPr>
          <w:szCs w:val="22"/>
        </w:rPr>
      </w:pPr>
    </w:p>
    <w:p w14:paraId="25183539" w14:textId="77777777" w:rsidR="006E3229" w:rsidRDefault="00B43C9C">
      <w:pPr>
        <w:spacing w:line="240" w:lineRule="auto"/>
        <w:rPr>
          <w:szCs w:val="22"/>
        </w:rPr>
      </w:pPr>
      <w:r>
        <w:t>Lote</w:t>
      </w:r>
    </w:p>
    <w:p w14:paraId="2CBE8B8C" w14:textId="77777777" w:rsidR="006E3229" w:rsidRDefault="006E3229">
      <w:pPr>
        <w:spacing w:line="240" w:lineRule="auto"/>
        <w:rPr>
          <w:b/>
          <w:szCs w:val="22"/>
        </w:rPr>
      </w:pPr>
    </w:p>
    <w:p w14:paraId="24FC4A69" w14:textId="77777777" w:rsidR="006E3229" w:rsidRDefault="006E3229">
      <w:pPr>
        <w:spacing w:line="240" w:lineRule="auto"/>
        <w:rPr>
          <w:b/>
          <w:szCs w:val="22"/>
        </w:rPr>
      </w:pPr>
    </w:p>
    <w:p w14:paraId="7DBF5BBB" w14:textId="77777777" w:rsidR="006E3229" w:rsidRDefault="00B43C9C">
      <w:pPr>
        <w:pBdr>
          <w:top w:val="single" w:sz="4" w:space="1" w:color="auto"/>
          <w:left w:val="single" w:sz="4" w:space="4" w:color="auto"/>
          <w:bottom w:val="single" w:sz="4" w:space="1" w:color="auto"/>
          <w:right w:val="single" w:sz="4" w:space="4" w:color="auto"/>
        </w:pBdr>
        <w:spacing w:line="240" w:lineRule="auto"/>
        <w:outlineLvl w:val="1"/>
      </w:pPr>
      <w:r>
        <w:rPr>
          <w:rStyle w:val="DNEx2"/>
        </w:rPr>
        <w:t>14.</w:t>
      </w:r>
      <w:r>
        <w:rPr>
          <w:rStyle w:val="DNEx2"/>
        </w:rPr>
        <w:tab/>
      </w:r>
      <w:r>
        <w:rPr>
          <w:b/>
        </w:rPr>
        <w:t>CONDICIONES GENERALES DE DISPENSACIÓN</w:t>
      </w:r>
    </w:p>
    <w:p w14:paraId="312F20FA" w14:textId="77777777" w:rsidR="006E3229" w:rsidRDefault="006E3229">
      <w:pPr>
        <w:spacing w:line="240" w:lineRule="auto"/>
        <w:rPr>
          <w:szCs w:val="22"/>
        </w:rPr>
      </w:pPr>
    </w:p>
    <w:p w14:paraId="7810DD06" w14:textId="77777777" w:rsidR="006E3229" w:rsidRDefault="006E3229">
      <w:pPr>
        <w:spacing w:line="240" w:lineRule="auto"/>
      </w:pPr>
    </w:p>
    <w:p w14:paraId="39FC36F3" w14:textId="77777777" w:rsidR="006E3229" w:rsidRDefault="00B43C9C">
      <w:pPr>
        <w:pBdr>
          <w:top w:val="single" w:sz="4" w:space="2" w:color="auto"/>
          <w:left w:val="single" w:sz="4" w:space="4" w:color="auto"/>
          <w:bottom w:val="single" w:sz="4" w:space="1" w:color="auto"/>
          <w:right w:val="single" w:sz="4" w:space="4" w:color="auto"/>
        </w:pBdr>
        <w:spacing w:line="240" w:lineRule="auto"/>
        <w:outlineLvl w:val="1"/>
      </w:pPr>
      <w:r>
        <w:rPr>
          <w:rStyle w:val="DNEx2"/>
        </w:rPr>
        <w:t>15.</w:t>
      </w:r>
      <w:r>
        <w:rPr>
          <w:rStyle w:val="DNEx2"/>
        </w:rPr>
        <w:tab/>
      </w:r>
      <w:r>
        <w:rPr>
          <w:b/>
        </w:rPr>
        <w:t>INSTRUCCIONES DE USO</w:t>
      </w:r>
    </w:p>
    <w:p w14:paraId="1BD4E737" w14:textId="77777777" w:rsidR="006E3229" w:rsidRDefault="006E3229">
      <w:pPr>
        <w:spacing w:line="240" w:lineRule="auto"/>
        <w:rPr>
          <w:i/>
          <w:szCs w:val="22"/>
        </w:rPr>
      </w:pPr>
    </w:p>
    <w:p w14:paraId="51B6E1C6" w14:textId="77777777" w:rsidR="006E3229" w:rsidRDefault="006E3229">
      <w:pPr>
        <w:spacing w:line="240" w:lineRule="auto"/>
      </w:pPr>
    </w:p>
    <w:p w14:paraId="70005CFE" w14:textId="77777777" w:rsidR="006E3229" w:rsidRDefault="00B43C9C">
      <w:pPr>
        <w:keepNext/>
        <w:pBdr>
          <w:top w:val="single" w:sz="4" w:space="1" w:color="auto"/>
          <w:left w:val="single" w:sz="4" w:space="4" w:color="auto"/>
          <w:bottom w:val="single" w:sz="4" w:space="0" w:color="auto"/>
          <w:right w:val="single" w:sz="4" w:space="4" w:color="auto"/>
        </w:pBdr>
        <w:spacing w:line="240" w:lineRule="auto"/>
        <w:outlineLvl w:val="1"/>
        <w:rPr>
          <w:i/>
          <w:szCs w:val="22"/>
        </w:rPr>
      </w:pPr>
      <w:r>
        <w:rPr>
          <w:rStyle w:val="DNEx2"/>
        </w:rPr>
        <w:t>16.</w:t>
      </w:r>
      <w:r>
        <w:rPr>
          <w:rStyle w:val="DNEx2"/>
        </w:rPr>
        <w:tab/>
      </w:r>
      <w:r>
        <w:rPr>
          <w:b/>
        </w:rPr>
        <w:t>INFORMACIÓN EN BRAILLE</w:t>
      </w:r>
    </w:p>
    <w:p w14:paraId="58FC63F9" w14:textId="77777777" w:rsidR="006E3229" w:rsidRDefault="006E3229">
      <w:pPr>
        <w:keepNext/>
        <w:spacing w:line="240" w:lineRule="auto"/>
        <w:rPr>
          <w:szCs w:val="22"/>
          <w:highlight w:val="yellow"/>
        </w:rPr>
      </w:pPr>
    </w:p>
    <w:p w14:paraId="65943048" w14:textId="77777777" w:rsidR="006E3229" w:rsidRPr="003D46BA" w:rsidRDefault="00B43C9C">
      <w:pPr>
        <w:pStyle w:val="TextAr11CarCar"/>
        <w:spacing w:after="0" w:line="240" w:lineRule="auto"/>
        <w:jc w:val="left"/>
        <w:rPr>
          <w:sz w:val="22"/>
          <w:szCs w:val="22"/>
          <w:highlight w:val="lightGray"/>
          <w:shd w:val="clear" w:color="auto" w:fill="CCCCCC"/>
          <w:lang w:val="pt-BR"/>
        </w:rPr>
      </w:pPr>
      <w:r w:rsidRPr="003D46BA">
        <w:rPr>
          <w:sz w:val="22"/>
          <w:highlight w:val="lightGray"/>
          <w:shd w:val="clear" w:color="auto" w:fill="CCCCCC"/>
          <w:lang w:val="pt-BR"/>
        </w:rPr>
        <w:t>No procede</w:t>
      </w:r>
    </w:p>
    <w:p w14:paraId="010D186C" w14:textId="77777777" w:rsidR="006E3229" w:rsidRPr="003D46BA" w:rsidRDefault="006E3229">
      <w:pPr>
        <w:pStyle w:val="TextAr11CarCar"/>
        <w:spacing w:after="0" w:line="240" w:lineRule="auto"/>
        <w:rPr>
          <w:sz w:val="22"/>
          <w:szCs w:val="22"/>
          <w:lang w:val="pt-BR"/>
        </w:rPr>
      </w:pPr>
    </w:p>
    <w:p w14:paraId="6E6E87AD" w14:textId="77777777" w:rsidR="006E3229" w:rsidRPr="003D46BA" w:rsidRDefault="006E3229">
      <w:pPr>
        <w:pStyle w:val="TextAr11CarCar"/>
        <w:spacing w:after="0" w:line="240" w:lineRule="auto"/>
        <w:rPr>
          <w:sz w:val="22"/>
          <w:szCs w:val="22"/>
          <w:lang w:val="pt-BR"/>
        </w:rPr>
      </w:pPr>
    </w:p>
    <w:p w14:paraId="2157EAA4" w14:textId="77777777" w:rsidR="006E3229" w:rsidRPr="003D46BA" w:rsidRDefault="00B43C9C">
      <w:pPr>
        <w:keepNext/>
        <w:pBdr>
          <w:top w:val="single" w:sz="4" w:space="1" w:color="auto"/>
          <w:left w:val="single" w:sz="4" w:space="4" w:color="auto"/>
          <w:bottom w:val="single" w:sz="4" w:space="0" w:color="auto"/>
          <w:right w:val="single" w:sz="4" w:space="4" w:color="auto"/>
        </w:pBdr>
        <w:spacing w:line="240" w:lineRule="auto"/>
        <w:outlineLvl w:val="1"/>
        <w:rPr>
          <w:i/>
          <w:szCs w:val="22"/>
          <w:lang w:val="pt-BR"/>
        </w:rPr>
      </w:pPr>
      <w:r w:rsidRPr="003D46BA">
        <w:rPr>
          <w:rStyle w:val="DNEx2"/>
          <w:lang w:val="pt-BR"/>
        </w:rPr>
        <w:t>17.</w:t>
      </w:r>
      <w:r w:rsidRPr="003D46BA">
        <w:rPr>
          <w:rStyle w:val="DNEx2"/>
          <w:lang w:val="pt-BR"/>
        </w:rPr>
        <w:tab/>
      </w:r>
      <w:r w:rsidRPr="003D46BA">
        <w:rPr>
          <w:b/>
          <w:lang w:val="pt-BR"/>
        </w:rPr>
        <w:t>IDENTIFICADOR ÚNICO - CÓDIGO DE BARRAS 2D</w:t>
      </w:r>
    </w:p>
    <w:p w14:paraId="44D15F15" w14:textId="77777777" w:rsidR="006E3229" w:rsidRPr="003D46BA" w:rsidRDefault="006E3229">
      <w:pPr>
        <w:pStyle w:val="TextAr11CarCar"/>
        <w:keepNext/>
        <w:spacing w:after="0" w:line="240" w:lineRule="auto"/>
        <w:jc w:val="left"/>
        <w:rPr>
          <w:szCs w:val="22"/>
          <w:lang w:val="pt-BR"/>
        </w:rPr>
      </w:pPr>
    </w:p>
    <w:p w14:paraId="2F3989BD" w14:textId="77777777" w:rsidR="006E3229" w:rsidRDefault="00B43C9C">
      <w:pPr>
        <w:pStyle w:val="TextAr11CarCar"/>
        <w:spacing w:after="0" w:line="240" w:lineRule="auto"/>
        <w:jc w:val="left"/>
        <w:rPr>
          <w:sz w:val="22"/>
          <w:szCs w:val="22"/>
          <w:highlight w:val="lightGray"/>
          <w:shd w:val="clear" w:color="auto" w:fill="CCCCCC"/>
        </w:rPr>
      </w:pPr>
      <w:r>
        <w:rPr>
          <w:sz w:val="22"/>
          <w:highlight w:val="lightGray"/>
          <w:shd w:val="clear" w:color="auto" w:fill="CCCCCC"/>
        </w:rPr>
        <w:t>No procede</w:t>
      </w:r>
    </w:p>
    <w:p w14:paraId="4D65DAB8" w14:textId="77777777" w:rsidR="006E3229" w:rsidRDefault="006E3229">
      <w:pPr>
        <w:pStyle w:val="TextAr11CarCar"/>
        <w:spacing w:after="0" w:line="240" w:lineRule="auto"/>
        <w:jc w:val="left"/>
        <w:rPr>
          <w:szCs w:val="22"/>
        </w:rPr>
      </w:pPr>
    </w:p>
    <w:p w14:paraId="5784B47C" w14:textId="77777777" w:rsidR="006E3229" w:rsidRDefault="006E3229">
      <w:pPr>
        <w:pStyle w:val="TextAr11CarCar"/>
        <w:spacing w:after="0" w:line="240" w:lineRule="auto"/>
        <w:jc w:val="left"/>
      </w:pPr>
    </w:p>
    <w:p w14:paraId="190CEB9D" w14:textId="77777777" w:rsidR="006E3229" w:rsidRDefault="00B43C9C">
      <w:pPr>
        <w:keepNext/>
        <w:pBdr>
          <w:top w:val="single" w:sz="4" w:space="1" w:color="auto"/>
          <w:left w:val="single" w:sz="4" w:space="4" w:color="auto"/>
          <w:bottom w:val="single" w:sz="4" w:space="0" w:color="auto"/>
          <w:right w:val="single" w:sz="4" w:space="4" w:color="auto"/>
        </w:pBdr>
        <w:spacing w:line="240" w:lineRule="auto"/>
        <w:outlineLvl w:val="1"/>
        <w:rPr>
          <w:i/>
          <w:szCs w:val="22"/>
        </w:rPr>
      </w:pPr>
      <w:r>
        <w:rPr>
          <w:rStyle w:val="DNEx2"/>
        </w:rPr>
        <w:t>18.</w:t>
      </w:r>
      <w:r>
        <w:rPr>
          <w:rStyle w:val="DNEx2"/>
        </w:rPr>
        <w:tab/>
      </w:r>
      <w:r>
        <w:rPr>
          <w:b/>
        </w:rPr>
        <w:t>IDENTIFICADOR ÚNICO - INFORMACIÓN EN CARACTERES VISUALES</w:t>
      </w:r>
    </w:p>
    <w:p w14:paraId="1FB7B576" w14:textId="77777777" w:rsidR="006E3229" w:rsidRDefault="006E3229">
      <w:pPr>
        <w:pStyle w:val="TextAr11CarCar"/>
        <w:keepNext/>
        <w:spacing w:after="0" w:line="240" w:lineRule="auto"/>
        <w:jc w:val="left"/>
        <w:rPr>
          <w:szCs w:val="22"/>
        </w:rPr>
      </w:pPr>
    </w:p>
    <w:p w14:paraId="65B93805" w14:textId="77777777" w:rsidR="006E3229" w:rsidRDefault="00B43C9C">
      <w:pPr>
        <w:autoSpaceDE w:val="0"/>
        <w:autoSpaceDN w:val="0"/>
        <w:adjustRightInd w:val="0"/>
        <w:spacing w:line="240" w:lineRule="auto"/>
      </w:pPr>
      <w:r>
        <w:rPr>
          <w:highlight w:val="lightGray"/>
          <w:shd w:val="clear" w:color="auto" w:fill="CCCCCC"/>
        </w:rPr>
        <w:t>No procede</w:t>
      </w:r>
    </w:p>
    <w:p w14:paraId="0DA714F3" w14:textId="77777777" w:rsidR="006E3229" w:rsidRDefault="00B43C9C">
      <w:r>
        <w:br w:type="page"/>
      </w:r>
    </w:p>
    <w:p w14:paraId="5DDB6ECA" w14:textId="77777777" w:rsidR="006E3229" w:rsidRDefault="006E3229"/>
    <w:p w14:paraId="46362448" w14:textId="77777777" w:rsidR="006E3229" w:rsidRDefault="006E3229">
      <w:pPr>
        <w:spacing w:line="240" w:lineRule="auto"/>
        <w:rPr>
          <w:b/>
        </w:rPr>
      </w:pPr>
    </w:p>
    <w:p w14:paraId="261AC363" w14:textId="77777777" w:rsidR="006E3229" w:rsidRDefault="006E3229">
      <w:pPr>
        <w:spacing w:line="240" w:lineRule="auto"/>
        <w:rPr>
          <w:szCs w:val="22"/>
        </w:rPr>
      </w:pPr>
    </w:p>
    <w:p w14:paraId="6BC66FA6" w14:textId="77777777" w:rsidR="006E3229" w:rsidRDefault="006E3229">
      <w:pPr>
        <w:spacing w:line="240" w:lineRule="auto"/>
        <w:rPr>
          <w:szCs w:val="22"/>
        </w:rPr>
      </w:pPr>
    </w:p>
    <w:p w14:paraId="36B62678" w14:textId="77777777" w:rsidR="006E3229" w:rsidRDefault="006E3229">
      <w:pPr>
        <w:spacing w:line="240" w:lineRule="auto"/>
        <w:rPr>
          <w:szCs w:val="22"/>
        </w:rPr>
      </w:pPr>
    </w:p>
    <w:p w14:paraId="04EEAA7B" w14:textId="77777777" w:rsidR="006E3229" w:rsidRDefault="006E3229">
      <w:pPr>
        <w:spacing w:line="240" w:lineRule="auto"/>
        <w:rPr>
          <w:szCs w:val="22"/>
        </w:rPr>
      </w:pPr>
    </w:p>
    <w:p w14:paraId="530EDED7" w14:textId="77777777" w:rsidR="006E3229" w:rsidRDefault="006E3229">
      <w:pPr>
        <w:spacing w:line="240" w:lineRule="auto"/>
        <w:rPr>
          <w:szCs w:val="22"/>
        </w:rPr>
      </w:pPr>
    </w:p>
    <w:p w14:paraId="7C87B3BF" w14:textId="77777777" w:rsidR="006E3229" w:rsidRDefault="006E3229">
      <w:pPr>
        <w:spacing w:line="240" w:lineRule="auto"/>
        <w:rPr>
          <w:szCs w:val="22"/>
        </w:rPr>
      </w:pPr>
    </w:p>
    <w:p w14:paraId="7D0797D3" w14:textId="77777777" w:rsidR="006E3229" w:rsidRDefault="006E3229">
      <w:pPr>
        <w:spacing w:line="240" w:lineRule="auto"/>
        <w:rPr>
          <w:szCs w:val="22"/>
        </w:rPr>
      </w:pPr>
    </w:p>
    <w:p w14:paraId="27587A28" w14:textId="77777777" w:rsidR="006E3229" w:rsidRDefault="006E3229">
      <w:pPr>
        <w:spacing w:line="240" w:lineRule="auto"/>
        <w:rPr>
          <w:szCs w:val="22"/>
        </w:rPr>
      </w:pPr>
    </w:p>
    <w:p w14:paraId="085317CB" w14:textId="77777777" w:rsidR="006E3229" w:rsidRDefault="006E3229">
      <w:pPr>
        <w:spacing w:line="240" w:lineRule="auto"/>
        <w:rPr>
          <w:szCs w:val="22"/>
        </w:rPr>
      </w:pPr>
    </w:p>
    <w:p w14:paraId="76C47041" w14:textId="77777777" w:rsidR="006E3229" w:rsidRDefault="006E3229">
      <w:pPr>
        <w:spacing w:line="240" w:lineRule="auto"/>
        <w:rPr>
          <w:szCs w:val="22"/>
        </w:rPr>
      </w:pPr>
    </w:p>
    <w:p w14:paraId="69135F94" w14:textId="77777777" w:rsidR="006E3229" w:rsidRDefault="006E3229">
      <w:pPr>
        <w:spacing w:line="240" w:lineRule="auto"/>
        <w:rPr>
          <w:szCs w:val="22"/>
        </w:rPr>
      </w:pPr>
    </w:p>
    <w:p w14:paraId="2746953F" w14:textId="77777777" w:rsidR="006E3229" w:rsidRDefault="006E3229">
      <w:pPr>
        <w:spacing w:line="240" w:lineRule="auto"/>
        <w:rPr>
          <w:szCs w:val="22"/>
        </w:rPr>
      </w:pPr>
    </w:p>
    <w:p w14:paraId="59D85B9D" w14:textId="77777777" w:rsidR="006E3229" w:rsidRDefault="006E3229">
      <w:pPr>
        <w:spacing w:line="240" w:lineRule="auto"/>
        <w:rPr>
          <w:szCs w:val="22"/>
        </w:rPr>
      </w:pPr>
    </w:p>
    <w:p w14:paraId="5C3F8C0C" w14:textId="77777777" w:rsidR="006E3229" w:rsidRDefault="006E3229">
      <w:pPr>
        <w:spacing w:line="240" w:lineRule="auto"/>
        <w:rPr>
          <w:szCs w:val="22"/>
        </w:rPr>
      </w:pPr>
    </w:p>
    <w:p w14:paraId="0CEC856C" w14:textId="77777777" w:rsidR="006E3229" w:rsidRDefault="006E3229">
      <w:pPr>
        <w:spacing w:line="240" w:lineRule="auto"/>
        <w:rPr>
          <w:szCs w:val="22"/>
        </w:rPr>
      </w:pPr>
    </w:p>
    <w:p w14:paraId="68C74AA3" w14:textId="77777777" w:rsidR="006E3229" w:rsidRDefault="006E3229">
      <w:pPr>
        <w:spacing w:line="240" w:lineRule="auto"/>
        <w:rPr>
          <w:szCs w:val="22"/>
        </w:rPr>
      </w:pPr>
    </w:p>
    <w:p w14:paraId="40873737" w14:textId="77777777" w:rsidR="006E3229" w:rsidRDefault="006E3229">
      <w:pPr>
        <w:spacing w:line="240" w:lineRule="auto"/>
        <w:rPr>
          <w:szCs w:val="22"/>
        </w:rPr>
      </w:pPr>
    </w:p>
    <w:p w14:paraId="1E5E1751" w14:textId="77777777" w:rsidR="006E3229" w:rsidRDefault="006E3229">
      <w:pPr>
        <w:spacing w:line="240" w:lineRule="auto"/>
        <w:rPr>
          <w:szCs w:val="22"/>
        </w:rPr>
      </w:pPr>
    </w:p>
    <w:p w14:paraId="1AB14C34" w14:textId="3E608B1A" w:rsidR="006E3229" w:rsidRDefault="003D46BA" w:rsidP="003D46BA">
      <w:pPr>
        <w:pStyle w:val="TitleA"/>
      </w:pPr>
      <w:r>
        <w:t xml:space="preserve">B. </w:t>
      </w:r>
      <w:r w:rsidR="00B43C9C">
        <w:t>PROSPECTO</w:t>
      </w:r>
    </w:p>
    <w:p w14:paraId="1EC52F33" w14:textId="77777777" w:rsidR="006E3229" w:rsidRDefault="00B43C9C">
      <w:pPr>
        <w:tabs>
          <w:tab w:val="clear" w:pos="567"/>
        </w:tabs>
        <w:spacing w:line="240" w:lineRule="auto"/>
        <w:jc w:val="center"/>
        <w:outlineLvl w:val="0"/>
      </w:pPr>
      <w:r>
        <w:br w:type="page"/>
      </w:r>
      <w:r>
        <w:rPr>
          <w:b/>
        </w:rPr>
        <w:lastRenderedPageBreak/>
        <w:t>Prospecto: información para el paciente</w:t>
      </w:r>
    </w:p>
    <w:p w14:paraId="0DB075DF" w14:textId="77777777" w:rsidR="006E3229" w:rsidRDefault="006E3229">
      <w:pPr>
        <w:numPr>
          <w:ilvl w:val="12"/>
          <w:numId w:val="0"/>
        </w:numPr>
        <w:shd w:val="clear" w:color="auto" w:fill="FFFFFF"/>
        <w:tabs>
          <w:tab w:val="clear" w:pos="567"/>
        </w:tabs>
        <w:spacing w:line="240" w:lineRule="auto"/>
        <w:jc w:val="center"/>
      </w:pPr>
    </w:p>
    <w:p w14:paraId="45A6A448" w14:textId="77777777" w:rsidR="006E3229" w:rsidRDefault="00B43C9C">
      <w:pPr>
        <w:tabs>
          <w:tab w:val="left" w:pos="993"/>
        </w:tabs>
        <w:spacing w:line="240" w:lineRule="auto"/>
        <w:jc w:val="center"/>
        <w:outlineLvl w:val="0"/>
        <w:rPr>
          <w:b/>
          <w:bCs/>
        </w:rPr>
      </w:pPr>
      <w:r>
        <w:rPr>
          <w:b/>
        </w:rPr>
        <w:t>AGAMREE 40 mg/ml suspensión oral</w:t>
      </w:r>
    </w:p>
    <w:p w14:paraId="24F947CF" w14:textId="77777777" w:rsidR="006E3229" w:rsidRDefault="00B43C9C">
      <w:pPr>
        <w:numPr>
          <w:ilvl w:val="12"/>
          <w:numId w:val="0"/>
        </w:numPr>
        <w:tabs>
          <w:tab w:val="clear" w:pos="567"/>
        </w:tabs>
        <w:spacing w:line="240" w:lineRule="auto"/>
        <w:jc w:val="center"/>
      </w:pPr>
      <w:proofErr w:type="spellStart"/>
      <w:r>
        <w:t>vamorolona</w:t>
      </w:r>
      <w:proofErr w:type="spellEnd"/>
    </w:p>
    <w:p w14:paraId="0A448806" w14:textId="77777777" w:rsidR="006E3229" w:rsidRDefault="006E3229">
      <w:pPr>
        <w:tabs>
          <w:tab w:val="clear" w:pos="567"/>
        </w:tabs>
        <w:spacing w:line="240" w:lineRule="auto"/>
      </w:pPr>
    </w:p>
    <w:p w14:paraId="02230E06" w14:textId="77777777" w:rsidR="006E3229" w:rsidRDefault="00B43C9C">
      <w:pPr>
        <w:spacing w:line="240" w:lineRule="auto"/>
      </w:pPr>
      <w:r>
        <w:rPr>
          <w:rStyle w:val="DNEx1"/>
        </w:rPr>
        <w:t>▼</w:t>
      </w:r>
      <w:r>
        <w:t>Este medicamento está sujeto a seguimiento adicional, lo que agilizará la detección de nueva información sobre su seguridad. Puede contribuir comunicando los efectos adversos que pudiera usted tener. La parte final de la sección 4 incluye información sobre cómo comunicar estos efectos adversos.</w:t>
      </w:r>
    </w:p>
    <w:p w14:paraId="15DDA65E" w14:textId="77777777" w:rsidR="006E3229" w:rsidRDefault="006E3229">
      <w:pPr>
        <w:tabs>
          <w:tab w:val="clear" w:pos="567"/>
        </w:tabs>
        <w:spacing w:line="240" w:lineRule="auto"/>
      </w:pPr>
    </w:p>
    <w:p w14:paraId="734421BD" w14:textId="77777777" w:rsidR="006E3229" w:rsidRDefault="00B43C9C">
      <w:pPr>
        <w:keepNext/>
        <w:tabs>
          <w:tab w:val="clear" w:pos="567"/>
        </w:tabs>
        <w:suppressAutoHyphens/>
        <w:spacing w:line="240" w:lineRule="auto"/>
      </w:pPr>
      <w:r>
        <w:rPr>
          <w:b/>
        </w:rPr>
        <w:t>Lea todo el prospecto detenidamente antes de empezar a tomar este medicamento, porque contiene información importante para usted.</w:t>
      </w:r>
    </w:p>
    <w:p w14:paraId="17CF4C58" w14:textId="77777777" w:rsidR="006E3229" w:rsidRDefault="00B43C9C">
      <w:pPr>
        <w:numPr>
          <w:ilvl w:val="0"/>
          <w:numId w:val="6"/>
        </w:numPr>
        <w:tabs>
          <w:tab w:val="clear" w:pos="567"/>
          <w:tab w:val="left" w:pos="720"/>
        </w:tabs>
        <w:spacing w:line="240" w:lineRule="auto"/>
        <w:ind w:left="567" w:right="-2" w:hanging="567"/>
      </w:pPr>
      <w:r>
        <w:t>Conserve este prospecto, ya que puede tener que volver a leerlo.</w:t>
      </w:r>
    </w:p>
    <w:p w14:paraId="06B0890A" w14:textId="77777777" w:rsidR="006E3229" w:rsidRDefault="00B43C9C">
      <w:pPr>
        <w:numPr>
          <w:ilvl w:val="0"/>
          <w:numId w:val="6"/>
        </w:numPr>
        <w:tabs>
          <w:tab w:val="clear" w:pos="567"/>
          <w:tab w:val="left" w:pos="720"/>
        </w:tabs>
        <w:spacing w:line="240" w:lineRule="auto"/>
        <w:ind w:left="567" w:right="-2" w:hanging="567"/>
      </w:pPr>
      <w:r>
        <w:t>Si tiene alguna duda, consulte a su médico o farmacéutico.</w:t>
      </w:r>
    </w:p>
    <w:p w14:paraId="3D85F988" w14:textId="77777777" w:rsidR="006E3229" w:rsidRDefault="00B43C9C">
      <w:pPr>
        <w:numPr>
          <w:ilvl w:val="0"/>
          <w:numId w:val="6"/>
        </w:numPr>
        <w:tabs>
          <w:tab w:val="clear" w:pos="567"/>
          <w:tab w:val="left" w:pos="720"/>
        </w:tabs>
        <w:spacing w:line="240" w:lineRule="auto"/>
        <w:ind w:left="567" w:right="-2" w:hanging="567"/>
      </w:pPr>
      <w:r>
        <w:t xml:space="preserve">Este medicamento se le ha recetado solamente a usted, y no debe dárselo a otras </w:t>
      </w:r>
      <w:proofErr w:type="gramStart"/>
      <w:r>
        <w:t>personas</w:t>
      </w:r>
      <w:proofErr w:type="gramEnd"/>
      <w:r>
        <w:t xml:space="preserve"> aunque tengan los mismos síntomas que usted, ya que puede perjudicarles.</w:t>
      </w:r>
    </w:p>
    <w:p w14:paraId="57C2B963" w14:textId="77777777" w:rsidR="006E3229" w:rsidRDefault="00B43C9C">
      <w:pPr>
        <w:numPr>
          <w:ilvl w:val="0"/>
          <w:numId w:val="6"/>
        </w:numPr>
        <w:tabs>
          <w:tab w:val="clear" w:pos="567"/>
          <w:tab w:val="left" w:pos="720"/>
        </w:tabs>
        <w:spacing w:line="240" w:lineRule="auto"/>
        <w:ind w:left="567" w:right="-2" w:hanging="567"/>
      </w:pPr>
      <w:r>
        <w:t>Si experimenta cualquier tipo de efecto adverso, consulte a su médico o farmacéutico, incluso si se trata de efectos adversos que no aparecen en este prospecto. Ver sección 4.</w:t>
      </w:r>
    </w:p>
    <w:p w14:paraId="644EE2C7" w14:textId="77777777" w:rsidR="006E3229" w:rsidRDefault="006E3229">
      <w:pPr>
        <w:tabs>
          <w:tab w:val="clear" w:pos="567"/>
        </w:tabs>
        <w:spacing w:line="240" w:lineRule="auto"/>
        <w:ind w:right="-2"/>
      </w:pPr>
    </w:p>
    <w:p w14:paraId="415EE800" w14:textId="77777777" w:rsidR="006E3229" w:rsidRDefault="00B43C9C">
      <w:pPr>
        <w:keepNext/>
        <w:numPr>
          <w:ilvl w:val="12"/>
          <w:numId w:val="0"/>
        </w:numPr>
        <w:tabs>
          <w:tab w:val="clear" w:pos="567"/>
        </w:tabs>
        <w:spacing w:line="240" w:lineRule="auto"/>
        <w:ind w:right="-2"/>
        <w:rPr>
          <w:b/>
        </w:rPr>
      </w:pPr>
      <w:r>
        <w:rPr>
          <w:b/>
        </w:rPr>
        <w:t>Contenido del prospecto</w:t>
      </w:r>
    </w:p>
    <w:p w14:paraId="70F71D91" w14:textId="77777777" w:rsidR="006E3229" w:rsidRDefault="006E3229">
      <w:pPr>
        <w:keepNext/>
        <w:tabs>
          <w:tab w:val="clear" w:pos="567"/>
        </w:tabs>
        <w:spacing w:line="240" w:lineRule="auto"/>
        <w:ind w:right="-2"/>
      </w:pPr>
    </w:p>
    <w:p w14:paraId="53362E26" w14:textId="77777777" w:rsidR="006E3229" w:rsidRDefault="00B43C9C">
      <w:pPr>
        <w:numPr>
          <w:ilvl w:val="12"/>
          <w:numId w:val="0"/>
        </w:numPr>
        <w:spacing w:line="240" w:lineRule="auto"/>
        <w:ind w:right="-29"/>
      </w:pPr>
      <w:r>
        <w:rPr>
          <w:rStyle w:val="DNEx4"/>
        </w:rPr>
        <w:t>1.</w:t>
      </w:r>
      <w:r>
        <w:rPr>
          <w:rStyle w:val="DNEx4"/>
        </w:rPr>
        <w:tab/>
      </w:r>
      <w:r>
        <w:t>Qué es AGAMREE y para qué se utiliza</w:t>
      </w:r>
    </w:p>
    <w:p w14:paraId="609545FD" w14:textId="77777777" w:rsidR="006E3229" w:rsidRDefault="00B43C9C">
      <w:pPr>
        <w:numPr>
          <w:ilvl w:val="12"/>
          <w:numId w:val="0"/>
        </w:numPr>
        <w:spacing w:line="240" w:lineRule="auto"/>
        <w:ind w:right="-29"/>
      </w:pPr>
      <w:r>
        <w:rPr>
          <w:rStyle w:val="DNEx4"/>
        </w:rPr>
        <w:t>2.</w:t>
      </w:r>
      <w:r>
        <w:rPr>
          <w:rStyle w:val="DNEx4"/>
        </w:rPr>
        <w:tab/>
      </w:r>
      <w:r>
        <w:t>Qué necesita saber antes de tomar AGAMREE</w:t>
      </w:r>
    </w:p>
    <w:p w14:paraId="59AAE11C" w14:textId="77777777" w:rsidR="006E3229" w:rsidRDefault="00B43C9C">
      <w:pPr>
        <w:numPr>
          <w:ilvl w:val="12"/>
          <w:numId w:val="0"/>
        </w:numPr>
        <w:spacing w:line="240" w:lineRule="auto"/>
        <w:ind w:right="-29"/>
      </w:pPr>
      <w:r>
        <w:rPr>
          <w:rStyle w:val="DNEx4"/>
        </w:rPr>
        <w:t>3.</w:t>
      </w:r>
      <w:r>
        <w:rPr>
          <w:rStyle w:val="DNEx4"/>
        </w:rPr>
        <w:tab/>
      </w:r>
      <w:r>
        <w:t>Cómo tomar AGAMREE</w:t>
      </w:r>
    </w:p>
    <w:p w14:paraId="0B8AE616" w14:textId="77777777" w:rsidR="006E3229" w:rsidRDefault="00B43C9C">
      <w:pPr>
        <w:numPr>
          <w:ilvl w:val="12"/>
          <w:numId w:val="0"/>
        </w:numPr>
        <w:spacing w:line="240" w:lineRule="auto"/>
        <w:ind w:right="-29"/>
      </w:pPr>
      <w:r>
        <w:rPr>
          <w:rStyle w:val="DNEx4"/>
        </w:rPr>
        <w:t>4.</w:t>
      </w:r>
      <w:r>
        <w:rPr>
          <w:rStyle w:val="DNEx4"/>
        </w:rPr>
        <w:tab/>
      </w:r>
      <w:r>
        <w:t>Posibles efectos adversos</w:t>
      </w:r>
    </w:p>
    <w:p w14:paraId="6AA99795" w14:textId="77777777" w:rsidR="006E3229" w:rsidRDefault="00B43C9C">
      <w:pPr>
        <w:spacing w:line="240" w:lineRule="auto"/>
        <w:ind w:right="-29"/>
      </w:pPr>
      <w:r>
        <w:rPr>
          <w:rStyle w:val="DNEx4"/>
        </w:rPr>
        <w:t>5.</w:t>
      </w:r>
      <w:r>
        <w:rPr>
          <w:rStyle w:val="DNEx4"/>
        </w:rPr>
        <w:tab/>
      </w:r>
      <w:r>
        <w:t>Conservación de AGAMREE</w:t>
      </w:r>
    </w:p>
    <w:p w14:paraId="072914CF" w14:textId="77777777" w:rsidR="006E3229" w:rsidRDefault="00B43C9C">
      <w:pPr>
        <w:spacing w:line="240" w:lineRule="auto"/>
        <w:ind w:right="-29"/>
      </w:pPr>
      <w:r>
        <w:rPr>
          <w:rStyle w:val="DNEx4"/>
        </w:rPr>
        <w:t>6.</w:t>
      </w:r>
      <w:r>
        <w:rPr>
          <w:rStyle w:val="DNEx4"/>
        </w:rPr>
        <w:tab/>
      </w:r>
      <w:r>
        <w:t>Contenido del envase e información adicional</w:t>
      </w:r>
    </w:p>
    <w:p w14:paraId="4E100F55" w14:textId="77777777" w:rsidR="006E3229" w:rsidRDefault="006E3229">
      <w:pPr>
        <w:numPr>
          <w:ilvl w:val="12"/>
          <w:numId w:val="0"/>
        </w:numPr>
        <w:tabs>
          <w:tab w:val="clear" w:pos="567"/>
        </w:tabs>
        <w:spacing w:line="240" w:lineRule="auto"/>
        <w:ind w:right="-2"/>
      </w:pPr>
    </w:p>
    <w:p w14:paraId="59290A51" w14:textId="77777777" w:rsidR="006E3229" w:rsidRDefault="006E3229">
      <w:pPr>
        <w:numPr>
          <w:ilvl w:val="12"/>
          <w:numId w:val="0"/>
        </w:numPr>
        <w:tabs>
          <w:tab w:val="clear" w:pos="567"/>
        </w:tabs>
        <w:spacing w:line="240" w:lineRule="auto"/>
        <w:rPr>
          <w:szCs w:val="22"/>
        </w:rPr>
      </w:pPr>
    </w:p>
    <w:p w14:paraId="167DA87C" w14:textId="77777777" w:rsidR="006E3229" w:rsidRDefault="00B43C9C">
      <w:pPr>
        <w:keepNext/>
        <w:spacing w:line="240" w:lineRule="auto"/>
        <w:ind w:right="-2"/>
        <w:rPr>
          <w:b/>
          <w:szCs w:val="22"/>
        </w:rPr>
      </w:pPr>
      <w:r>
        <w:rPr>
          <w:rStyle w:val="DNEx2"/>
        </w:rPr>
        <w:t>1.</w:t>
      </w:r>
      <w:r>
        <w:rPr>
          <w:rStyle w:val="DNEx2"/>
        </w:rPr>
        <w:tab/>
      </w:r>
      <w:r>
        <w:rPr>
          <w:b/>
        </w:rPr>
        <w:t>Qué es AGAMREE y para qué se utiliza</w:t>
      </w:r>
    </w:p>
    <w:p w14:paraId="6DB55577" w14:textId="77777777" w:rsidR="006E3229" w:rsidRDefault="006E3229">
      <w:pPr>
        <w:keepNext/>
        <w:numPr>
          <w:ilvl w:val="12"/>
          <w:numId w:val="0"/>
        </w:numPr>
        <w:tabs>
          <w:tab w:val="clear" w:pos="567"/>
        </w:tabs>
        <w:spacing w:line="240" w:lineRule="auto"/>
        <w:rPr>
          <w:szCs w:val="22"/>
        </w:rPr>
      </w:pPr>
    </w:p>
    <w:p w14:paraId="609CADD0" w14:textId="77777777" w:rsidR="006E3229" w:rsidRDefault="00B43C9C">
      <w:pPr>
        <w:tabs>
          <w:tab w:val="clear" w:pos="567"/>
        </w:tabs>
        <w:spacing w:line="240" w:lineRule="auto"/>
        <w:ind w:right="-2"/>
      </w:pPr>
      <w:r>
        <w:t xml:space="preserve">AGAMREE es un medicamento antiinflamatorio esteroideo que contiene el principio activo </w:t>
      </w:r>
      <w:proofErr w:type="spellStart"/>
      <w:r>
        <w:t>vamorolona</w:t>
      </w:r>
      <w:proofErr w:type="spellEnd"/>
      <w:r>
        <w:t>.</w:t>
      </w:r>
    </w:p>
    <w:p w14:paraId="75C500DE" w14:textId="77777777" w:rsidR="006E3229" w:rsidRDefault="006E3229">
      <w:pPr>
        <w:tabs>
          <w:tab w:val="clear" w:pos="567"/>
        </w:tabs>
        <w:spacing w:line="240" w:lineRule="auto"/>
        <w:ind w:right="-2"/>
      </w:pPr>
    </w:p>
    <w:p w14:paraId="21BF2B9A" w14:textId="77777777" w:rsidR="006E3229" w:rsidRDefault="00B43C9C">
      <w:pPr>
        <w:tabs>
          <w:tab w:val="clear" w:pos="567"/>
        </w:tabs>
        <w:spacing w:line="240" w:lineRule="auto"/>
        <w:ind w:right="-2"/>
      </w:pPr>
      <w:r>
        <w:t>AGAMREE se utiliza para el tratamiento de pacientes a partir de 4 años de edad con distrofia muscular de Duchenne (DMD). La DMD es una enfermedad genética causada por defectos en el gen de la distrofina, que normalmente produce una proteína que mantiene los músculos sanos y fuertes. En pacientes con DMD, esta proteína no se genera y el organismo es incapaz de desarrollar nuevas células musculares o de sustituir el músculo dañado. Esto hace que los músculos del cuerpo se debiliten con el tiempo.</w:t>
      </w:r>
    </w:p>
    <w:p w14:paraId="3DF87C9A" w14:textId="77777777" w:rsidR="006E3229" w:rsidRDefault="006E3229">
      <w:pPr>
        <w:tabs>
          <w:tab w:val="clear" w:pos="567"/>
        </w:tabs>
        <w:spacing w:line="240" w:lineRule="auto"/>
        <w:ind w:right="-2"/>
      </w:pPr>
    </w:p>
    <w:p w14:paraId="00D0E8A1" w14:textId="77777777" w:rsidR="006E3229" w:rsidRDefault="00B43C9C">
      <w:pPr>
        <w:tabs>
          <w:tab w:val="clear" w:pos="567"/>
        </w:tabs>
        <w:spacing w:line="240" w:lineRule="auto"/>
        <w:ind w:right="-2"/>
      </w:pPr>
      <w:r>
        <w:t>AGAMREE se utiliza para estabilizar o mejorar la fuerza muscular en pacientes con DMD.</w:t>
      </w:r>
    </w:p>
    <w:p w14:paraId="6979234E" w14:textId="77777777" w:rsidR="006E3229" w:rsidRDefault="006E3229">
      <w:pPr>
        <w:tabs>
          <w:tab w:val="clear" w:pos="567"/>
        </w:tabs>
        <w:spacing w:line="240" w:lineRule="auto"/>
        <w:ind w:right="-2"/>
      </w:pPr>
    </w:p>
    <w:p w14:paraId="674C57BA" w14:textId="77777777" w:rsidR="006E3229" w:rsidRDefault="006E3229">
      <w:pPr>
        <w:tabs>
          <w:tab w:val="clear" w:pos="567"/>
        </w:tabs>
        <w:spacing w:line="240" w:lineRule="auto"/>
        <w:ind w:right="-2"/>
      </w:pPr>
    </w:p>
    <w:p w14:paraId="76CE718E" w14:textId="77777777" w:rsidR="006E3229" w:rsidRDefault="00B43C9C">
      <w:pPr>
        <w:keepNext/>
        <w:spacing w:line="240" w:lineRule="auto"/>
        <w:ind w:right="-2"/>
        <w:rPr>
          <w:b/>
          <w:szCs w:val="22"/>
        </w:rPr>
      </w:pPr>
      <w:r>
        <w:rPr>
          <w:rStyle w:val="DNEx2"/>
        </w:rPr>
        <w:t>2.</w:t>
      </w:r>
      <w:r>
        <w:rPr>
          <w:rStyle w:val="DNEx2"/>
        </w:rPr>
        <w:tab/>
      </w:r>
      <w:r>
        <w:rPr>
          <w:b/>
        </w:rPr>
        <w:t>Qué necesita saber antes de tomar AGAMREE</w:t>
      </w:r>
    </w:p>
    <w:p w14:paraId="68E73F82" w14:textId="77777777" w:rsidR="006E3229" w:rsidRDefault="006E3229">
      <w:pPr>
        <w:keepNext/>
        <w:tabs>
          <w:tab w:val="clear" w:pos="567"/>
        </w:tabs>
        <w:spacing w:line="240" w:lineRule="auto"/>
        <w:ind w:right="-2"/>
      </w:pPr>
    </w:p>
    <w:p w14:paraId="0A7C3FDD" w14:textId="77777777" w:rsidR="006E3229" w:rsidRDefault="00B43C9C">
      <w:pPr>
        <w:keepNext/>
        <w:numPr>
          <w:ilvl w:val="12"/>
          <w:numId w:val="0"/>
        </w:numPr>
        <w:tabs>
          <w:tab w:val="clear" w:pos="567"/>
        </w:tabs>
        <w:spacing w:line="240" w:lineRule="auto"/>
        <w:outlineLvl w:val="0"/>
        <w:rPr>
          <w:szCs w:val="22"/>
        </w:rPr>
      </w:pPr>
      <w:r>
        <w:rPr>
          <w:b/>
        </w:rPr>
        <w:t>No tome AGAMREE</w:t>
      </w:r>
    </w:p>
    <w:p w14:paraId="5BAAA865" w14:textId="77777777" w:rsidR="006E3229" w:rsidRDefault="00B43C9C">
      <w:pPr>
        <w:tabs>
          <w:tab w:val="clear" w:pos="567"/>
        </w:tabs>
        <w:spacing w:line="240" w:lineRule="auto"/>
        <w:ind w:left="567" w:hanging="567"/>
      </w:pPr>
      <w:r>
        <w:rPr>
          <w:rStyle w:val="DNEx4"/>
        </w:rPr>
        <w:t>-</w:t>
      </w:r>
      <w:r>
        <w:rPr>
          <w:rStyle w:val="DNEx4"/>
        </w:rPr>
        <w:tab/>
      </w:r>
      <w:r>
        <w:t xml:space="preserve">si tiene alergia a la </w:t>
      </w:r>
      <w:proofErr w:type="spellStart"/>
      <w:r>
        <w:t>vamorolona</w:t>
      </w:r>
      <w:proofErr w:type="spellEnd"/>
      <w:r>
        <w:t xml:space="preserve"> o a alguno de los demás componentes de este medicamento (incluidos en la sección 6);</w:t>
      </w:r>
    </w:p>
    <w:p w14:paraId="3D0B23DA" w14:textId="77777777" w:rsidR="006E3229" w:rsidRDefault="00B43C9C">
      <w:pPr>
        <w:tabs>
          <w:tab w:val="clear" w:pos="567"/>
        </w:tabs>
        <w:spacing w:line="240" w:lineRule="auto"/>
        <w:ind w:left="567" w:hanging="567"/>
      </w:pPr>
      <w:r>
        <w:rPr>
          <w:rStyle w:val="DNEx4"/>
        </w:rPr>
        <w:t xml:space="preserve">- </w:t>
      </w:r>
      <w:r>
        <w:rPr>
          <w:rStyle w:val="DNEx4"/>
        </w:rPr>
        <w:tab/>
      </w:r>
      <w:r>
        <w:t>si tiene un problema hepático grave;</w:t>
      </w:r>
    </w:p>
    <w:p w14:paraId="6F6B3104" w14:textId="77777777" w:rsidR="006E3229" w:rsidRDefault="00B43C9C">
      <w:pPr>
        <w:tabs>
          <w:tab w:val="clear" w:pos="567"/>
        </w:tabs>
        <w:spacing w:line="240" w:lineRule="auto"/>
        <w:ind w:left="567" w:hanging="567"/>
      </w:pPr>
      <w:r>
        <w:rPr>
          <w:rStyle w:val="DNEx4"/>
        </w:rPr>
        <w:t xml:space="preserve">- </w:t>
      </w:r>
      <w:r>
        <w:rPr>
          <w:rStyle w:val="DNEx4"/>
        </w:rPr>
        <w:tab/>
      </w:r>
      <w:r>
        <w:t>si tiene previsto recibir o ha recibido alguna vacunación con vacunas vivas o atenuadas (contra el sarampión, las paperas, la rubeola o la varicela) en las últimas 6 semanas. Consulte a su médico si ya sigue un tratamiento con AGAMREE y está pensando en vacunarse.</w:t>
      </w:r>
    </w:p>
    <w:p w14:paraId="7E4469F3" w14:textId="77777777" w:rsidR="006E3229" w:rsidRDefault="006E3229">
      <w:pPr>
        <w:numPr>
          <w:ilvl w:val="12"/>
          <w:numId w:val="0"/>
        </w:numPr>
        <w:tabs>
          <w:tab w:val="clear" w:pos="567"/>
        </w:tabs>
        <w:spacing w:line="240" w:lineRule="auto"/>
        <w:rPr>
          <w:szCs w:val="22"/>
        </w:rPr>
      </w:pPr>
    </w:p>
    <w:p w14:paraId="21A18717" w14:textId="77777777" w:rsidR="006E3229" w:rsidRDefault="00B43C9C">
      <w:pPr>
        <w:keepNext/>
        <w:tabs>
          <w:tab w:val="clear" w:pos="567"/>
        </w:tabs>
        <w:spacing w:line="240" w:lineRule="auto"/>
        <w:outlineLvl w:val="0"/>
      </w:pPr>
      <w:r>
        <w:rPr>
          <w:b/>
        </w:rPr>
        <w:t>Advertencias y precauciones</w:t>
      </w:r>
    </w:p>
    <w:p w14:paraId="4CC841EA" w14:textId="77777777" w:rsidR="006E3229" w:rsidRDefault="00B43C9C">
      <w:pPr>
        <w:tabs>
          <w:tab w:val="clear" w:pos="567"/>
        </w:tabs>
        <w:spacing w:line="240" w:lineRule="auto"/>
      </w:pPr>
      <w:r>
        <w:t>Consulte a su médico antes de empezar a tomar AGAMREE</w:t>
      </w:r>
    </w:p>
    <w:p w14:paraId="39958F91" w14:textId="77777777" w:rsidR="006E3229" w:rsidRDefault="006E3229">
      <w:pPr>
        <w:spacing w:line="240" w:lineRule="auto"/>
        <w:rPr>
          <w:u w:val="single"/>
        </w:rPr>
      </w:pPr>
    </w:p>
    <w:p w14:paraId="39B1742F" w14:textId="77777777" w:rsidR="006E3229" w:rsidRDefault="00B43C9C">
      <w:pPr>
        <w:keepNext/>
        <w:spacing w:line="240" w:lineRule="auto"/>
        <w:rPr>
          <w:u w:val="single"/>
        </w:rPr>
      </w:pPr>
      <w:r>
        <w:rPr>
          <w:u w:val="single"/>
        </w:rPr>
        <w:lastRenderedPageBreak/>
        <w:t>Alteraciones de la función endocrina: insuficiencia suprarrenal</w:t>
      </w:r>
    </w:p>
    <w:p w14:paraId="67C305FD" w14:textId="77777777" w:rsidR="006E3229" w:rsidRDefault="006E3229">
      <w:pPr>
        <w:keepNext/>
        <w:tabs>
          <w:tab w:val="clear" w:pos="567"/>
        </w:tabs>
        <w:spacing w:line="240" w:lineRule="auto"/>
      </w:pPr>
    </w:p>
    <w:p w14:paraId="3FC9AFB9" w14:textId="77777777" w:rsidR="006E3229" w:rsidRDefault="00B43C9C">
      <w:pPr>
        <w:spacing w:line="240" w:lineRule="auto"/>
      </w:pPr>
      <w:r>
        <w:t>AGAMREE reduce la cantidad de una hormona llamada cortisol que su cuerpo puede producir. Esto se denomina insuficiencia suprarrenal.</w:t>
      </w:r>
    </w:p>
    <w:p w14:paraId="37672CDE" w14:textId="77777777" w:rsidR="006E3229" w:rsidRDefault="006E3229">
      <w:pPr>
        <w:spacing w:line="240" w:lineRule="auto"/>
      </w:pPr>
    </w:p>
    <w:p w14:paraId="0C310044" w14:textId="77777777" w:rsidR="006E3229" w:rsidRDefault="00B43C9C">
      <w:pPr>
        <w:numPr>
          <w:ilvl w:val="0"/>
          <w:numId w:val="6"/>
        </w:numPr>
        <w:tabs>
          <w:tab w:val="clear" w:pos="567"/>
          <w:tab w:val="left" w:pos="720"/>
        </w:tabs>
        <w:spacing w:line="240" w:lineRule="auto"/>
        <w:ind w:left="567" w:right="-2" w:hanging="567"/>
      </w:pPr>
      <w:r>
        <w:t>no debe reducir la cantidad de AGAMREE ni dejar de tomarlo sin consultar a su médico; si reduce o deja de tomar AGAMREE de forma brusca durante unos días, puede desarrollar síntomas de insuficiencia suprarrenal aguda, como cansancio excesivo, mareos o confusión, que pueden poner en peligro su vida; es posible que su médico tenga que realizar un seguimiento más estrecho de su tratamiento si cambia la dosis.</w:t>
      </w:r>
    </w:p>
    <w:p w14:paraId="4EE3EC58" w14:textId="77777777" w:rsidR="006E3229" w:rsidRDefault="00B43C9C">
      <w:pPr>
        <w:numPr>
          <w:ilvl w:val="0"/>
          <w:numId w:val="6"/>
        </w:numPr>
        <w:tabs>
          <w:tab w:val="clear" w:pos="567"/>
          <w:tab w:val="left" w:pos="720"/>
        </w:tabs>
        <w:spacing w:line="240" w:lineRule="auto"/>
        <w:ind w:left="567" w:right="-2" w:hanging="567"/>
      </w:pPr>
      <w:r>
        <w:t>si sufre un estrés inusual (como una infección aguda, lesiones traumáticas o una intervención quirúrgica importante), es posible que tenga que tomar otro medicamento esteroideo para prevenir la insuficiencia suprarrenal aguda. Hable con su médico sobre qué hacer en caso de estrés inusual antes de comenzar el tratamiento con AGAMREE.</w:t>
      </w:r>
    </w:p>
    <w:p w14:paraId="18EEDC4A" w14:textId="77777777" w:rsidR="006E3229" w:rsidRDefault="00B43C9C">
      <w:pPr>
        <w:numPr>
          <w:ilvl w:val="0"/>
          <w:numId w:val="6"/>
        </w:numPr>
        <w:tabs>
          <w:tab w:val="clear" w:pos="567"/>
          <w:tab w:val="left" w:pos="720"/>
        </w:tabs>
        <w:spacing w:line="240" w:lineRule="auto"/>
        <w:ind w:left="567" w:right="-2" w:hanging="567"/>
      </w:pPr>
      <w:r>
        <w:t>si sigue un tratamiento con otro corticosteroide, como prednisona, podrá cambiar a AGAMREE de un día a otro, pero su médico le indicará la dosis de AGAMREE que debe tomar.</w:t>
      </w:r>
    </w:p>
    <w:p w14:paraId="1E85C113" w14:textId="77777777" w:rsidR="006E3229" w:rsidRDefault="00B43C9C">
      <w:pPr>
        <w:numPr>
          <w:ilvl w:val="0"/>
          <w:numId w:val="6"/>
        </w:numPr>
        <w:tabs>
          <w:tab w:val="clear" w:pos="567"/>
          <w:tab w:val="left" w:pos="720"/>
        </w:tabs>
        <w:spacing w:line="240" w:lineRule="auto"/>
        <w:ind w:left="567" w:right="-2" w:hanging="567"/>
      </w:pPr>
      <w:r>
        <w:t>si tiene usted un tipo de tumor en las glándulas suprarrenales llamado feocromocitoma, es posible que su médico tenga que realizar un seguimiento más estrecho de su tratamiento</w:t>
      </w:r>
    </w:p>
    <w:p w14:paraId="0C4CC69B" w14:textId="77777777" w:rsidR="006E3229" w:rsidRDefault="006E3229">
      <w:pPr>
        <w:tabs>
          <w:tab w:val="clear" w:pos="567"/>
          <w:tab w:val="left" w:pos="720"/>
        </w:tabs>
        <w:spacing w:line="240" w:lineRule="auto"/>
        <w:ind w:right="-2"/>
        <w:rPr>
          <w:szCs w:val="22"/>
        </w:rPr>
      </w:pPr>
    </w:p>
    <w:p w14:paraId="786BCD78" w14:textId="77777777" w:rsidR="006E3229" w:rsidRDefault="00B43C9C">
      <w:pPr>
        <w:tabs>
          <w:tab w:val="clear" w:pos="567"/>
          <w:tab w:val="left" w:pos="720"/>
        </w:tabs>
        <w:spacing w:line="240" w:lineRule="auto"/>
        <w:ind w:right="-2"/>
      </w:pPr>
      <w:r>
        <w:t>IMPORTANTE: El paquete de AGAMREE incluye una tarjeta de alerta para el paciente que contiene información de seguridad importante sobre las crisis suprarrenales. Lleve siempre consigo esta tarjeta.</w:t>
      </w:r>
    </w:p>
    <w:p w14:paraId="5AB67864" w14:textId="77777777" w:rsidR="006E3229" w:rsidRDefault="006E3229">
      <w:pPr>
        <w:spacing w:line="240" w:lineRule="auto"/>
        <w:rPr>
          <w:b/>
          <w:bCs/>
          <w:u w:val="single"/>
        </w:rPr>
      </w:pPr>
    </w:p>
    <w:p w14:paraId="253581A7" w14:textId="77777777" w:rsidR="006E3229" w:rsidRDefault="00B43C9C">
      <w:pPr>
        <w:keepNext/>
        <w:spacing w:line="240" w:lineRule="auto"/>
        <w:rPr>
          <w:u w:val="single"/>
        </w:rPr>
      </w:pPr>
      <w:r>
        <w:rPr>
          <w:u w:val="single"/>
        </w:rPr>
        <w:t>Aumento de peso</w:t>
      </w:r>
    </w:p>
    <w:p w14:paraId="10BB97AC" w14:textId="77777777" w:rsidR="006E3229" w:rsidRDefault="006E3229">
      <w:pPr>
        <w:keepNext/>
        <w:spacing w:line="240" w:lineRule="auto"/>
      </w:pPr>
    </w:p>
    <w:p w14:paraId="07B65736" w14:textId="77777777" w:rsidR="006E3229" w:rsidRDefault="00B43C9C">
      <w:pPr>
        <w:numPr>
          <w:ilvl w:val="0"/>
          <w:numId w:val="6"/>
        </w:numPr>
        <w:tabs>
          <w:tab w:val="clear" w:pos="567"/>
          <w:tab w:val="left" w:pos="720"/>
        </w:tabs>
        <w:spacing w:line="240" w:lineRule="auto"/>
        <w:ind w:left="567" w:right="-2" w:hanging="567"/>
      </w:pPr>
      <w:r>
        <w:t>AGAMREE puede hacer que aumente el apetito y, por tanto, el peso, principalmente durante los primeros meses de tratamiento; su médico o enfermera le darán consejos dietéticos antes y durante el tratamiento.</w:t>
      </w:r>
    </w:p>
    <w:p w14:paraId="793C6F28" w14:textId="77777777" w:rsidR="006E3229" w:rsidRDefault="006E3229">
      <w:pPr>
        <w:pStyle w:val="ListParagraph"/>
        <w:spacing w:line="240" w:lineRule="auto"/>
        <w:ind w:left="567"/>
        <w:rPr>
          <w:u w:val="single"/>
        </w:rPr>
      </w:pPr>
    </w:p>
    <w:p w14:paraId="1E8148BF" w14:textId="77777777" w:rsidR="006E3229" w:rsidRDefault="00B43C9C">
      <w:pPr>
        <w:keepNext/>
        <w:spacing w:line="240" w:lineRule="auto"/>
        <w:rPr>
          <w:u w:val="single"/>
        </w:rPr>
      </w:pPr>
      <w:r>
        <w:rPr>
          <w:u w:val="single"/>
        </w:rPr>
        <w:t>Pacientes con una función tiroidea alterada</w:t>
      </w:r>
    </w:p>
    <w:p w14:paraId="60D07A90" w14:textId="77777777" w:rsidR="006E3229" w:rsidRDefault="006E3229">
      <w:pPr>
        <w:keepNext/>
      </w:pPr>
    </w:p>
    <w:p w14:paraId="38FAC27A" w14:textId="77777777" w:rsidR="006E3229" w:rsidRDefault="00B43C9C">
      <w:pPr>
        <w:numPr>
          <w:ilvl w:val="0"/>
          <w:numId w:val="6"/>
        </w:numPr>
        <w:tabs>
          <w:tab w:val="clear" w:pos="567"/>
          <w:tab w:val="left" w:pos="720"/>
        </w:tabs>
        <w:spacing w:line="240" w:lineRule="auto"/>
        <w:ind w:left="567" w:right="-2" w:hanging="567"/>
      </w:pPr>
      <w:r>
        <w:t>si padece hipotiroidismo (actividad insuficiente de la tiroides) o hipertiroidismo (actividad excesiva de la tiroides), es posible que su médico tenga que vigilar más de cerca su tratamiento o cambiar su dosis.</w:t>
      </w:r>
    </w:p>
    <w:p w14:paraId="070385D6" w14:textId="77777777" w:rsidR="006E3229" w:rsidRDefault="006E3229">
      <w:pPr>
        <w:spacing w:line="240" w:lineRule="auto"/>
        <w:rPr>
          <w:u w:val="single"/>
        </w:rPr>
      </w:pPr>
    </w:p>
    <w:p w14:paraId="2D32091B" w14:textId="77777777" w:rsidR="006E3229" w:rsidRDefault="00B43C9C">
      <w:pPr>
        <w:keepNext/>
        <w:spacing w:line="240" w:lineRule="auto"/>
        <w:rPr>
          <w:u w:val="single"/>
        </w:rPr>
      </w:pPr>
      <w:r>
        <w:rPr>
          <w:u w:val="single"/>
        </w:rPr>
        <w:t>Efectos oftálmicos</w:t>
      </w:r>
    </w:p>
    <w:p w14:paraId="73942AA5" w14:textId="77777777" w:rsidR="006E3229" w:rsidRDefault="006E3229">
      <w:pPr>
        <w:keepNext/>
        <w:spacing w:line="240" w:lineRule="auto"/>
      </w:pPr>
    </w:p>
    <w:p w14:paraId="1634F3FB" w14:textId="77777777" w:rsidR="006E3229" w:rsidRDefault="00B43C9C">
      <w:pPr>
        <w:numPr>
          <w:ilvl w:val="0"/>
          <w:numId w:val="6"/>
        </w:numPr>
        <w:tabs>
          <w:tab w:val="clear" w:pos="567"/>
          <w:tab w:val="left" w:pos="720"/>
        </w:tabs>
        <w:spacing w:line="240" w:lineRule="auto"/>
        <w:ind w:left="567" w:right="-2" w:hanging="567"/>
      </w:pPr>
      <w:r>
        <w:t>si usted o alguien de su familia padece glaucoma (aumento de la presión ocular), es posible que el médico tenga que realizar un seguimiento más estrecho de su tratamiento.</w:t>
      </w:r>
    </w:p>
    <w:p w14:paraId="0880975D" w14:textId="77777777" w:rsidR="006E3229" w:rsidRDefault="006E3229">
      <w:pPr>
        <w:pStyle w:val="ListParagraph"/>
        <w:spacing w:line="240" w:lineRule="auto"/>
        <w:ind w:left="567"/>
        <w:rPr>
          <w:u w:val="single"/>
        </w:rPr>
      </w:pPr>
    </w:p>
    <w:p w14:paraId="483B8095" w14:textId="77777777" w:rsidR="006E3229" w:rsidRDefault="00B43C9C">
      <w:pPr>
        <w:keepNext/>
        <w:spacing w:line="240" w:lineRule="auto"/>
        <w:rPr>
          <w:u w:val="single"/>
        </w:rPr>
      </w:pPr>
      <w:r>
        <w:rPr>
          <w:u w:val="single"/>
        </w:rPr>
        <w:t>Aumento del riesgo de infecciones</w:t>
      </w:r>
    </w:p>
    <w:p w14:paraId="2DC0BE01" w14:textId="77777777" w:rsidR="006E3229" w:rsidRDefault="006E3229">
      <w:pPr>
        <w:keepNext/>
        <w:spacing w:line="240" w:lineRule="auto"/>
      </w:pPr>
    </w:p>
    <w:p w14:paraId="5645F917" w14:textId="77777777" w:rsidR="006E3229" w:rsidRDefault="00B43C9C">
      <w:pPr>
        <w:spacing w:line="240" w:lineRule="auto"/>
      </w:pPr>
      <w:r>
        <w:t>AGAMREE puede reducir su resistencia natural a las infecciones.</w:t>
      </w:r>
    </w:p>
    <w:p w14:paraId="5571C132" w14:textId="77777777" w:rsidR="006E3229" w:rsidRDefault="006E3229">
      <w:pPr>
        <w:spacing w:line="240" w:lineRule="auto"/>
      </w:pPr>
    </w:p>
    <w:p w14:paraId="080D6CD7" w14:textId="77777777" w:rsidR="006E3229" w:rsidRDefault="00B43C9C">
      <w:pPr>
        <w:numPr>
          <w:ilvl w:val="0"/>
          <w:numId w:val="6"/>
        </w:numPr>
        <w:tabs>
          <w:tab w:val="clear" w:pos="567"/>
          <w:tab w:val="left" w:pos="720"/>
        </w:tabs>
        <w:spacing w:line="240" w:lineRule="auto"/>
        <w:ind w:left="567" w:right="-2" w:hanging="567"/>
      </w:pPr>
      <w:r>
        <w:t>si tiene una respuesta inmunitaria reducida (debido a un síndrome de inmunodeficiencia, una enfermedad o a otros medicamentos que suprimen el sistema inmunitario), es posible que el médico tenga que realizar un seguimiento más estrecho de su tratamiento;</w:t>
      </w:r>
    </w:p>
    <w:p w14:paraId="06152723" w14:textId="77777777" w:rsidR="006E3229" w:rsidRDefault="00B43C9C">
      <w:pPr>
        <w:numPr>
          <w:ilvl w:val="0"/>
          <w:numId w:val="6"/>
        </w:numPr>
        <w:tabs>
          <w:tab w:val="clear" w:pos="567"/>
          <w:tab w:val="left" w:pos="720"/>
        </w:tabs>
        <w:spacing w:line="240" w:lineRule="auto"/>
        <w:ind w:left="567" w:right="-2" w:hanging="567"/>
      </w:pPr>
      <w:r>
        <w:t>si experimenta una infección mientras está en tratamiento con AGAMREE, es posible que su médico tenga que realizar un seguimiento más estrecho y pueda necesitar tratamiento con un medicamento esteroideo adicional.</w:t>
      </w:r>
    </w:p>
    <w:p w14:paraId="748B1193" w14:textId="77777777" w:rsidR="006E3229" w:rsidRDefault="006E3229">
      <w:pPr>
        <w:pStyle w:val="Default"/>
        <w:rPr>
          <w:sz w:val="22"/>
          <w:szCs w:val="22"/>
          <w:u w:val="single"/>
        </w:rPr>
      </w:pPr>
    </w:p>
    <w:p w14:paraId="162E2685" w14:textId="77777777" w:rsidR="006E3229" w:rsidRDefault="00B43C9C">
      <w:pPr>
        <w:pStyle w:val="Default"/>
        <w:keepNext/>
        <w:rPr>
          <w:sz w:val="22"/>
          <w:szCs w:val="22"/>
          <w:u w:val="single"/>
        </w:rPr>
      </w:pPr>
      <w:r>
        <w:rPr>
          <w:sz w:val="22"/>
          <w:u w:val="single"/>
        </w:rPr>
        <w:t>Diabetes mellitus</w:t>
      </w:r>
    </w:p>
    <w:p w14:paraId="0388885F" w14:textId="77777777" w:rsidR="006E3229" w:rsidRDefault="006E3229">
      <w:pPr>
        <w:pStyle w:val="Default"/>
        <w:keepNext/>
        <w:rPr>
          <w:sz w:val="22"/>
          <w:szCs w:val="22"/>
          <w:u w:val="single"/>
        </w:rPr>
      </w:pPr>
    </w:p>
    <w:p w14:paraId="27E46600" w14:textId="77777777" w:rsidR="006E3229" w:rsidRDefault="00B43C9C">
      <w:pPr>
        <w:numPr>
          <w:ilvl w:val="0"/>
          <w:numId w:val="6"/>
        </w:numPr>
        <w:tabs>
          <w:tab w:val="clear" w:pos="567"/>
          <w:tab w:val="left" w:pos="720"/>
        </w:tabs>
        <w:spacing w:line="240" w:lineRule="auto"/>
        <w:ind w:left="567" w:right="-2" w:hanging="567"/>
      </w:pPr>
      <w:r>
        <w:t>Con el paso de los años, el uso de AGAMREE puede aumentar la probabilidad de padecer diabetes mellitus (una enfermedad relacionada con el azúcar); es posible que su médico controle sus niveles de azúcar regularmente.</w:t>
      </w:r>
    </w:p>
    <w:p w14:paraId="0029DE67" w14:textId="77777777" w:rsidR="006E3229" w:rsidRDefault="006E3229">
      <w:pPr>
        <w:pStyle w:val="Default"/>
        <w:rPr>
          <w:sz w:val="22"/>
          <w:szCs w:val="22"/>
          <w:u w:val="single"/>
        </w:rPr>
      </w:pPr>
    </w:p>
    <w:p w14:paraId="6145C512" w14:textId="77777777" w:rsidR="006E3229" w:rsidRDefault="00B43C9C">
      <w:pPr>
        <w:keepNext/>
        <w:spacing w:line="240" w:lineRule="auto"/>
        <w:rPr>
          <w:u w:val="single"/>
        </w:rPr>
      </w:pPr>
      <w:r>
        <w:rPr>
          <w:u w:val="single"/>
        </w:rPr>
        <w:lastRenderedPageBreak/>
        <w:t>Vacunación</w:t>
      </w:r>
    </w:p>
    <w:p w14:paraId="4CA63176" w14:textId="77777777" w:rsidR="006E3229" w:rsidRDefault="006E3229">
      <w:pPr>
        <w:keepNext/>
        <w:spacing w:line="240" w:lineRule="auto"/>
      </w:pPr>
    </w:p>
    <w:p w14:paraId="1EC44FA4" w14:textId="77777777" w:rsidR="006E3229" w:rsidRDefault="00B43C9C">
      <w:pPr>
        <w:numPr>
          <w:ilvl w:val="0"/>
          <w:numId w:val="6"/>
        </w:numPr>
        <w:tabs>
          <w:tab w:val="clear" w:pos="567"/>
          <w:tab w:val="left" w:pos="720"/>
        </w:tabs>
        <w:spacing w:line="240" w:lineRule="auto"/>
        <w:ind w:left="567" w:right="-2" w:hanging="567"/>
      </w:pPr>
      <w:r>
        <w:t>si tiene previsto recibir una vacunación con vacunas vivas atenuadas o con vacunas vivas, deberá vacunarse al menos 6 semanas antes de iniciar el tratamiento con AGAMREE.</w:t>
      </w:r>
    </w:p>
    <w:p w14:paraId="6C2FFCE6" w14:textId="77777777" w:rsidR="006E3229" w:rsidRDefault="00B43C9C">
      <w:pPr>
        <w:numPr>
          <w:ilvl w:val="0"/>
          <w:numId w:val="6"/>
        </w:numPr>
        <w:tabs>
          <w:tab w:val="clear" w:pos="567"/>
          <w:tab w:val="left" w:pos="720"/>
        </w:tabs>
        <w:spacing w:line="240" w:lineRule="auto"/>
        <w:ind w:left="567" w:right="-2" w:hanging="567"/>
      </w:pPr>
      <w:r>
        <w:t>si nunca ha tenido varicela o no se ha vacunado contra la varicela, puede hablar de la vacunación con su médico antes de comenzar el tratamiento con AGAMREE.</w:t>
      </w:r>
    </w:p>
    <w:p w14:paraId="0805F7D9" w14:textId="77777777" w:rsidR="006E3229" w:rsidRDefault="006E3229">
      <w:pPr>
        <w:spacing w:line="240" w:lineRule="auto"/>
        <w:rPr>
          <w:lang w:eastAsia="en-GB"/>
        </w:rPr>
      </w:pPr>
    </w:p>
    <w:p w14:paraId="6801EFB6" w14:textId="77777777" w:rsidR="006E3229" w:rsidRDefault="00B43C9C">
      <w:pPr>
        <w:keepNext/>
        <w:spacing w:line="240" w:lineRule="auto"/>
        <w:rPr>
          <w:u w:val="single"/>
        </w:rPr>
      </w:pPr>
      <w:r>
        <w:rPr>
          <w:u w:val="single"/>
        </w:rPr>
        <w:t>Episodios tromboembólicos</w:t>
      </w:r>
    </w:p>
    <w:p w14:paraId="2D55F595" w14:textId="77777777" w:rsidR="006E3229" w:rsidRDefault="006E3229">
      <w:pPr>
        <w:keepNext/>
        <w:spacing w:line="240" w:lineRule="auto"/>
        <w:rPr>
          <w:lang w:eastAsia="en-GB"/>
        </w:rPr>
      </w:pPr>
    </w:p>
    <w:p w14:paraId="55BB0E26" w14:textId="77777777" w:rsidR="006E3229" w:rsidRDefault="00B43C9C">
      <w:pPr>
        <w:numPr>
          <w:ilvl w:val="0"/>
          <w:numId w:val="6"/>
        </w:numPr>
        <w:tabs>
          <w:tab w:val="clear" w:pos="567"/>
          <w:tab w:val="left" w:pos="720"/>
        </w:tabs>
        <w:spacing w:line="240" w:lineRule="auto"/>
        <w:ind w:left="567" w:right="-2" w:hanging="567"/>
      </w:pPr>
      <w:r>
        <w:t>si ha tenido episodios tromboembólicos (un coágulo de sangre en el interior del cuerpo) o una enfermedad que aumenta el riesgo de coagulación de la sangre, es posible que el médico tenga que realizar un seguimiento más estrecho de su tratamiento.</w:t>
      </w:r>
    </w:p>
    <w:p w14:paraId="041AAA6A" w14:textId="77777777" w:rsidR="006E3229" w:rsidRDefault="006E3229">
      <w:pPr>
        <w:spacing w:line="240" w:lineRule="auto"/>
        <w:rPr>
          <w:u w:val="single"/>
        </w:rPr>
      </w:pPr>
    </w:p>
    <w:p w14:paraId="0E08597C" w14:textId="77777777" w:rsidR="006E3229" w:rsidRDefault="00B43C9C">
      <w:pPr>
        <w:keepNext/>
        <w:spacing w:line="240" w:lineRule="auto"/>
        <w:rPr>
          <w:u w:val="single"/>
        </w:rPr>
      </w:pPr>
      <w:r>
        <w:rPr>
          <w:u w:val="single"/>
        </w:rPr>
        <w:t>Insuficiencia hepática</w:t>
      </w:r>
    </w:p>
    <w:p w14:paraId="715DADA1" w14:textId="77777777" w:rsidR="006E3229" w:rsidRDefault="006E3229">
      <w:pPr>
        <w:keepNext/>
        <w:spacing w:line="240" w:lineRule="auto"/>
      </w:pPr>
    </w:p>
    <w:p w14:paraId="31DAF38C" w14:textId="77777777" w:rsidR="006E3229" w:rsidRDefault="00B43C9C">
      <w:pPr>
        <w:numPr>
          <w:ilvl w:val="0"/>
          <w:numId w:val="6"/>
        </w:numPr>
        <w:tabs>
          <w:tab w:val="clear" w:pos="567"/>
          <w:tab w:val="left" w:pos="720"/>
        </w:tabs>
        <w:spacing w:line="240" w:lineRule="auto"/>
        <w:ind w:left="567" w:right="-2" w:hanging="567"/>
      </w:pPr>
      <w:r>
        <w:t>si padece una enfermedad hepática, es posible que su médico tenga que cambiar la dosis.</w:t>
      </w:r>
    </w:p>
    <w:p w14:paraId="37BE17A7" w14:textId="77777777" w:rsidR="006E3229" w:rsidRDefault="006E3229">
      <w:pPr>
        <w:tabs>
          <w:tab w:val="clear" w:pos="567"/>
        </w:tabs>
        <w:spacing w:line="240" w:lineRule="auto"/>
      </w:pPr>
    </w:p>
    <w:p w14:paraId="129E3AB0" w14:textId="77777777" w:rsidR="006E3229" w:rsidRDefault="00B43C9C">
      <w:pPr>
        <w:keepNext/>
        <w:tabs>
          <w:tab w:val="clear" w:pos="567"/>
        </w:tabs>
        <w:spacing w:line="240" w:lineRule="auto"/>
      </w:pPr>
      <w:r>
        <w:rPr>
          <w:b/>
        </w:rPr>
        <w:t>Niños</w:t>
      </w:r>
    </w:p>
    <w:p w14:paraId="5B3E1D52" w14:textId="77777777" w:rsidR="006E3229" w:rsidRDefault="00B43C9C">
      <w:pPr>
        <w:tabs>
          <w:tab w:val="clear" w:pos="567"/>
        </w:tabs>
        <w:spacing w:line="240" w:lineRule="auto"/>
      </w:pPr>
      <w:r>
        <w:t>No administre AGAMREE a niños menores de 4 años, ya que este medicamento no se ha probado en este grupo de pacientes.</w:t>
      </w:r>
    </w:p>
    <w:p w14:paraId="78F7B325" w14:textId="77777777" w:rsidR="006E3229" w:rsidRDefault="006E3229">
      <w:pPr>
        <w:tabs>
          <w:tab w:val="clear" w:pos="567"/>
        </w:tabs>
        <w:spacing w:line="240" w:lineRule="auto"/>
      </w:pPr>
    </w:p>
    <w:p w14:paraId="51A082E8" w14:textId="77777777" w:rsidR="006E3229" w:rsidRDefault="00B43C9C">
      <w:pPr>
        <w:keepNext/>
        <w:tabs>
          <w:tab w:val="clear" w:pos="567"/>
        </w:tabs>
        <w:spacing w:line="240" w:lineRule="auto"/>
        <w:ind w:right="-2"/>
      </w:pPr>
      <w:r>
        <w:rPr>
          <w:b/>
        </w:rPr>
        <w:t>Otros medicamentos y AGAMREE</w:t>
      </w:r>
    </w:p>
    <w:p w14:paraId="15CAF0D9" w14:textId="77777777" w:rsidR="006E3229" w:rsidRDefault="00B43C9C">
      <w:pPr>
        <w:numPr>
          <w:ilvl w:val="12"/>
          <w:numId w:val="0"/>
        </w:numPr>
        <w:tabs>
          <w:tab w:val="clear" w:pos="567"/>
        </w:tabs>
        <w:spacing w:line="240" w:lineRule="auto"/>
      </w:pPr>
      <w:r>
        <w:t>Informe a su médico o farmacéutico si está tomando, ha tomado recientemente o pudiera tener que tomar cualquier otro medicamento.</w:t>
      </w:r>
    </w:p>
    <w:p w14:paraId="25868442" w14:textId="77777777" w:rsidR="006E3229" w:rsidRDefault="006E3229">
      <w:pPr>
        <w:numPr>
          <w:ilvl w:val="12"/>
          <w:numId w:val="0"/>
        </w:numPr>
        <w:tabs>
          <w:tab w:val="clear" w:pos="567"/>
        </w:tabs>
        <w:spacing w:line="240" w:lineRule="auto"/>
        <w:rPr>
          <w:rFonts w:eastAsia="SimSun"/>
          <w:szCs w:val="22"/>
          <w:lang w:eastAsia="en-GB"/>
        </w:rPr>
      </w:pPr>
    </w:p>
    <w:p w14:paraId="348CA022" w14:textId="77777777" w:rsidR="006E3229" w:rsidRDefault="00B43C9C">
      <w:pPr>
        <w:numPr>
          <w:ilvl w:val="12"/>
          <w:numId w:val="0"/>
        </w:numPr>
        <w:tabs>
          <w:tab w:val="clear" w:pos="567"/>
        </w:tabs>
        <w:spacing w:line="240" w:lineRule="auto"/>
        <w:rPr>
          <w:rFonts w:eastAsia="SimSun"/>
          <w:szCs w:val="22"/>
        </w:rPr>
      </w:pPr>
      <w:r>
        <w:t>Informe a su médico si está tomando alguno de los siguientes medicamentos:</w:t>
      </w:r>
    </w:p>
    <w:p w14:paraId="11E80F1F" w14:textId="77777777" w:rsidR="006E3229" w:rsidRDefault="00B43C9C">
      <w:pPr>
        <w:pStyle w:val="ListParagraph"/>
        <w:numPr>
          <w:ilvl w:val="0"/>
          <w:numId w:val="7"/>
        </w:numPr>
        <w:spacing w:line="240" w:lineRule="auto"/>
        <w:ind w:left="567" w:hanging="567"/>
        <w:rPr>
          <w:rFonts w:eastAsia="SimSun"/>
          <w:szCs w:val="22"/>
        </w:rPr>
      </w:pPr>
      <w:r>
        <w:t>Medicamentos utilizados para tratar las convulsiones y el dolor neuropático, como la carbamazepina o la fenitoína, ya que pueden influir en el efecto del medicamento.</w:t>
      </w:r>
    </w:p>
    <w:p w14:paraId="0E98D8C7" w14:textId="77777777" w:rsidR="006E3229" w:rsidRDefault="00B43C9C">
      <w:pPr>
        <w:pStyle w:val="ListParagraph"/>
        <w:numPr>
          <w:ilvl w:val="0"/>
          <w:numId w:val="7"/>
        </w:numPr>
        <w:spacing w:line="240" w:lineRule="auto"/>
        <w:ind w:left="567" w:hanging="567"/>
        <w:rPr>
          <w:rFonts w:eastAsia="SimSun"/>
        </w:rPr>
      </w:pPr>
      <w:r>
        <w:t>Medicamentos utilizados para el tratamiento de infecciones fúngicas (incluidas la candidiasis y la aspergilosis) conocidos como triazoles, como el itraconazol y el voriconazol, ya que pueden influir en el efecto del medicamento.</w:t>
      </w:r>
    </w:p>
    <w:p w14:paraId="18C10CD5" w14:textId="77777777" w:rsidR="006E3229" w:rsidRDefault="00B43C9C">
      <w:pPr>
        <w:pStyle w:val="ListParagraph"/>
        <w:numPr>
          <w:ilvl w:val="0"/>
          <w:numId w:val="7"/>
        </w:numPr>
        <w:spacing w:line="240" w:lineRule="auto"/>
        <w:ind w:left="567" w:hanging="567"/>
        <w:rPr>
          <w:rFonts w:eastAsia="SimSun"/>
          <w:szCs w:val="22"/>
        </w:rPr>
      </w:pPr>
      <w:r>
        <w:t>Antibióticos conocidos como macrólidos (como la claritromicina) o «</w:t>
      </w:r>
      <w:proofErr w:type="spellStart"/>
      <w:r>
        <w:t>cetólidos</w:t>
      </w:r>
      <w:proofErr w:type="spellEnd"/>
      <w:r>
        <w:t>» (como la telitromicina), ya que pueden influir en el efecto del medicamento.</w:t>
      </w:r>
    </w:p>
    <w:p w14:paraId="4116063E" w14:textId="77777777" w:rsidR="006E3229" w:rsidRDefault="00B43C9C">
      <w:pPr>
        <w:pStyle w:val="ListParagraph"/>
        <w:numPr>
          <w:ilvl w:val="0"/>
          <w:numId w:val="7"/>
        </w:numPr>
        <w:spacing w:line="240" w:lineRule="auto"/>
        <w:ind w:left="567" w:hanging="567"/>
        <w:rPr>
          <w:rFonts w:eastAsia="SimSun"/>
        </w:rPr>
      </w:pPr>
      <w:r>
        <w:t xml:space="preserve">Antibióticos conocidos como </w:t>
      </w:r>
      <w:proofErr w:type="spellStart"/>
      <w:r>
        <w:t>rifamicinas</w:t>
      </w:r>
      <w:proofErr w:type="spellEnd"/>
      <w:r>
        <w:t>, como la rifampicina, ya que pueden influir en el efecto del medicamento.</w:t>
      </w:r>
    </w:p>
    <w:p w14:paraId="04FA6194" w14:textId="77777777" w:rsidR="006E3229" w:rsidRDefault="00B43C9C">
      <w:pPr>
        <w:pStyle w:val="ListParagraph"/>
        <w:numPr>
          <w:ilvl w:val="0"/>
          <w:numId w:val="7"/>
        </w:numPr>
        <w:spacing w:line="240" w:lineRule="auto"/>
        <w:ind w:left="567" w:hanging="567"/>
        <w:rPr>
          <w:rFonts w:eastAsia="SimSun"/>
          <w:szCs w:val="22"/>
        </w:rPr>
      </w:pPr>
      <w:r>
        <w:t xml:space="preserve">Espironolactona o </w:t>
      </w:r>
      <w:proofErr w:type="spellStart"/>
      <w:r>
        <w:t>eplerenona</w:t>
      </w:r>
      <w:proofErr w:type="spellEnd"/>
      <w:r>
        <w:t>, conocidas como tratamientos diuréticos ahorradores de potasio (tratamientos que aumentan la producción de orina), que pueden utilizarse para reducir la presión arterial y proteger la función cardiovascular, ya que pueden tener efectos similares a los de AGAMREE; es posible que su médico tenga que vigilar sus niveles de potasio y cambiarle la dosis de estos medicamentos.</w:t>
      </w:r>
    </w:p>
    <w:p w14:paraId="147E1135" w14:textId="77777777" w:rsidR="006E3229" w:rsidRDefault="00B43C9C">
      <w:pPr>
        <w:pStyle w:val="ListParagraph"/>
        <w:numPr>
          <w:ilvl w:val="0"/>
          <w:numId w:val="7"/>
        </w:numPr>
        <w:spacing w:line="240" w:lineRule="auto"/>
        <w:ind w:left="567" w:hanging="567"/>
        <w:rPr>
          <w:rFonts w:eastAsia="SimSun"/>
          <w:szCs w:val="22"/>
        </w:rPr>
      </w:pPr>
      <w:r>
        <w:t>Hierba de San Juan (</w:t>
      </w:r>
      <w:proofErr w:type="spellStart"/>
      <w:r>
        <w:rPr>
          <w:i/>
        </w:rPr>
        <w:t>Hypericum</w:t>
      </w:r>
      <w:proofErr w:type="spellEnd"/>
      <w:r>
        <w:rPr>
          <w:i/>
        </w:rPr>
        <w:t xml:space="preserve"> </w:t>
      </w:r>
      <w:proofErr w:type="spellStart"/>
      <w:r>
        <w:rPr>
          <w:i/>
        </w:rPr>
        <w:t>perforatum</w:t>
      </w:r>
      <w:proofErr w:type="spellEnd"/>
      <w:r>
        <w:t>), un medicamento a base de hierbas utilizado para tratar la depresión y los trastornos emocionales, ya que estos pueden influir en el efecto del medicamento.</w:t>
      </w:r>
    </w:p>
    <w:p w14:paraId="4366D8B3" w14:textId="77777777" w:rsidR="006E3229" w:rsidRDefault="006E3229">
      <w:pPr>
        <w:numPr>
          <w:ilvl w:val="12"/>
          <w:numId w:val="0"/>
        </w:numPr>
        <w:tabs>
          <w:tab w:val="clear" w:pos="567"/>
        </w:tabs>
        <w:spacing w:line="240" w:lineRule="auto"/>
        <w:rPr>
          <w:rFonts w:eastAsia="SimSun"/>
          <w:szCs w:val="22"/>
          <w:lang w:eastAsia="en-GB"/>
        </w:rPr>
      </w:pPr>
    </w:p>
    <w:p w14:paraId="5B941894" w14:textId="77777777" w:rsidR="006E3229" w:rsidRDefault="00B43C9C">
      <w:pPr>
        <w:tabs>
          <w:tab w:val="clear" w:pos="567"/>
        </w:tabs>
        <w:spacing w:line="240" w:lineRule="auto"/>
      </w:pPr>
      <w:r>
        <w:t>Si necesita recibir una vacuna, consulte primero a su médico (ver sección 2: «No tome AGAMREE»). Si va a vacunarse con determinados tipos de vacunas (vacunas vivas o vivas atenuadas) deberá hacerlo como muy tarde hasta 6 semanas antes de iniciar el tratamiento con AGAMREE, ya que, en esta combinación, estas vacunas podrían desencadenar la infección que se supone que evitan.</w:t>
      </w:r>
    </w:p>
    <w:p w14:paraId="5B7FBF87" w14:textId="77777777" w:rsidR="006E3229" w:rsidRDefault="006E3229">
      <w:pPr>
        <w:numPr>
          <w:ilvl w:val="12"/>
          <w:numId w:val="0"/>
        </w:numPr>
        <w:tabs>
          <w:tab w:val="clear" w:pos="567"/>
        </w:tabs>
        <w:spacing w:line="240" w:lineRule="auto"/>
      </w:pPr>
    </w:p>
    <w:p w14:paraId="4EE38F1C" w14:textId="77777777" w:rsidR="006E3229" w:rsidRDefault="00B43C9C">
      <w:pPr>
        <w:keepNext/>
        <w:tabs>
          <w:tab w:val="clear" w:pos="567"/>
        </w:tabs>
        <w:spacing w:line="240" w:lineRule="auto"/>
        <w:ind w:right="-2"/>
        <w:outlineLvl w:val="0"/>
        <w:rPr>
          <w:b/>
          <w:bCs/>
        </w:rPr>
      </w:pPr>
      <w:r>
        <w:rPr>
          <w:b/>
        </w:rPr>
        <w:t>AGAMREE con alimentos y bebidas</w:t>
      </w:r>
    </w:p>
    <w:p w14:paraId="0AF602B0" w14:textId="77777777" w:rsidR="006E3229" w:rsidRDefault="00B43C9C">
      <w:pPr>
        <w:tabs>
          <w:tab w:val="clear" w:pos="567"/>
        </w:tabs>
        <w:spacing w:line="240" w:lineRule="auto"/>
      </w:pPr>
      <w:r>
        <w:t>Evite el pomelo y el zumo de pomelo durante el tratamiento con AGAMREE, ya que estos pueden influir en el efecto del medicamento.</w:t>
      </w:r>
    </w:p>
    <w:p w14:paraId="1AD1C16D" w14:textId="77777777" w:rsidR="006E3229" w:rsidRDefault="006E3229">
      <w:pPr>
        <w:numPr>
          <w:ilvl w:val="12"/>
          <w:numId w:val="0"/>
        </w:numPr>
        <w:tabs>
          <w:tab w:val="clear" w:pos="567"/>
        </w:tabs>
        <w:spacing w:line="240" w:lineRule="auto"/>
        <w:jc w:val="center"/>
      </w:pPr>
    </w:p>
    <w:p w14:paraId="7BF641DE" w14:textId="77777777" w:rsidR="006E3229" w:rsidRDefault="00B43C9C">
      <w:pPr>
        <w:keepNext/>
        <w:numPr>
          <w:ilvl w:val="12"/>
          <w:numId w:val="0"/>
        </w:numPr>
        <w:tabs>
          <w:tab w:val="clear" w:pos="567"/>
        </w:tabs>
        <w:spacing w:line="240" w:lineRule="auto"/>
        <w:ind w:right="-2"/>
        <w:outlineLvl w:val="0"/>
      </w:pPr>
      <w:r>
        <w:rPr>
          <w:b/>
        </w:rPr>
        <w:t>Embarazo, lactancia y fertilidad</w:t>
      </w:r>
    </w:p>
    <w:p w14:paraId="3149E898" w14:textId="77777777" w:rsidR="006E3229" w:rsidRDefault="00B43C9C">
      <w:pPr>
        <w:tabs>
          <w:tab w:val="clear" w:pos="567"/>
        </w:tabs>
        <w:spacing w:line="240" w:lineRule="auto"/>
      </w:pPr>
      <w:r>
        <w:t>Si está embarazada o en período de lactancia, cree que podría estar embarazada o tiene intención de quedarse embarazada, consulte a su médico antes de tomar este medicamento.</w:t>
      </w:r>
    </w:p>
    <w:p w14:paraId="7B6CEE4D" w14:textId="77777777" w:rsidR="006E3229" w:rsidRDefault="006E3229">
      <w:pPr>
        <w:tabs>
          <w:tab w:val="clear" w:pos="567"/>
        </w:tabs>
        <w:spacing w:line="240" w:lineRule="auto"/>
      </w:pPr>
    </w:p>
    <w:p w14:paraId="1CFEED12" w14:textId="77777777" w:rsidR="006E3229" w:rsidRDefault="00B43C9C">
      <w:pPr>
        <w:numPr>
          <w:ilvl w:val="12"/>
          <w:numId w:val="0"/>
        </w:numPr>
        <w:tabs>
          <w:tab w:val="clear" w:pos="567"/>
        </w:tabs>
        <w:spacing w:line="240" w:lineRule="auto"/>
      </w:pPr>
      <w:r>
        <w:lastRenderedPageBreak/>
        <w:t>Si está embarazada, no deberá tomar AGAMREE a menos que su médico lo indique claramente.</w:t>
      </w:r>
    </w:p>
    <w:p w14:paraId="7AD990FF" w14:textId="77777777" w:rsidR="006E3229" w:rsidRDefault="00B43C9C">
      <w:pPr>
        <w:tabs>
          <w:tab w:val="clear" w:pos="567"/>
        </w:tabs>
        <w:spacing w:line="240" w:lineRule="auto"/>
      </w:pPr>
      <w:r>
        <w:t>Si es usted una mujer que podría quedarse embarazada, durante el tratamiento con AGAMREE deberá utilizar métodos anticonceptivos eficaces.</w:t>
      </w:r>
    </w:p>
    <w:p w14:paraId="079C6F17" w14:textId="77777777" w:rsidR="006E3229" w:rsidRDefault="006E3229">
      <w:pPr>
        <w:numPr>
          <w:ilvl w:val="12"/>
          <w:numId w:val="0"/>
        </w:numPr>
        <w:tabs>
          <w:tab w:val="clear" w:pos="567"/>
        </w:tabs>
        <w:spacing w:line="240" w:lineRule="auto"/>
      </w:pPr>
    </w:p>
    <w:p w14:paraId="175E80ED" w14:textId="77777777" w:rsidR="006E3229" w:rsidRDefault="00B43C9C">
      <w:pPr>
        <w:numPr>
          <w:ilvl w:val="12"/>
          <w:numId w:val="0"/>
        </w:numPr>
        <w:tabs>
          <w:tab w:val="clear" w:pos="567"/>
        </w:tabs>
        <w:spacing w:line="240" w:lineRule="auto"/>
      </w:pPr>
      <w:r>
        <w:t>Los estudios en animales han demostrado que el tratamiento a largo plazo con AGAMREE puede afectar a la fertilidad masculina y femenina.</w:t>
      </w:r>
    </w:p>
    <w:p w14:paraId="1F84C716" w14:textId="77777777" w:rsidR="006E3229" w:rsidRDefault="006E3229">
      <w:pPr>
        <w:numPr>
          <w:ilvl w:val="12"/>
          <w:numId w:val="0"/>
        </w:numPr>
        <w:tabs>
          <w:tab w:val="clear" w:pos="567"/>
        </w:tabs>
        <w:spacing w:line="240" w:lineRule="auto"/>
      </w:pPr>
    </w:p>
    <w:p w14:paraId="43D6594E" w14:textId="77777777" w:rsidR="006E3229" w:rsidRDefault="00B43C9C">
      <w:pPr>
        <w:keepNext/>
        <w:numPr>
          <w:ilvl w:val="12"/>
          <w:numId w:val="0"/>
        </w:numPr>
        <w:tabs>
          <w:tab w:val="clear" w:pos="567"/>
        </w:tabs>
        <w:spacing w:line="240" w:lineRule="auto"/>
        <w:outlineLvl w:val="0"/>
        <w:rPr>
          <w:szCs w:val="22"/>
        </w:rPr>
      </w:pPr>
      <w:r>
        <w:rPr>
          <w:b/>
        </w:rPr>
        <w:t>Conducción y uso de máquinas</w:t>
      </w:r>
    </w:p>
    <w:p w14:paraId="112CD5AA" w14:textId="77777777" w:rsidR="006E3229" w:rsidRDefault="00B43C9C">
      <w:pPr>
        <w:numPr>
          <w:ilvl w:val="12"/>
          <w:numId w:val="0"/>
        </w:numPr>
        <w:tabs>
          <w:tab w:val="clear" w:pos="567"/>
        </w:tabs>
        <w:spacing w:line="240" w:lineRule="auto"/>
        <w:rPr>
          <w:szCs w:val="22"/>
        </w:rPr>
      </w:pPr>
      <w:r>
        <w:t>Consulte con su médico si la enfermedad que padece le permite conducir vehículos, incluida una bicicleta, y utilizar máquinas de forma segura. No se espera que AGAMREE afecte a la capacidad para conducir, montar en bicicleta o utilizar máquinas.</w:t>
      </w:r>
    </w:p>
    <w:p w14:paraId="000D8373" w14:textId="77777777" w:rsidR="006E3229" w:rsidRDefault="006E3229">
      <w:pPr>
        <w:numPr>
          <w:ilvl w:val="12"/>
          <w:numId w:val="0"/>
        </w:numPr>
        <w:tabs>
          <w:tab w:val="clear" w:pos="567"/>
        </w:tabs>
        <w:spacing w:line="240" w:lineRule="auto"/>
        <w:ind w:right="-2"/>
        <w:rPr>
          <w:szCs w:val="22"/>
        </w:rPr>
      </w:pPr>
    </w:p>
    <w:p w14:paraId="21787818" w14:textId="77777777" w:rsidR="006E3229" w:rsidRDefault="00B43C9C">
      <w:pPr>
        <w:pStyle w:val="Default"/>
        <w:keepNext/>
        <w:rPr>
          <w:sz w:val="22"/>
          <w:szCs w:val="22"/>
        </w:rPr>
      </w:pPr>
      <w:r>
        <w:rPr>
          <w:b/>
          <w:sz w:val="22"/>
        </w:rPr>
        <w:t>AGAMREE contiene benzoato de sodio y sodio</w:t>
      </w:r>
    </w:p>
    <w:p w14:paraId="25A3F5BB" w14:textId="77777777" w:rsidR="006E3229" w:rsidRDefault="00B43C9C">
      <w:pPr>
        <w:tabs>
          <w:tab w:val="clear" w:pos="567"/>
        </w:tabs>
        <w:spacing w:line="240" w:lineRule="auto"/>
        <w:ind w:right="-2"/>
      </w:pPr>
      <w:r>
        <w:t>AGAMREE contiene 1 mg de benzoato de sodio (E211) en cada ml.</w:t>
      </w:r>
    </w:p>
    <w:p w14:paraId="1E16D337" w14:textId="77777777" w:rsidR="006E3229" w:rsidRDefault="00B43C9C">
      <w:pPr>
        <w:tabs>
          <w:tab w:val="clear" w:pos="567"/>
        </w:tabs>
        <w:spacing w:line="240" w:lineRule="auto"/>
        <w:ind w:right="-2"/>
      </w:pPr>
      <w:r>
        <w:t>AGAMREE contiene menos de 23 mg de sodio por 7,5 ml; esto es, esencialmente «exento de sodio».</w:t>
      </w:r>
    </w:p>
    <w:p w14:paraId="6CB19502" w14:textId="77777777" w:rsidR="006E3229" w:rsidRDefault="006E3229">
      <w:pPr>
        <w:numPr>
          <w:ilvl w:val="12"/>
          <w:numId w:val="0"/>
        </w:numPr>
        <w:tabs>
          <w:tab w:val="clear" w:pos="567"/>
        </w:tabs>
        <w:spacing w:line="240" w:lineRule="auto"/>
        <w:ind w:right="-2"/>
        <w:rPr>
          <w:szCs w:val="22"/>
        </w:rPr>
      </w:pPr>
    </w:p>
    <w:p w14:paraId="73AE581F" w14:textId="77777777" w:rsidR="006E3229" w:rsidRDefault="006E3229">
      <w:pPr>
        <w:numPr>
          <w:ilvl w:val="12"/>
          <w:numId w:val="0"/>
        </w:numPr>
        <w:tabs>
          <w:tab w:val="clear" w:pos="567"/>
        </w:tabs>
        <w:spacing w:line="240" w:lineRule="auto"/>
        <w:ind w:right="-2"/>
        <w:rPr>
          <w:szCs w:val="22"/>
        </w:rPr>
      </w:pPr>
    </w:p>
    <w:p w14:paraId="02779AC5" w14:textId="77777777" w:rsidR="006E3229" w:rsidRDefault="00B43C9C">
      <w:pPr>
        <w:keepNext/>
        <w:spacing w:line="240" w:lineRule="auto"/>
        <w:rPr>
          <w:b/>
          <w:bCs/>
        </w:rPr>
      </w:pPr>
      <w:r>
        <w:rPr>
          <w:rStyle w:val="DNEx2"/>
        </w:rPr>
        <w:t>3.</w:t>
      </w:r>
      <w:r>
        <w:rPr>
          <w:rStyle w:val="DNEx2"/>
        </w:rPr>
        <w:tab/>
      </w:r>
      <w:r>
        <w:rPr>
          <w:b/>
        </w:rPr>
        <w:t>Cómo tomar AGAMREE</w:t>
      </w:r>
    </w:p>
    <w:p w14:paraId="417934A2" w14:textId="77777777" w:rsidR="006E3229" w:rsidRDefault="006E3229">
      <w:pPr>
        <w:keepNext/>
        <w:numPr>
          <w:ilvl w:val="12"/>
          <w:numId w:val="0"/>
        </w:numPr>
        <w:tabs>
          <w:tab w:val="clear" w:pos="567"/>
        </w:tabs>
        <w:spacing w:line="240" w:lineRule="auto"/>
        <w:rPr>
          <w:szCs w:val="22"/>
        </w:rPr>
      </w:pPr>
    </w:p>
    <w:p w14:paraId="61E5061D" w14:textId="77777777" w:rsidR="006E3229" w:rsidRDefault="00B43C9C">
      <w:pPr>
        <w:tabs>
          <w:tab w:val="clear" w:pos="567"/>
        </w:tabs>
        <w:spacing w:line="240" w:lineRule="auto"/>
      </w:pPr>
      <w:r>
        <w:t>Siga exactamente las instrucciones de administración de este medicamento indicadas por su médico o farmacéutico. En caso de duda, consulte a su médico o farmacéutico.</w:t>
      </w:r>
    </w:p>
    <w:p w14:paraId="2A288085" w14:textId="77777777" w:rsidR="006E3229" w:rsidRDefault="006E3229">
      <w:pPr>
        <w:tabs>
          <w:tab w:val="clear" w:pos="567"/>
        </w:tabs>
        <w:spacing w:line="240" w:lineRule="auto"/>
        <w:ind w:right="-2"/>
      </w:pPr>
    </w:p>
    <w:p w14:paraId="6ED73D10" w14:textId="77777777" w:rsidR="006E3229" w:rsidRDefault="00B43C9C">
      <w:pPr>
        <w:tabs>
          <w:tab w:val="clear" w:pos="567"/>
        </w:tabs>
        <w:spacing w:line="240" w:lineRule="auto"/>
        <w:ind w:right="-2"/>
      </w:pPr>
      <w:r>
        <w:t>La dosis recomendada de AGAMREE depende de su peso corporal y de su edad.</w:t>
      </w:r>
    </w:p>
    <w:p w14:paraId="524E8B58" w14:textId="77777777" w:rsidR="006E3229" w:rsidRDefault="006E3229">
      <w:pPr>
        <w:tabs>
          <w:tab w:val="clear" w:pos="567"/>
        </w:tabs>
        <w:spacing w:line="240" w:lineRule="auto"/>
        <w:ind w:right="-2"/>
      </w:pPr>
    </w:p>
    <w:p w14:paraId="2A44849D" w14:textId="77777777" w:rsidR="006E3229" w:rsidRDefault="00B43C9C">
      <w:pPr>
        <w:tabs>
          <w:tab w:val="clear" w:pos="567"/>
        </w:tabs>
        <w:spacing w:line="240" w:lineRule="auto"/>
        <w:ind w:right="-2"/>
      </w:pPr>
      <w:r>
        <w:t>Si el paciente tiene 4 años o más y su peso es inferior a 40 kg, la dosis suele ser de 6 mg por kg de peso corporal, administrada una vez al día.</w:t>
      </w:r>
    </w:p>
    <w:p w14:paraId="21A0461E" w14:textId="77777777" w:rsidR="006E3229" w:rsidRDefault="006E3229">
      <w:pPr>
        <w:tabs>
          <w:tab w:val="clear" w:pos="567"/>
        </w:tabs>
        <w:spacing w:line="240" w:lineRule="auto"/>
        <w:ind w:right="-2"/>
      </w:pPr>
    </w:p>
    <w:p w14:paraId="1CAEA087" w14:textId="77777777" w:rsidR="006E3229" w:rsidRDefault="00B43C9C">
      <w:pPr>
        <w:tabs>
          <w:tab w:val="clear" w:pos="567"/>
        </w:tabs>
        <w:spacing w:line="240" w:lineRule="auto"/>
        <w:ind w:right="-2"/>
      </w:pPr>
      <w:r>
        <w:t>Si el paciente tiene 4 años o más y su peso es de 40 kg o más, la dosis suele ser de 240 mg, tomada una vez al día.</w:t>
      </w:r>
    </w:p>
    <w:p w14:paraId="72511449" w14:textId="77777777" w:rsidR="006E3229" w:rsidRDefault="006E3229">
      <w:pPr>
        <w:tabs>
          <w:tab w:val="clear" w:pos="567"/>
        </w:tabs>
        <w:spacing w:line="240" w:lineRule="auto"/>
        <w:ind w:right="-2"/>
      </w:pPr>
    </w:p>
    <w:p w14:paraId="2B842C08" w14:textId="77777777" w:rsidR="006E3229" w:rsidRDefault="00B43C9C">
      <w:pPr>
        <w:tabs>
          <w:tab w:val="clear" w:pos="567"/>
        </w:tabs>
        <w:spacing w:line="240" w:lineRule="auto"/>
        <w:ind w:right="-2"/>
      </w:pPr>
      <w:r>
        <w:t>Si experimenta determinados efectos adversos mientras está tomando AGAMREE (ver sección 4), su médico puede reducir la dosis o interrumpir el tratamiento de forma temporal o permanente. Su médico puede reducirle la dosis si padece usted una enfermedad hepática.</w:t>
      </w:r>
    </w:p>
    <w:p w14:paraId="0899FDF6" w14:textId="77777777" w:rsidR="006E3229" w:rsidRDefault="006E3229">
      <w:pPr>
        <w:tabs>
          <w:tab w:val="clear" w:pos="567"/>
        </w:tabs>
        <w:spacing w:line="240" w:lineRule="auto"/>
        <w:ind w:right="-2"/>
      </w:pPr>
    </w:p>
    <w:p w14:paraId="16B06BAF" w14:textId="77777777" w:rsidR="006E3229" w:rsidRDefault="00B43C9C">
      <w:pPr>
        <w:tabs>
          <w:tab w:val="clear" w:pos="567"/>
        </w:tabs>
        <w:spacing w:line="240" w:lineRule="auto"/>
        <w:ind w:right="-2"/>
      </w:pPr>
      <w:r>
        <w:t>Este medicamento se toma por vía oral. AGAMREE puede tomarse con o sin comida (ver sección 2 «AGAMREE con alimentos y bebidas»).</w:t>
      </w:r>
    </w:p>
    <w:p w14:paraId="091FDD96" w14:textId="77777777" w:rsidR="006E3229" w:rsidRDefault="006E3229">
      <w:pPr>
        <w:numPr>
          <w:ilvl w:val="12"/>
          <w:numId w:val="0"/>
        </w:numPr>
        <w:tabs>
          <w:tab w:val="clear" w:pos="567"/>
        </w:tabs>
        <w:spacing w:line="240" w:lineRule="auto"/>
        <w:ind w:right="-2"/>
        <w:rPr>
          <w:szCs w:val="22"/>
        </w:rPr>
      </w:pPr>
    </w:p>
    <w:p w14:paraId="26848222" w14:textId="77777777" w:rsidR="006E3229" w:rsidRDefault="00B43C9C">
      <w:pPr>
        <w:tabs>
          <w:tab w:val="clear" w:pos="567"/>
        </w:tabs>
        <w:spacing w:line="240" w:lineRule="auto"/>
        <w:ind w:right="-2"/>
      </w:pPr>
      <w:r>
        <w:t>Para extraer el medicamento, utilice una de las jeringas orales incluidas en el envase. Utilice únicamente estas jeringas de uso oral para medir la dosis. Su médico le indicará qué cantidad debe extraer con la jeringa para su dosis diaria.</w:t>
      </w:r>
    </w:p>
    <w:p w14:paraId="4481267F" w14:textId="77777777" w:rsidR="006E3229" w:rsidRDefault="006E3229">
      <w:pPr>
        <w:tabs>
          <w:tab w:val="clear" w:pos="567"/>
        </w:tabs>
        <w:spacing w:line="240" w:lineRule="auto"/>
        <w:ind w:right="-2"/>
      </w:pPr>
    </w:p>
    <w:p w14:paraId="29AEAF4E" w14:textId="77777777" w:rsidR="006E3229" w:rsidRDefault="00B43C9C">
      <w:pPr>
        <w:tabs>
          <w:tab w:val="clear" w:pos="567"/>
        </w:tabs>
        <w:spacing w:line="240" w:lineRule="auto"/>
        <w:ind w:right="-2"/>
      </w:pPr>
      <w:r>
        <w:t>Los cuidadores deben prestar asistencia en la administración de AGAMREE, especialmente en lo que se refiere a la utilización de jeringas de uso oral para medir y administrar la dosis prescrita.</w:t>
      </w:r>
    </w:p>
    <w:p w14:paraId="2D87FCA8" w14:textId="77777777" w:rsidR="006E3229" w:rsidRDefault="006E3229">
      <w:pPr>
        <w:tabs>
          <w:tab w:val="clear" w:pos="567"/>
        </w:tabs>
        <w:spacing w:line="240" w:lineRule="auto"/>
        <w:ind w:right="-2"/>
      </w:pPr>
    </w:p>
    <w:p w14:paraId="54F49125" w14:textId="77777777" w:rsidR="006E3229" w:rsidRDefault="00B43C9C">
      <w:pPr>
        <w:pStyle w:val="Default"/>
        <w:rPr>
          <w:sz w:val="22"/>
          <w:szCs w:val="22"/>
        </w:rPr>
      </w:pPr>
      <w:r>
        <w:t xml:space="preserve">Agite bien el frasco antes de extraer medicamento con la jeringa. </w:t>
      </w:r>
      <w:r>
        <w:rPr>
          <w:color w:val="auto"/>
          <w:sz w:val="22"/>
        </w:rPr>
        <w:t>Llene la jeringa de uso oral con la dosis indicada y, a continuación, vierta inmediata y lentamente el contenido de la jeringa en la boca. Lea las instrucciones que figuran a continuación para obtener más información sobre cómo medir y tomar la dosis correctamente.</w:t>
      </w:r>
      <w:r>
        <w:rPr>
          <w:sz w:val="22"/>
        </w:rPr>
        <w:t xml:space="preserve"> Consulte con su médico o farmacéutico si no está seguro de cómo utilizar la jeringa de uso oral.</w:t>
      </w:r>
    </w:p>
    <w:p w14:paraId="457129A8" w14:textId="77777777" w:rsidR="006E3229" w:rsidRDefault="006E3229">
      <w:pPr>
        <w:tabs>
          <w:tab w:val="clear" w:pos="567"/>
        </w:tabs>
        <w:spacing w:line="240" w:lineRule="auto"/>
        <w:ind w:right="-2"/>
      </w:pPr>
    </w:p>
    <w:p w14:paraId="2157FD7B" w14:textId="77777777" w:rsidR="006E3229" w:rsidRDefault="00B43C9C">
      <w:pPr>
        <w:tabs>
          <w:tab w:val="clear" w:pos="567"/>
        </w:tabs>
        <w:autoSpaceDE w:val="0"/>
        <w:autoSpaceDN w:val="0"/>
        <w:adjustRightInd w:val="0"/>
        <w:spacing w:line="240" w:lineRule="auto"/>
        <w:ind w:right="-2"/>
      </w:pPr>
      <w:r>
        <w:t>Después de tomar la dosis prescrita, desmonte la jeringa, lave la jeringa y el émbolo bajo el agua fría del grifo y séquela al aire. Conserve la jeringa limpia en el envase hasta el próximo uso. La jeringa de uso oral solo debe utilizarse durante un máximo de 45 días. Después de este tiempo, deséchela y utilice la segunda jeringa incluida en el envase. Si tiene cualquier otra duda sobre el uso de este medicamento, pregunte a su médico o farmacéutico.</w:t>
      </w:r>
    </w:p>
    <w:p w14:paraId="47A41D4B" w14:textId="77777777" w:rsidR="006E3229" w:rsidRDefault="006E3229">
      <w:pPr>
        <w:tabs>
          <w:tab w:val="clear" w:pos="567"/>
        </w:tabs>
        <w:spacing w:line="240" w:lineRule="auto"/>
        <w:ind w:right="-2"/>
      </w:pPr>
    </w:p>
    <w:p w14:paraId="7E049644" w14:textId="77777777" w:rsidR="006E3229" w:rsidRDefault="00B43C9C">
      <w:pPr>
        <w:keepNext/>
        <w:spacing w:line="240" w:lineRule="auto"/>
        <w:ind w:right="-2"/>
        <w:rPr>
          <w:b/>
          <w:bCs/>
        </w:rPr>
      </w:pPr>
      <w:r>
        <w:rPr>
          <w:b/>
        </w:rPr>
        <w:lastRenderedPageBreak/>
        <w:t>CÓMO PREPARAR LA DOSIS DE AGAMREE SUSPENSIÓN ORAL</w:t>
      </w:r>
    </w:p>
    <w:p w14:paraId="1105AE9C" w14:textId="77777777" w:rsidR="006E3229" w:rsidRDefault="006E3229">
      <w:pPr>
        <w:keepNext/>
        <w:spacing w:line="240" w:lineRule="auto"/>
        <w:ind w:right="-2"/>
      </w:pPr>
    </w:p>
    <w:tbl>
      <w:tblPr>
        <w:tblStyle w:val="TableGrid"/>
        <w:tblW w:w="9060" w:type="dxa"/>
        <w:tblLayout w:type="fixed"/>
        <w:tblLook w:val="04A0" w:firstRow="1" w:lastRow="0" w:firstColumn="1" w:lastColumn="0" w:noHBand="0" w:noVBand="1"/>
      </w:tblPr>
      <w:tblGrid>
        <w:gridCol w:w="1008"/>
        <w:gridCol w:w="3752"/>
        <w:gridCol w:w="4300"/>
      </w:tblGrid>
      <w:tr w:rsidR="006E3229" w:rsidRPr="0034258B" w14:paraId="492064D5" w14:textId="77777777">
        <w:trPr>
          <w:trHeight w:val="300"/>
        </w:trPr>
        <w:tc>
          <w:tcPr>
            <w:tcW w:w="1008" w:type="dxa"/>
            <w:tcBorders>
              <w:top w:val="single" w:sz="6" w:space="0" w:color="auto"/>
              <w:left w:val="single" w:sz="6" w:space="0" w:color="auto"/>
              <w:bottom w:val="single" w:sz="6" w:space="0" w:color="auto"/>
              <w:right w:val="nil"/>
            </w:tcBorders>
            <w:shd w:val="clear" w:color="auto" w:fill="D9D9D9" w:themeFill="background1" w:themeFillShade="D9"/>
            <w:tcMar>
              <w:left w:w="105" w:type="dxa"/>
              <w:right w:w="105" w:type="dxa"/>
            </w:tcMar>
          </w:tcPr>
          <w:p w14:paraId="22084C8C" w14:textId="77777777" w:rsidR="006E3229" w:rsidRDefault="006E3229">
            <w:pPr>
              <w:keepNext/>
              <w:jc w:val="center"/>
              <w:rPr>
                <w:color w:val="000000" w:themeColor="text1"/>
                <w:szCs w:val="22"/>
              </w:rPr>
            </w:pPr>
          </w:p>
        </w:tc>
        <w:tc>
          <w:tcPr>
            <w:tcW w:w="3752" w:type="dxa"/>
            <w:tcBorders>
              <w:top w:val="single" w:sz="6" w:space="0" w:color="auto"/>
              <w:left w:val="nil"/>
              <w:bottom w:val="single" w:sz="6" w:space="0" w:color="auto"/>
              <w:right w:val="nil"/>
            </w:tcBorders>
            <w:shd w:val="clear" w:color="auto" w:fill="D9D9D9" w:themeFill="background1" w:themeFillShade="D9"/>
            <w:tcMar>
              <w:left w:w="105" w:type="dxa"/>
              <w:right w:w="105" w:type="dxa"/>
            </w:tcMar>
          </w:tcPr>
          <w:p w14:paraId="336D6157" w14:textId="77777777" w:rsidR="006E3229" w:rsidRPr="003D46BA" w:rsidRDefault="00B43C9C">
            <w:pPr>
              <w:keepNext/>
              <w:rPr>
                <w:color w:val="000000" w:themeColor="text1"/>
                <w:lang w:val="pt-BR"/>
              </w:rPr>
            </w:pPr>
            <w:r w:rsidRPr="003D46BA">
              <w:rPr>
                <w:b/>
                <w:color w:val="000000" w:themeColor="text1"/>
                <w:lang w:val="pt-BR"/>
              </w:rPr>
              <w:t>Antes de tomar/administrar AGAMRE</w:t>
            </w:r>
          </w:p>
        </w:tc>
        <w:tc>
          <w:tcPr>
            <w:tcW w:w="4300" w:type="dxa"/>
            <w:tcBorders>
              <w:top w:val="single" w:sz="6" w:space="0" w:color="auto"/>
              <w:left w:val="nil"/>
              <w:bottom w:val="single" w:sz="6" w:space="0" w:color="auto"/>
              <w:right w:val="single" w:sz="6" w:space="0" w:color="auto"/>
            </w:tcBorders>
            <w:shd w:val="clear" w:color="auto" w:fill="D9D9D9" w:themeFill="background1" w:themeFillShade="D9"/>
            <w:tcMar>
              <w:left w:w="105" w:type="dxa"/>
              <w:right w:w="105" w:type="dxa"/>
            </w:tcMar>
          </w:tcPr>
          <w:p w14:paraId="063C0F37" w14:textId="77777777" w:rsidR="006E3229" w:rsidRPr="003D46BA" w:rsidRDefault="006E3229">
            <w:pPr>
              <w:keepNext/>
              <w:rPr>
                <w:szCs w:val="22"/>
                <w:lang w:val="pt-BR"/>
              </w:rPr>
            </w:pPr>
          </w:p>
        </w:tc>
      </w:tr>
      <w:tr w:rsidR="006E3229" w14:paraId="1D3103C9" w14:textId="77777777">
        <w:trPr>
          <w:trHeight w:val="2008"/>
        </w:trPr>
        <w:tc>
          <w:tcPr>
            <w:tcW w:w="1008" w:type="dxa"/>
            <w:tcBorders>
              <w:top w:val="single" w:sz="6" w:space="0" w:color="auto"/>
              <w:left w:val="single" w:sz="6" w:space="0" w:color="auto"/>
              <w:bottom w:val="single" w:sz="6" w:space="0" w:color="auto"/>
              <w:right w:val="single" w:sz="6" w:space="0" w:color="auto"/>
            </w:tcBorders>
            <w:tcMar>
              <w:left w:w="105" w:type="dxa"/>
              <w:right w:w="105" w:type="dxa"/>
            </w:tcMar>
          </w:tcPr>
          <w:p w14:paraId="7AC90D87" w14:textId="77777777" w:rsidR="006E3229" w:rsidRDefault="00B43C9C">
            <w:pPr>
              <w:jc w:val="center"/>
              <w:rPr>
                <w:color w:val="000000" w:themeColor="text1"/>
                <w:szCs w:val="22"/>
              </w:rPr>
            </w:pPr>
            <w:r>
              <w:rPr>
                <w:b/>
                <w:color w:val="000000" w:themeColor="text1"/>
              </w:rPr>
              <w:t>Paso 1</w:t>
            </w:r>
          </w:p>
        </w:tc>
        <w:tc>
          <w:tcPr>
            <w:tcW w:w="3752" w:type="dxa"/>
            <w:tcBorders>
              <w:top w:val="single" w:sz="6" w:space="0" w:color="auto"/>
              <w:left w:val="single" w:sz="6" w:space="0" w:color="auto"/>
              <w:bottom w:val="single" w:sz="6" w:space="0" w:color="auto"/>
              <w:right w:val="single" w:sz="6" w:space="0" w:color="auto"/>
            </w:tcBorders>
            <w:tcMar>
              <w:left w:w="105" w:type="dxa"/>
              <w:right w:w="105" w:type="dxa"/>
            </w:tcMar>
          </w:tcPr>
          <w:p w14:paraId="0E18DF32" w14:textId="77777777" w:rsidR="006E3229" w:rsidRDefault="00B43C9C">
            <w:pPr>
              <w:rPr>
                <w:color w:val="000000" w:themeColor="text1"/>
                <w:szCs w:val="22"/>
              </w:rPr>
            </w:pPr>
            <w:r>
              <w:rPr>
                <w:color w:val="000000" w:themeColor="text1"/>
              </w:rPr>
              <w:t xml:space="preserve">Asegúrese de que el tapón del frasco a prueba de niños está perfectamente protegido y agite bien el frasco. </w:t>
            </w:r>
          </w:p>
        </w:tc>
        <w:tc>
          <w:tcPr>
            <w:tcW w:w="4300" w:type="dxa"/>
            <w:tcBorders>
              <w:top w:val="single" w:sz="6" w:space="0" w:color="auto"/>
              <w:left w:val="single" w:sz="6" w:space="0" w:color="auto"/>
              <w:bottom w:val="single" w:sz="6" w:space="0" w:color="auto"/>
              <w:right w:val="single" w:sz="6" w:space="0" w:color="auto"/>
            </w:tcBorders>
            <w:tcMar>
              <w:left w:w="105" w:type="dxa"/>
              <w:right w:w="105" w:type="dxa"/>
            </w:tcMar>
          </w:tcPr>
          <w:p w14:paraId="6B372B0C" w14:textId="77777777" w:rsidR="006E3229" w:rsidRDefault="00B43C9C">
            <w:r>
              <w:rPr>
                <w:noProof/>
                <w:lang w:eastAsia="es-ES"/>
              </w:rPr>
              <w:drawing>
                <wp:anchor distT="0" distB="0" distL="114300" distR="114300" simplePos="0" relativeHeight="251658243" behindDoc="0" locked="0" layoutInCell="1" allowOverlap="1" wp14:anchorId="72B19413" wp14:editId="218AA0B4">
                  <wp:simplePos x="0" y="0"/>
                  <wp:positionH relativeFrom="column">
                    <wp:posOffset>-3810</wp:posOffset>
                  </wp:positionH>
                  <wp:positionV relativeFrom="paragraph">
                    <wp:posOffset>0</wp:posOffset>
                  </wp:positionV>
                  <wp:extent cx="1176655" cy="1214755"/>
                  <wp:effectExtent l="0" t="0" r="4445" b="4445"/>
                  <wp:wrapSquare wrapText="bothSides"/>
                  <wp:docPr id="327167874" name="Picture 32716787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167874" name="Picture 327167874" descr="A picture containing text&#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76655" cy="1214755"/>
                          </a:xfrm>
                          <a:prstGeom prst="rect">
                            <a:avLst/>
                          </a:prstGeom>
                        </pic:spPr>
                      </pic:pic>
                    </a:graphicData>
                  </a:graphic>
                </wp:anchor>
              </w:drawing>
            </w:r>
          </w:p>
          <w:p w14:paraId="3E7B59CE" w14:textId="77777777" w:rsidR="006E3229" w:rsidRDefault="006E3229">
            <w:pPr>
              <w:rPr>
                <w:color w:val="000000" w:themeColor="text1"/>
                <w:sz w:val="20"/>
              </w:rPr>
            </w:pPr>
          </w:p>
        </w:tc>
      </w:tr>
      <w:tr w:rsidR="006E3229" w14:paraId="0B14E71A" w14:textId="77777777">
        <w:trPr>
          <w:trHeight w:val="300"/>
        </w:trPr>
        <w:tc>
          <w:tcPr>
            <w:tcW w:w="1008" w:type="dxa"/>
            <w:tcBorders>
              <w:top w:val="single" w:sz="6" w:space="0" w:color="auto"/>
              <w:left w:val="single" w:sz="6" w:space="0" w:color="auto"/>
              <w:bottom w:val="single" w:sz="6" w:space="0" w:color="auto"/>
              <w:right w:val="single" w:sz="6" w:space="0" w:color="auto"/>
            </w:tcBorders>
            <w:tcMar>
              <w:left w:w="105" w:type="dxa"/>
              <w:right w:w="105" w:type="dxa"/>
            </w:tcMar>
          </w:tcPr>
          <w:p w14:paraId="7C6B0896" w14:textId="77777777" w:rsidR="006E3229" w:rsidRDefault="00B43C9C">
            <w:pPr>
              <w:jc w:val="center"/>
              <w:rPr>
                <w:color w:val="000000" w:themeColor="text1"/>
                <w:szCs w:val="22"/>
              </w:rPr>
            </w:pPr>
            <w:r>
              <w:rPr>
                <w:b/>
                <w:color w:val="000000" w:themeColor="text1"/>
              </w:rPr>
              <w:t>Paso 2</w:t>
            </w:r>
          </w:p>
        </w:tc>
        <w:tc>
          <w:tcPr>
            <w:tcW w:w="3752" w:type="dxa"/>
            <w:tcBorders>
              <w:top w:val="single" w:sz="6" w:space="0" w:color="auto"/>
              <w:left w:val="single" w:sz="6" w:space="0" w:color="auto"/>
              <w:bottom w:val="single" w:sz="6" w:space="0" w:color="auto"/>
              <w:right w:val="single" w:sz="6" w:space="0" w:color="auto"/>
            </w:tcBorders>
            <w:tcMar>
              <w:left w:w="105" w:type="dxa"/>
              <w:right w:w="105" w:type="dxa"/>
            </w:tcMar>
          </w:tcPr>
          <w:p w14:paraId="31356924" w14:textId="77777777" w:rsidR="006E3229" w:rsidRDefault="00B43C9C">
            <w:pPr>
              <w:rPr>
                <w:color w:val="000000" w:themeColor="text1"/>
                <w:szCs w:val="22"/>
              </w:rPr>
            </w:pPr>
            <w:r>
              <w:rPr>
                <w:color w:val="000000" w:themeColor="text1"/>
              </w:rPr>
              <w:t xml:space="preserve">Retire el tapón del frasco a prueba de niños presionándolo firmemente hacia abajo y girándolo en sentido contrario a las agujas del reloj. </w:t>
            </w:r>
          </w:p>
        </w:tc>
        <w:tc>
          <w:tcPr>
            <w:tcW w:w="4300" w:type="dxa"/>
            <w:tcBorders>
              <w:top w:val="single" w:sz="6" w:space="0" w:color="auto"/>
              <w:left w:val="single" w:sz="6" w:space="0" w:color="auto"/>
              <w:bottom w:val="single" w:sz="6" w:space="0" w:color="auto"/>
              <w:right w:val="single" w:sz="6" w:space="0" w:color="auto"/>
            </w:tcBorders>
            <w:tcMar>
              <w:left w:w="105" w:type="dxa"/>
              <w:right w:w="105" w:type="dxa"/>
            </w:tcMar>
          </w:tcPr>
          <w:p w14:paraId="690F4D49" w14:textId="77777777" w:rsidR="006E3229" w:rsidRDefault="00B43C9C">
            <w:pPr>
              <w:jc w:val="both"/>
              <w:rPr>
                <w:color w:val="000000" w:themeColor="text1"/>
                <w:sz w:val="20"/>
              </w:rPr>
            </w:pPr>
            <w:r>
              <w:rPr>
                <w:noProof/>
                <w:lang w:eastAsia="es-ES"/>
              </w:rPr>
              <w:drawing>
                <wp:anchor distT="0" distB="0" distL="114300" distR="114300" simplePos="0" relativeHeight="251658244" behindDoc="0" locked="0" layoutInCell="1" allowOverlap="1" wp14:anchorId="5E43E059" wp14:editId="6D0290B1">
                  <wp:simplePos x="0" y="0"/>
                  <wp:positionH relativeFrom="column">
                    <wp:posOffset>-3810</wp:posOffset>
                  </wp:positionH>
                  <wp:positionV relativeFrom="paragraph">
                    <wp:posOffset>3175</wp:posOffset>
                  </wp:positionV>
                  <wp:extent cx="1423035" cy="1443990"/>
                  <wp:effectExtent l="0" t="0" r="5715" b="3810"/>
                  <wp:wrapSquare wrapText="bothSides"/>
                  <wp:docPr id="1872560505" name="Picture 187256050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560505" name="Picture 1872560505" descr="A picture containing text&#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3035" cy="1443990"/>
                          </a:xfrm>
                          <a:prstGeom prst="rect">
                            <a:avLst/>
                          </a:prstGeom>
                        </pic:spPr>
                      </pic:pic>
                    </a:graphicData>
                  </a:graphic>
                </wp:anchor>
              </w:drawing>
            </w:r>
          </w:p>
        </w:tc>
      </w:tr>
      <w:tr w:rsidR="006E3229" w14:paraId="7122CC45" w14:textId="77777777">
        <w:trPr>
          <w:trHeight w:val="300"/>
        </w:trPr>
        <w:tc>
          <w:tcPr>
            <w:tcW w:w="1008" w:type="dxa"/>
            <w:tcBorders>
              <w:top w:val="single" w:sz="6" w:space="0" w:color="auto"/>
              <w:left w:val="single" w:sz="6" w:space="0" w:color="auto"/>
              <w:bottom w:val="single" w:sz="6" w:space="0" w:color="auto"/>
              <w:right w:val="single" w:sz="6" w:space="0" w:color="auto"/>
            </w:tcBorders>
            <w:tcMar>
              <w:left w:w="105" w:type="dxa"/>
              <w:right w:w="105" w:type="dxa"/>
            </w:tcMar>
          </w:tcPr>
          <w:p w14:paraId="3BF29468" w14:textId="77777777" w:rsidR="006E3229" w:rsidRDefault="00B43C9C">
            <w:pPr>
              <w:jc w:val="center"/>
              <w:rPr>
                <w:color w:val="000000" w:themeColor="text1"/>
                <w:szCs w:val="22"/>
              </w:rPr>
            </w:pPr>
            <w:r>
              <w:rPr>
                <w:b/>
                <w:color w:val="000000" w:themeColor="text1"/>
              </w:rPr>
              <w:t>Paso 3</w:t>
            </w:r>
          </w:p>
        </w:tc>
        <w:tc>
          <w:tcPr>
            <w:tcW w:w="3752" w:type="dxa"/>
            <w:tcBorders>
              <w:top w:val="single" w:sz="6" w:space="0" w:color="auto"/>
              <w:left w:val="single" w:sz="6" w:space="0" w:color="auto"/>
              <w:bottom w:val="single" w:sz="6" w:space="0" w:color="auto"/>
              <w:right w:val="single" w:sz="6" w:space="0" w:color="auto"/>
            </w:tcBorders>
            <w:tcMar>
              <w:left w:w="105" w:type="dxa"/>
              <w:right w:w="105" w:type="dxa"/>
            </w:tcMar>
          </w:tcPr>
          <w:p w14:paraId="643429F4" w14:textId="77777777" w:rsidR="006E3229" w:rsidRDefault="00B43C9C">
            <w:pPr>
              <w:rPr>
                <w:color w:val="000000" w:themeColor="text1"/>
                <w:szCs w:val="22"/>
              </w:rPr>
            </w:pPr>
            <w:r>
              <w:rPr>
                <w:color w:val="000000" w:themeColor="text1"/>
              </w:rPr>
              <w:t>Introduzca firmemente el adaptador en el frasco.</w:t>
            </w:r>
          </w:p>
          <w:p w14:paraId="403A5D1E" w14:textId="77777777" w:rsidR="006E3229" w:rsidRDefault="00B43C9C">
            <w:pPr>
              <w:rPr>
                <w:color w:val="000000" w:themeColor="text1"/>
                <w:szCs w:val="22"/>
              </w:rPr>
            </w:pPr>
            <w:r>
              <w:rPr>
                <w:color w:val="000000" w:themeColor="text1"/>
              </w:rPr>
              <w:t>Esto debe hacerse la primera vez que abra el frasco. A continuación, el adaptador permanecerá en el frasco.</w:t>
            </w:r>
          </w:p>
          <w:p w14:paraId="1A131BD2" w14:textId="77777777" w:rsidR="006E3229" w:rsidRDefault="00B43C9C">
            <w:pPr>
              <w:rPr>
                <w:color w:val="000000" w:themeColor="text1"/>
                <w:szCs w:val="22"/>
              </w:rPr>
            </w:pPr>
            <w:r>
              <w:rPr>
                <w:color w:val="000000" w:themeColor="text1"/>
              </w:rPr>
              <w:t>Si le cae el adaptador, límpielo con agua corriente fría y séquelo al aire durante al menos 2 horas.</w:t>
            </w:r>
          </w:p>
          <w:p w14:paraId="6A1F0B8C" w14:textId="77777777" w:rsidR="006E3229" w:rsidRDefault="006E3229">
            <w:pPr>
              <w:rPr>
                <w:szCs w:val="22"/>
              </w:rPr>
            </w:pPr>
          </w:p>
        </w:tc>
        <w:tc>
          <w:tcPr>
            <w:tcW w:w="4300" w:type="dxa"/>
            <w:tcBorders>
              <w:top w:val="single" w:sz="6" w:space="0" w:color="auto"/>
              <w:left w:val="single" w:sz="6" w:space="0" w:color="auto"/>
              <w:bottom w:val="single" w:sz="6" w:space="0" w:color="auto"/>
              <w:right w:val="single" w:sz="6" w:space="0" w:color="auto"/>
            </w:tcBorders>
            <w:tcMar>
              <w:left w:w="105" w:type="dxa"/>
              <w:right w:w="105" w:type="dxa"/>
            </w:tcMar>
          </w:tcPr>
          <w:p w14:paraId="440AE5E8" w14:textId="77777777" w:rsidR="006E3229" w:rsidRDefault="00B43C9C">
            <w:pPr>
              <w:rPr>
                <w:color w:val="000000" w:themeColor="text1"/>
                <w:sz w:val="20"/>
              </w:rPr>
            </w:pPr>
            <w:r>
              <w:rPr>
                <w:noProof/>
                <w:lang w:eastAsia="es-ES"/>
              </w:rPr>
              <w:drawing>
                <wp:anchor distT="0" distB="0" distL="114300" distR="114300" simplePos="0" relativeHeight="251658245" behindDoc="0" locked="0" layoutInCell="1" allowOverlap="1" wp14:anchorId="1675D8C1" wp14:editId="420920BB">
                  <wp:simplePos x="0" y="0"/>
                  <wp:positionH relativeFrom="column">
                    <wp:posOffset>-3810</wp:posOffset>
                  </wp:positionH>
                  <wp:positionV relativeFrom="paragraph">
                    <wp:posOffset>2540</wp:posOffset>
                  </wp:positionV>
                  <wp:extent cx="1725930" cy="1454785"/>
                  <wp:effectExtent l="0" t="0" r="7620" b="0"/>
                  <wp:wrapSquare wrapText="bothSides"/>
                  <wp:docPr id="1381368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68832" name="Picture 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1725930" cy="1454785"/>
                          </a:xfrm>
                          <a:prstGeom prst="rect">
                            <a:avLst/>
                          </a:prstGeom>
                        </pic:spPr>
                      </pic:pic>
                    </a:graphicData>
                  </a:graphic>
                </wp:anchor>
              </w:drawing>
            </w:r>
          </w:p>
        </w:tc>
      </w:tr>
      <w:tr w:rsidR="006E3229" w14:paraId="5E94E7FC" w14:textId="77777777">
        <w:trPr>
          <w:trHeight w:val="300"/>
        </w:trPr>
        <w:tc>
          <w:tcPr>
            <w:tcW w:w="1008" w:type="dxa"/>
            <w:tcBorders>
              <w:top w:val="single" w:sz="6" w:space="0" w:color="auto"/>
              <w:left w:val="single" w:sz="6" w:space="0" w:color="auto"/>
              <w:bottom w:val="single" w:sz="6" w:space="0" w:color="auto"/>
              <w:right w:val="nil"/>
            </w:tcBorders>
            <w:shd w:val="clear" w:color="auto" w:fill="D9D9D9" w:themeFill="background1" w:themeFillShade="D9"/>
            <w:tcMar>
              <w:left w:w="105" w:type="dxa"/>
              <w:right w:w="105" w:type="dxa"/>
            </w:tcMar>
          </w:tcPr>
          <w:p w14:paraId="5F036ED9" w14:textId="77777777" w:rsidR="006E3229" w:rsidRDefault="006E3229">
            <w:pPr>
              <w:keepNext/>
              <w:jc w:val="center"/>
              <w:rPr>
                <w:szCs w:val="22"/>
              </w:rPr>
            </w:pPr>
          </w:p>
        </w:tc>
        <w:tc>
          <w:tcPr>
            <w:tcW w:w="3752" w:type="dxa"/>
            <w:tcBorders>
              <w:top w:val="single" w:sz="6" w:space="0" w:color="auto"/>
              <w:left w:val="nil"/>
              <w:bottom w:val="single" w:sz="6" w:space="0" w:color="auto"/>
              <w:right w:val="nil"/>
            </w:tcBorders>
            <w:shd w:val="clear" w:color="auto" w:fill="D9D9D9" w:themeFill="background1" w:themeFillShade="D9"/>
            <w:tcMar>
              <w:left w:w="105" w:type="dxa"/>
              <w:right w:w="105" w:type="dxa"/>
            </w:tcMar>
          </w:tcPr>
          <w:p w14:paraId="21C0575F" w14:textId="77777777" w:rsidR="006E3229" w:rsidRDefault="00B43C9C">
            <w:pPr>
              <w:keepNext/>
              <w:rPr>
                <w:b/>
                <w:bCs/>
                <w:color w:val="000000" w:themeColor="text1"/>
                <w:szCs w:val="22"/>
              </w:rPr>
            </w:pPr>
            <w:r>
              <w:rPr>
                <w:b/>
                <w:color w:val="000000" w:themeColor="text1"/>
              </w:rPr>
              <w:t xml:space="preserve">Preparación de una dosis de AGAMREE </w:t>
            </w:r>
          </w:p>
        </w:tc>
        <w:tc>
          <w:tcPr>
            <w:tcW w:w="4300" w:type="dxa"/>
            <w:tcBorders>
              <w:top w:val="single" w:sz="6" w:space="0" w:color="auto"/>
              <w:left w:val="nil"/>
              <w:bottom w:val="single" w:sz="6" w:space="0" w:color="auto"/>
              <w:right w:val="single" w:sz="6" w:space="0" w:color="auto"/>
            </w:tcBorders>
            <w:shd w:val="clear" w:color="auto" w:fill="D9D9D9" w:themeFill="background1" w:themeFillShade="D9"/>
            <w:tcMar>
              <w:left w:w="105" w:type="dxa"/>
              <w:right w:w="105" w:type="dxa"/>
            </w:tcMar>
          </w:tcPr>
          <w:p w14:paraId="6AE49780" w14:textId="77777777" w:rsidR="006E3229" w:rsidRDefault="006E3229">
            <w:pPr>
              <w:rPr>
                <w:szCs w:val="22"/>
              </w:rPr>
            </w:pPr>
          </w:p>
        </w:tc>
      </w:tr>
      <w:tr w:rsidR="006E3229" w14:paraId="4A737960" w14:textId="77777777">
        <w:trPr>
          <w:trHeight w:val="300"/>
        </w:trPr>
        <w:tc>
          <w:tcPr>
            <w:tcW w:w="1008" w:type="dxa"/>
            <w:tcBorders>
              <w:top w:val="single" w:sz="6" w:space="0" w:color="auto"/>
              <w:left w:val="single" w:sz="6" w:space="0" w:color="auto"/>
              <w:bottom w:val="single" w:sz="6" w:space="0" w:color="auto"/>
              <w:right w:val="single" w:sz="6" w:space="0" w:color="auto"/>
            </w:tcBorders>
            <w:tcMar>
              <w:left w:w="105" w:type="dxa"/>
              <w:right w:w="105" w:type="dxa"/>
            </w:tcMar>
          </w:tcPr>
          <w:p w14:paraId="11948A56" w14:textId="77777777" w:rsidR="006E3229" w:rsidRDefault="00B43C9C">
            <w:pPr>
              <w:jc w:val="center"/>
              <w:rPr>
                <w:color w:val="000000" w:themeColor="text1"/>
                <w:szCs w:val="22"/>
              </w:rPr>
            </w:pPr>
            <w:r>
              <w:rPr>
                <w:b/>
                <w:color w:val="000000" w:themeColor="text1"/>
              </w:rPr>
              <w:t>Paso 4</w:t>
            </w:r>
          </w:p>
        </w:tc>
        <w:tc>
          <w:tcPr>
            <w:tcW w:w="3752" w:type="dxa"/>
            <w:tcBorders>
              <w:top w:val="single" w:sz="6" w:space="0" w:color="auto"/>
              <w:left w:val="single" w:sz="6" w:space="0" w:color="auto"/>
              <w:bottom w:val="single" w:sz="6" w:space="0" w:color="auto"/>
              <w:right w:val="single" w:sz="6" w:space="0" w:color="auto"/>
            </w:tcBorders>
            <w:tcMar>
              <w:left w:w="105" w:type="dxa"/>
              <w:right w:w="105" w:type="dxa"/>
            </w:tcMar>
          </w:tcPr>
          <w:p w14:paraId="0A8BCC47" w14:textId="77777777" w:rsidR="006E3229" w:rsidRDefault="00B43C9C">
            <w:pPr>
              <w:rPr>
                <w:color w:val="000000" w:themeColor="text1"/>
                <w:szCs w:val="22"/>
              </w:rPr>
            </w:pPr>
            <w:r>
              <w:rPr>
                <w:color w:val="000000" w:themeColor="text1"/>
              </w:rPr>
              <w:t>Mantenga la botella en posición vertical.</w:t>
            </w:r>
          </w:p>
          <w:p w14:paraId="30287AC3" w14:textId="77777777" w:rsidR="006E3229" w:rsidRDefault="00B43C9C">
            <w:pPr>
              <w:rPr>
                <w:color w:val="000000" w:themeColor="text1"/>
                <w:szCs w:val="22"/>
              </w:rPr>
            </w:pPr>
            <w:r>
              <w:rPr>
                <w:color w:val="000000" w:themeColor="text1"/>
              </w:rPr>
              <w:t>Antes de insertar la punta de la jeringa de uso oral en el adaptador del frasco, presione el émbolo hacia abajo hasta que haga tope con la punta de la jeringa. Introduzca la punta firmemente en la abertura del adaptador del frasco.</w:t>
            </w:r>
          </w:p>
          <w:p w14:paraId="1BFA62CF" w14:textId="77777777" w:rsidR="006E3229" w:rsidRDefault="006E3229">
            <w:pPr>
              <w:rPr>
                <w:color w:val="000000" w:themeColor="text1"/>
                <w:szCs w:val="22"/>
              </w:rPr>
            </w:pPr>
          </w:p>
          <w:p w14:paraId="6FAD5C1D" w14:textId="77777777" w:rsidR="006E3229" w:rsidRDefault="006E3229">
            <w:pPr>
              <w:rPr>
                <w:color w:val="000000" w:themeColor="text1"/>
                <w:szCs w:val="22"/>
              </w:rPr>
            </w:pPr>
          </w:p>
          <w:p w14:paraId="68B3B839" w14:textId="77777777" w:rsidR="006E3229" w:rsidRDefault="006E3229">
            <w:pPr>
              <w:rPr>
                <w:color w:val="000000" w:themeColor="text1"/>
                <w:szCs w:val="22"/>
              </w:rPr>
            </w:pPr>
          </w:p>
          <w:p w14:paraId="51AF4DEE" w14:textId="77777777" w:rsidR="006E3229" w:rsidRDefault="006E3229">
            <w:pPr>
              <w:rPr>
                <w:color w:val="000000" w:themeColor="text1"/>
                <w:szCs w:val="22"/>
              </w:rPr>
            </w:pPr>
          </w:p>
        </w:tc>
        <w:tc>
          <w:tcPr>
            <w:tcW w:w="4300" w:type="dxa"/>
            <w:tcBorders>
              <w:top w:val="single" w:sz="6" w:space="0" w:color="auto"/>
              <w:left w:val="single" w:sz="6" w:space="0" w:color="auto"/>
              <w:bottom w:val="single" w:sz="6" w:space="0" w:color="auto"/>
              <w:right w:val="single" w:sz="6" w:space="0" w:color="auto"/>
            </w:tcBorders>
            <w:tcMar>
              <w:left w:w="105" w:type="dxa"/>
              <w:right w:w="105" w:type="dxa"/>
            </w:tcMar>
          </w:tcPr>
          <w:p w14:paraId="4D4D7A87" w14:textId="77777777" w:rsidR="006E3229" w:rsidRDefault="006E3229">
            <w:pPr>
              <w:rPr>
                <w:b/>
                <w:bCs/>
                <w:color w:val="000000" w:themeColor="text1"/>
                <w:sz w:val="20"/>
              </w:rPr>
            </w:pPr>
          </w:p>
          <w:p w14:paraId="3062696E" w14:textId="77777777" w:rsidR="006E3229" w:rsidRDefault="00B43C9C">
            <w:pPr>
              <w:rPr>
                <w:b/>
                <w:bCs/>
                <w:color w:val="000000" w:themeColor="text1"/>
                <w:sz w:val="20"/>
              </w:rPr>
            </w:pPr>
            <w:r>
              <w:rPr>
                <w:noProof/>
                <w:lang w:eastAsia="es-ES"/>
              </w:rPr>
              <w:drawing>
                <wp:anchor distT="0" distB="0" distL="114300" distR="114300" simplePos="0" relativeHeight="251658240" behindDoc="0" locked="0" layoutInCell="1" allowOverlap="1" wp14:anchorId="73397DBF" wp14:editId="7F9A0417">
                  <wp:simplePos x="0" y="0"/>
                  <wp:positionH relativeFrom="column">
                    <wp:posOffset>-3810</wp:posOffset>
                  </wp:positionH>
                  <wp:positionV relativeFrom="paragraph">
                    <wp:posOffset>1905</wp:posOffset>
                  </wp:positionV>
                  <wp:extent cx="1432560" cy="172275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1432560" cy="1722755"/>
                          </a:xfrm>
                          <a:prstGeom prst="rect">
                            <a:avLst/>
                          </a:prstGeom>
                        </pic:spPr>
                      </pic:pic>
                    </a:graphicData>
                  </a:graphic>
                </wp:anchor>
              </w:drawing>
            </w:r>
          </w:p>
        </w:tc>
      </w:tr>
      <w:tr w:rsidR="006E3229" w14:paraId="0A8E64F6" w14:textId="77777777">
        <w:trPr>
          <w:trHeight w:val="300"/>
        </w:trPr>
        <w:tc>
          <w:tcPr>
            <w:tcW w:w="1008" w:type="dxa"/>
            <w:tcBorders>
              <w:top w:val="single" w:sz="6" w:space="0" w:color="auto"/>
              <w:left w:val="single" w:sz="6" w:space="0" w:color="auto"/>
              <w:bottom w:val="single" w:sz="6" w:space="0" w:color="auto"/>
              <w:right w:val="single" w:sz="6" w:space="0" w:color="auto"/>
            </w:tcBorders>
            <w:tcMar>
              <w:left w:w="105" w:type="dxa"/>
              <w:right w:w="105" w:type="dxa"/>
            </w:tcMar>
          </w:tcPr>
          <w:p w14:paraId="4B043E9A" w14:textId="77777777" w:rsidR="006E3229" w:rsidRDefault="00B43C9C">
            <w:pPr>
              <w:jc w:val="center"/>
              <w:rPr>
                <w:color w:val="000000" w:themeColor="text1"/>
                <w:szCs w:val="22"/>
              </w:rPr>
            </w:pPr>
            <w:r>
              <w:rPr>
                <w:b/>
                <w:color w:val="000000" w:themeColor="text1"/>
              </w:rPr>
              <w:lastRenderedPageBreak/>
              <w:t>Paso 5</w:t>
            </w:r>
          </w:p>
        </w:tc>
        <w:tc>
          <w:tcPr>
            <w:tcW w:w="3752" w:type="dxa"/>
            <w:tcBorders>
              <w:top w:val="single" w:sz="6" w:space="0" w:color="auto"/>
              <w:left w:val="single" w:sz="6" w:space="0" w:color="auto"/>
              <w:bottom w:val="single" w:sz="6" w:space="0" w:color="auto"/>
              <w:right w:val="single" w:sz="6" w:space="0" w:color="auto"/>
            </w:tcBorders>
            <w:tcMar>
              <w:left w:w="105" w:type="dxa"/>
              <w:right w:w="105" w:type="dxa"/>
            </w:tcMar>
          </w:tcPr>
          <w:p w14:paraId="7CE274E8" w14:textId="77777777" w:rsidR="006E3229" w:rsidRDefault="00B43C9C">
            <w:pPr>
              <w:rPr>
                <w:color w:val="000000" w:themeColor="text1"/>
                <w:szCs w:val="22"/>
              </w:rPr>
            </w:pPr>
            <w:r>
              <w:rPr>
                <w:color w:val="000000" w:themeColor="text1"/>
              </w:rPr>
              <w:t>Mantenga la jeringa en su lugar y gire el frasco con cuidado hacia arriba.</w:t>
            </w:r>
          </w:p>
          <w:p w14:paraId="16ABD5C1" w14:textId="77777777" w:rsidR="006E3229" w:rsidRDefault="006E3229">
            <w:pPr>
              <w:rPr>
                <w:color w:val="000000" w:themeColor="text1"/>
                <w:szCs w:val="22"/>
              </w:rPr>
            </w:pPr>
          </w:p>
          <w:p w14:paraId="59340F20" w14:textId="77777777" w:rsidR="006E3229" w:rsidRDefault="00B43C9C">
            <w:pPr>
              <w:rPr>
                <w:color w:val="000000" w:themeColor="text1"/>
                <w:szCs w:val="22"/>
              </w:rPr>
            </w:pPr>
            <w:r>
              <w:rPr>
                <w:color w:val="000000" w:themeColor="text1"/>
              </w:rPr>
              <w:t>Tire del émbolo lentamente hasta que se extraiga a la jeringa la cantidad deseada de medicamento.</w:t>
            </w:r>
          </w:p>
          <w:p w14:paraId="3D351970" w14:textId="77777777" w:rsidR="006E3229" w:rsidRDefault="006E3229">
            <w:pPr>
              <w:rPr>
                <w:color w:val="000000" w:themeColor="text1"/>
                <w:szCs w:val="22"/>
              </w:rPr>
            </w:pPr>
          </w:p>
          <w:p w14:paraId="391DBD39" w14:textId="77777777" w:rsidR="006E3229" w:rsidRDefault="00B43C9C">
            <w:pPr>
              <w:rPr>
                <w:color w:val="000000" w:themeColor="text1"/>
                <w:szCs w:val="22"/>
              </w:rPr>
            </w:pPr>
            <w:r>
              <w:rPr>
                <w:color w:val="000000" w:themeColor="text1"/>
              </w:rPr>
              <w:t>Si hay grandes burbujas de aire en la jeringa (como se ve en la figura de la izquierda) o si ha extraído una dosis incorrecta de AGAMREE, inserte firmemente la punta de la jeringa en el adaptador mientras el frasco está en posición vertical. Empuje el émbolo hacia abajo para que AGAMREE vuelva a entrar en el frasco y repita los pasos 4 a 6.</w:t>
            </w:r>
          </w:p>
          <w:p w14:paraId="44F0FDE3" w14:textId="77777777" w:rsidR="006E3229" w:rsidRDefault="006E3229">
            <w:pPr>
              <w:rPr>
                <w:color w:val="000000" w:themeColor="text1"/>
                <w:szCs w:val="22"/>
              </w:rPr>
            </w:pPr>
          </w:p>
        </w:tc>
        <w:tc>
          <w:tcPr>
            <w:tcW w:w="4300" w:type="dxa"/>
            <w:tcBorders>
              <w:top w:val="single" w:sz="6" w:space="0" w:color="auto"/>
              <w:left w:val="single" w:sz="6" w:space="0" w:color="auto"/>
              <w:bottom w:val="single" w:sz="6" w:space="0" w:color="auto"/>
              <w:right w:val="single" w:sz="6" w:space="0" w:color="auto"/>
            </w:tcBorders>
            <w:tcMar>
              <w:left w:w="105" w:type="dxa"/>
              <w:right w:w="105" w:type="dxa"/>
            </w:tcMar>
          </w:tcPr>
          <w:p w14:paraId="6C48C08F" w14:textId="77777777" w:rsidR="006E3229" w:rsidRDefault="00B43C9C">
            <w:pPr>
              <w:rPr>
                <w:color w:val="000000" w:themeColor="text1"/>
                <w:sz w:val="20"/>
              </w:rPr>
            </w:pPr>
            <w:r>
              <w:rPr>
                <w:noProof/>
                <w:lang w:eastAsia="es-ES"/>
              </w:rPr>
              <w:drawing>
                <wp:anchor distT="0" distB="0" distL="114300" distR="114300" simplePos="0" relativeHeight="251658241" behindDoc="0" locked="0" layoutInCell="1" allowOverlap="1" wp14:anchorId="529BE25C" wp14:editId="4147D4F0">
                  <wp:simplePos x="0" y="0"/>
                  <wp:positionH relativeFrom="column">
                    <wp:posOffset>-59055</wp:posOffset>
                  </wp:positionH>
                  <wp:positionV relativeFrom="paragraph">
                    <wp:posOffset>167640</wp:posOffset>
                  </wp:positionV>
                  <wp:extent cx="2517775" cy="2035175"/>
                  <wp:effectExtent l="0" t="0" r="0" b="317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2517775" cy="2035175"/>
                          </a:xfrm>
                          <a:prstGeom prst="rect">
                            <a:avLst/>
                          </a:prstGeom>
                        </pic:spPr>
                      </pic:pic>
                    </a:graphicData>
                  </a:graphic>
                </wp:anchor>
              </w:drawing>
            </w:r>
          </w:p>
          <w:p w14:paraId="3E1018A6" w14:textId="77777777" w:rsidR="006E3229" w:rsidRDefault="006E3229">
            <w:pPr>
              <w:rPr>
                <w:color w:val="000000" w:themeColor="text1"/>
                <w:sz w:val="20"/>
              </w:rPr>
            </w:pPr>
          </w:p>
        </w:tc>
      </w:tr>
      <w:tr w:rsidR="006E3229" w14:paraId="1B6F22AD" w14:textId="77777777">
        <w:trPr>
          <w:trHeight w:val="5439"/>
        </w:trPr>
        <w:tc>
          <w:tcPr>
            <w:tcW w:w="1008" w:type="dxa"/>
            <w:tcBorders>
              <w:top w:val="single" w:sz="6" w:space="0" w:color="auto"/>
              <w:left w:val="single" w:sz="6" w:space="0" w:color="auto"/>
              <w:bottom w:val="single" w:sz="6" w:space="0" w:color="auto"/>
              <w:right w:val="single" w:sz="6" w:space="0" w:color="auto"/>
            </w:tcBorders>
            <w:tcMar>
              <w:left w:w="105" w:type="dxa"/>
              <w:right w:w="105" w:type="dxa"/>
            </w:tcMar>
          </w:tcPr>
          <w:p w14:paraId="13C3DDE1" w14:textId="77777777" w:rsidR="006E3229" w:rsidRDefault="00B43C9C">
            <w:pPr>
              <w:jc w:val="center"/>
              <w:rPr>
                <w:color w:val="000000" w:themeColor="text1"/>
                <w:szCs w:val="22"/>
              </w:rPr>
            </w:pPr>
            <w:r>
              <w:br w:type="page"/>
            </w:r>
            <w:r>
              <w:rPr>
                <w:b/>
                <w:color w:val="000000" w:themeColor="text1"/>
              </w:rPr>
              <w:t>Paso 6</w:t>
            </w:r>
          </w:p>
        </w:tc>
        <w:tc>
          <w:tcPr>
            <w:tcW w:w="3752" w:type="dxa"/>
            <w:tcBorders>
              <w:top w:val="single" w:sz="6" w:space="0" w:color="auto"/>
              <w:left w:val="single" w:sz="6" w:space="0" w:color="auto"/>
              <w:bottom w:val="single" w:sz="6" w:space="0" w:color="auto"/>
              <w:right w:val="single" w:sz="6" w:space="0" w:color="auto"/>
            </w:tcBorders>
            <w:tcMar>
              <w:left w:w="105" w:type="dxa"/>
              <w:right w:w="105" w:type="dxa"/>
            </w:tcMar>
          </w:tcPr>
          <w:p w14:paraId="5C23B02B" w14:textId="77777777" w:rsidR="006E3229" w:rsidRDefault="00B43C9C">
            <w:pPr>
              <w:rPr>
                <w:color w:val="000000" w:themeColor="text1"/>
                <w:szCs w:val="22"/>
              </w:rPr>
            </w:pPr>
            <w:r>
              <w:rPr>
                <w:color w:val="000000" w:themeColor="text1"/>
              </w:rPr>
              <w:t>Compruebe la dosis en mililitros (ml) tal y como la ha prescrito el médico. Encuentre la gradación para leer la dosis en mililitros (ml) en el émbolo, tal como se muestra en la imagen de la derecha. En la escala representada, cada línea corresponde a 0,1 ml. En el ejemplo se muestra una dosis de 1 ml. No tome/administre más de la dosis diaria prescrita.</w:t>
            </w:r>
          </w:p>
          <w:p w14:paraId="602A3AA2" w14:textId="77777777" w:rsidR="006E3229" w:rsidRDefault="006E3229">
            <w:pPr>
              <w:rPr>
                <w:color w:val="000000" w:themeColor="text1"/>
                <w:szCs w:val="22"/>
              </w:rPr>
            </w:pPr>
          </w:p>
        </w:tc>
        <w:tc>
          <w:tcPr>
            <w:tcW w:w="4300" w:type="dxa"/>
            <w:tcBorders>
              <w:top w:val="single" w:sz="6" w:space="0" w:color="auto"/>
              <w:left w:val="single" w:sz="6" w:space="0" w:color="auto"/>
              <w:bottom w:val="single" w:sz="6" w:space="0" w:color="auto"/>
              <w:right w:val="single" w:sz="6" w:space="0" w:color="auto"/>
            </w:tcBorders>
            <w:tcMar>
              <w:left w:w="105" w:type="dxa"/>
              <w:right w:w="105" w:type="dxa"/>
            </w:tcMar>
          </w:tcPr>
          <w:p w14:paraId="4F1850F6" w14:textId="77777777" w:rsidR="006E3229" w:rsidRDefault="00B43C9C">
            <w:r>
              <w:rPr>
                <w:noProof/>
                <w:lang w:eastAsia="es-ES"/>
              </w:rPr>
              <w:drawing>
                <wp:anchor distT="0" distB="0" distL="114300" distR="114300" simplePos="0" relativeHeight="251658246" behindDoc="0" locked="0" layoutInCell="1" allowOverlap="1" wp14:anchorId="7BC0DC24" wp14:editId="30CA52EE">
                  <wp:simplePos x="0" y="0"/>
                  <wp:positionH relativeFrom="column">
                    <wp:posOffset>-3810</wp:posOffset>
                  </wp:positionH>
                  <wp:positionV relativeFrom="paragraph">
                    <wp:posOffset>1270</wp:posOffset>
                  </wp:positionV>
                  <wp:extent cx="2584450" cy="2647315"/>
                  <wp:effectExtent l="0" t="0" r="6350" b="635"/>
                  <wp:wrapSquare wrapText="bothSides"/>
                  <wp:docPr id="49290380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903807" name="Picture 6"/>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2584450" cy="2647315"/>
                          </a:xfrm>
                          <a:prstGeom prst="rect">
                            <a:avLst/>
                          </a:prstGeom>
                        </pic:spPr>
                      </pic:pic>
                    </a:graphicData>
                  </a:graphic>
                </wp:anchor>
              </w:drawing>
            </w:r>
          </w:p>
          <w:p w14:paraId="72E6CDB9" w14:textId="77777777" w:rsidR="006E3229" w:rsidRDefault="006E3229"/>
        </w:tc>
      </w:tr>
      <w:tr w:rsidR="006E3229" w14:paraId="3A92924F" w14:textId="77777777">
        <w:trPr>
          <w:trHeight w:val="300"/>
        </w:trPr>
        <w:tc>
          <w:tcPr>
            <w:tcW w:w="1008" w:type="dxa"/>
            <w:tcBorders>
              <w:top w:val="single" w:sz="6" w:space="0" w:color="auto"/>
              <w:left w:val="single" w:sz="6" w:space="0" w:color="auto"/>
              <w:bottom w:val="single" w:sz="6" w:space="0" w:color="auto"/>
              <w:right w:val="single" w:sz="6" w:space="0" w:color="auto"/>
            </w:tcBorders>
            <w:tcMar>
              <w:left w:w="105" w:type="dxa"/>
              <w:right w:w="105" w:type="dxa"/>
            </w:tcMar>
          </w:tcPr>
          <w:p w14:paraId="1192130E" w14:textId="77777777" w:rsidR="006E3229" w:rsidRDefault="00B43C9C">
            <w:pPr>
              <w:jc w:val="center"/>
              <w:rPr>
                <w:color w:val="000000" w:themeColor="text1"/>
                <w:szCs w:val="22"/>
              </w:rPr>
            </w:pPr>
            <w:r>
              <w:rPr>
                <w:b/>
                <w:color w:val="000000" w:themeColor="text1"/>
              </w:rPr>
              <w:t>Paso 7</w:t>
            </w:r>
          </w:p>
        </w:tc>
        <w:tc>
          <w:tcPr>
            <w:tcW w:w="3752" w:type="dxa"/>
            <w:tcBorders>
              <w:top w:val="single" w:sz="6" w:space="0" w:color="auto"/>
              <w:left w:val="single" w:sz="6" w:space="0" w:color="auto"/>
              <w:bottom w:val="single" w:sz="6" w:space="0" w:color="auto"/>
              <w:right w:val="single" w:sz="6" w:space="0" w:color="auto"/>
            </w:tcBorders>
            <w:tcMar>
              <w:left w:w="105" w:type="dxa"/>
              <w:right w:w="105" w:type="dxa"/>
            </w:tcMar>
          </w:tcPr>
          <w:p w14:paraId="2BF1A926" w14:textId="77777777" w:rsidR="006E3229" w:rsidRDefault="00B43C9C">
            <w:pPr>
              <w:rPr>
                <w:color w:val="000000" w:themeColor="text1"/>
                <w:szCs w:val="22"/>
              </w:rPr>
            </w:pPr>
            <w:r>
              <w:rPr>
                <w:color w:val="000000" w:themeColor="text1"/>
              </w:rPr>
              <w:t>Gire el frasco en su lado derecho y retire cuidadosamente la jeringa del frasco.</w:t>
            </w:r>
          </w:p>
          <w:p w14:paraId="70F2DEF5" w14:textId="77777777" w:rsidR="006E3229" w:rsidRDefault="006E3229">
            <w:pPr>
              <w:rPr>
                <w:color w:val="000000" w:themeColor="text1"/>
                <w:szCs w:val="22"/>
              </w:rPr>
            </w:pPr>
          </w:p>
          <w:p w14:paraId="30605A23" w14:textId="77777777" w:rsidR="006E3229" w:rsidRDefault="00B43C9C">
            <w:pPr>
              <w:rPr>
                <w:color w:val="000000" w:themeColor="text1"/>
                <w:szCs w:val="22"/>
              </w:rPr>
            </w:pPr>
            <w:r>
              <w:rPr>
                <w:color w:val="000000" w:themeColor="text1"/>
              </w:rPr>
              <w:t>No sujete la jeringa por el émbolo, ya que este puede desprenderse.</w:t>
            </w:r>
          </w:p>
          <w:p w14:paraId="7B6EB160" w14:textId="77777777" w:rsidR="006E3229" w:rsidRDefault="006E3229">
            <w:pPr>
              <w:rPr>
                <w:color w:val="000000" w:themeColor="text1"/>
                <w:szCs w:val="22"/>
              </w:rPr>
            </w:pPr>
          </w:p>
          <w:p w14:paraId="6097A6B6" w14:textId="77777777" w:rsidR="006E3229" w:rsidRDefault="00B43C9C">
            <w:pPr>
              <w:rPr>
                <w:color w:val="000000" w:themeColor="text1"/>
                <w:szCs w:val="22"/>
              </w:rPr>
            </w:pPr>
            <w:r>
              <w:rPr>
                <w:color w:val="000000" w:themeColor="text1"/>
              </w:rPr>
              <w:t xml:space="preserve"> </w:t>
            </w:r>
          </w:p>
        </w:tc>
        <w:tc>
          <w:tcPr>
            <w:tcW w:w="4300" w:type="dxa"/>
            <w:tcBorders>
              <w:top w:val="single" w:sz="6" w:space="0" w:color="auto"/>
              <w:left w:val="single" w:sz="6" w:space="0" w:color="auto"/>
              <w:bottom w:val="single" w:sz="6" w:space="0" w:color="auto"/>
              <w:right w:val="single" w:sz="6" w:space="0" w:color="auto"/>
            </w:tcBorders>
            <w:tcMar>
              <w:left w:w="105" w:type="dxa"/>
              <w:right w:w="105" w:type="dxa"/>
            </w:tcMar>
          </w:tcPr>
          <w:p w14:paraId="34E37141" w14:textId="77777777" w:rsidR="006E3229" w:rsidRDefault="006E3229">
            <w:pPr>
              <w:rPr>
                <w:color w:val="000000" w:themeColor="text1"/>
                <w:sz w:val="20"/>
              </w:rPr>
            </w:pPr>
          </w:p>
          <w:p w14:paraId="147C9BFD" w14:textId="77777777" w:rsidR="006E3229" w:rsidRDefault="00B43C9C">
            <w:pPr>
              <w:rPr>
                <w:color w:val="000000" w:themeColor="text1"/>
                <w:sz w:val="20"/>
              </w:rPr>
            </w:pPr>
            <w:r>
              <w:rPr>
                <w:noProof/>
                <w:lang w:eastAsia="es-ES"/>
              </w:rPr>
              <w:drawing>
                <wp:anchor distT="0" distB="0" distL="114300" distR="114300" simplePos="0" relativeHeight="251658242" behindDoc="0" locked="0" layoutInCell="1" allowOverlap="1" wp14:anchorId="5CDC460E" wp14:editId="09787FE0">
                  <wp:simplePos x="0" y="0"/>
                  <wp:positionH relativeFrom="column">
                    <wp:posOffset>-3810</wp:posOffset>
                  </wp:positionH>
                  <wp:positionV relativeFrom="paragraph">
                    <wp:posOffset>1905</wp:posOffset>
                  </wp:positionV>
                  <wp:extent cx="1868170" cy="2011680"/>
                  <wp:effectExtent l="0" t="0" r="0" b="762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1868170" cy="2011680"/>
                          </a:xfrm>
                          <a:prstGeom prst="rect">
                            <a:avLst/>
                          </a:prstGeom>
                        </pic:spPr>
                      </pic:pic>
                    </a:graphicData>
                  </a:graphic>
                </wp:anchor>
              </w:drawing>
            </w:r>
          </w:p>
          <w:p w14:paraId="0B78F66E" w14:textId="77777777" w:rsidR="006E3229" w:rsidRDefault="006E3229">
            <w:pPr>
              <w:rPr>
                <w:color w:val="000000" w:themeColor="text1"/>
                <w:sz w:val="20"/>
              </w:rPr>
            </w:pPr>
          </w:p>
        </w:tc>
      </w:tr>
      <w:tr w:rsidR="006E3229" w14:paraId="7DB8861E" w14:textId="77777777">
        <w:trPr>
          <w:trHeight w:val="300"/>
        </w:trPr>
        <w:tc>
          <w:tcPr>
            <w:tcW w:w="1008" w:type="dxa"/>
            <w:tcBorders>
              <w:top w:val="single" w:sz="6" w:space="0" w:color="auto"/>
              <w:left w:val="single" w:sz="6" w:space="0" w:color="auto"/>
              <w:bottom w:val="single" w:sz="6" w:space="0" w:color="auto"/>
              <w:right w:val="nil"/>
            </w:tcBorders>
            <w:shd w:val="clear" w:color="auto" w:fill="D9D9D9" w:themeFill="background1" w:themeFillShade="D9"/>
            <w:tcMar>
              <w:left w:w="105" w:type="dxa"/>
              <w:right w:w="105" w:type="dxa"/>
            </w:tcMar>
          </w:tcPr>
          <w:p w14:paraId="2403AAF5" w14:textId="77777777" w:rsidR="006E3229" w:rsidRDefault="006E3229">
            <w:pPr>
              <w:keepNext/>
              <w:jc w:val="center"/>
              <w:rPr>
                <w:color w:val="000000" w:themeColor="text1"/>
                <w:szCs w:val="22"/>
              </w:rPr>
            </w:pPr>
          </w:p>
        </w:tc>
        <w:tc>
          <w:tcPr>
            <w:tcW w:w="3752" w:type="dxa"/>
            <w:tcBorders>
              <w:top w:val="single" w:sz="6" w:space="0" w:color="auto"/>
              <w:left w:val="nil"/>
              <w:bottom w:val="single" w:sz="6" w:space="0" w:color="auto"/>
              <w:right w:val="nil"/>
            </w:tcBorders>
            <w:shd w:val="clear" w:color="auto" w:fill="D9D9D9" w:themeFill="background1" w:themeFillShade="D9"/>
            <w:tcMar>
              <w:left w:w="105" w:type="dxa"/>
              <w:right w:w="105" w:type="dxa"/>
            </w:tcMar>
          </w:tcPr>
          <w:p w14:paraId="3BC22CB4" w14:textId="77777777" w:rsidR="006E3229" w:rsidRDefault="00B43C9C">
            <w:pPr>
              <w:keepNext/>
              <w:rPr>
                <w:color w:val="000000" w:themeColor="text1"/>
                <w:szCs w:val="22"/>
              </w:rPr>
            </w:pPr>
            <w:r>
              <w:rPr>
                <w:b/>
                <w:color w:val="000000" w:themeColor="text1"/>
              </w:rPr>
              <w:t>Administración de AGAMREE</w:t>
            </w:r>
          </w:p>
        </w:tc>
        <w:tc>
          <w:tcPr>
            <w:tcW w:w="4300" w:type="dxa"/>
            <w:tcBorders>
              <w:top w:val="single" w:sz="6" w:space="0" w:color="auto"/>
              <w:left w:val="nil"/>
              <w:bottom w:val="single" w:sz="6" w:space="0" w:color="auto"/>
              <w:right w:val="single" w:sz="6" w:space="0" w:color="auto"/>
            </w:tcBorders>
            <w:shd w:val="clear" w:color="auto" w:fill="D9D9D9" w:themeFill="background1" w:themeFillShade="D9"/>
            <w:tcMar>
              <w:left w:w="105" w:type="dxa"/>
              <w:right w:w="105" w:type="dxa"/>
            </w:tcMar>
          </w:tcPr>
          <w:p w14:paraId="2339DBF8" w14:textId="77777777" w:rsidR="006E3229" w:rsidRDefault="006E3229">
            <w:pPr>
              <w:rPr>
                <w:szCs w:val="22"/>
              </w:rPr>
            </w:pPr>
          </w:p>
        </w:tc>
      </w:tr>
      <w:tr w:rsidR="006E3229" w14:paraId="59AD5D49" w14:textId="77777777">
        <w:trPr>
          <w:trHeight w:val="300"/>
        </w:trPr>
        <w:tc>
          <w:tcPr>
            <w:tcW w:w="1008" w:type="dxa"/>
            <w:tcBorders>
              <w:top w:val="single" w:sz="6" w:space="0" w:color="auto"/>
              <w:left w:val="single" w:sz="6" w:space="0" w:color="auto"/>
              <w:bottom w:val="single" w:sz="6" w:space="0" w:color="auto"/>
              <w:right w:val="single" w:sz="6" w:space="0" w:color="auto"/>
            </w:tcBorders>
            <w:tcMar>
              <w:left w:w="105" w:type="dxa"/>
              <w:right w:w="105" w:type="dxa"/>
            </w:tcMar>
          </w:tcPr>
          <w:p w14:paraId="2AFE229D" w14:textId="77777777" w:rsidR="006E3229" w:rsidRDefault="00B43C9C">
            <w:pPr>
              <w:jc w:val="center"/>
              <w:rPr>
                <w:color w:val="000000" w:themeColor="text1"/>
                <w:szCs w:val="22"/>
              </w:rPr>
            </w:pPr>
            <w:r>
              <w:rPr>
                <w:b/>
                <w:color w:val="000000" w:themeColor="text1"/>
              </w:rPr>
              <w:t>Etapa 8</w:t>
            </w:r>
          </w:p>
        </w:tc>
        <w:tc>
          <w:tcPr>
            <w:tcW w:w="3752" w:type="dxa"/>
            <w:tcBorders>
              <w:top w:val="single" w:sz="6" w:space="0" w:color="auto"/>
              <w:left w:val="single" w:sz="6" w:space="0" w:color="auto"/>
              <w:bottom w:val="single" w:sz="6" w:space="0" w:color="auto"/>
              <w:right w:val="single" w:sz="6" w:space="0" w:color="auto"/>
            </w:tcBorders>
            <w:tcMar>
              <w:left w:w="105" w:type="dxa"/>
              <w:right w:w="105" w:type="dxa"/>
            </w:tcMar>
          </w:tcPr>
          <w:p w14:paraId="7282A24C" w14:textId="77777777" w:rsidR="006E3229" w:rsidRDefault="00B43C9C">
            <w:pPr>
              <w:rPr>
                <w:color w:val="000000" w:themeColor="text1"/>
                <w:szCs w:val="22"/>
              </w:rPr>
            </w:pPr>
            <w:r>
              <w:rPr>
                <w:color w:val="000000" w:themeColor="text1"/>
              </w:rPr>
              <w:t>No mezcle el medicamento con ningún líquido antes de su administración.</w:t>
            </w:r>
          </w:p>
          <w:p w14:paraId="18991F78" w14:textId="77777777" w:rsidR="006E3229" w:rsidRDefault="00B43C9C">
            <w:pPr>
              <w:rPr>
                <w:color w:val="000000" w:themeColor="text1"/>
                <w:szCs w:val="22"/>
              </w:rPr>
            </w:pPr>
            <w:r>
              <w:rPr>
                <w:color w:val="000000" w:themeColor="text1"/>
              </w:rPr>
              <w:lastRenderedPageBreak/>
              <w:t>El paciente debe sentarse en posición vertical al tomar el medicamento.</w:t>
            </w:r>
          </w:p>
          <w:p w14:paraId="4558FAC3" w14:textId="77777777" w:rsidR="006E3229" w:rsidRDefault="00B43C9C">
            <w:pPr>
              <w:rPr>
                <w:color w:val="000000" w:themeColor="text1"/>
                <w:szCs w:val="22"/>
              </w:rPr>
            </w:pPr>
            <w:r>
              <w:rPr>
                <w:color w:val="000000" w:themeColor="text1"/>
              </w:rPr>
              <w:t xml:space="preserve">Vacíe la jeringa directamente en la boca. </w:t>
            </w:r>
          </w:p>
          <w:p w14:paraId="0198DF37" w14:textId="77777777" w:rsidR="006E3229" w:rsidRDefault="006E3229">
            <w:pPr>
              <w:rPr>
                <w:color w:val="000000" w:themeColor="text1"/>
                <w:szCs w:val="22"/>
              </w:rPr>
            </w:pPr>
          </w:p>
          <w:p w14:paraId="60B7E252" w14:textId="77777777" w:rsidR="006E3229" w:rsidRDefault="00B43C9C">
            <w:pPr>
              <w:rPr>
                <w:color w:val="000000" w:themeColor="text1"/>
                <w:szCs w:val="22"/>
              </w:rPr>
            </w:pPr>
            <w:r>
              <w:rPr>
                <w:color w:val="000000" w:themeColor="text1"/>
              </w:rPr>
              <w:t>Presione suavemente el émbolo para vaciar la jeringa. No lo empuje con fuerza.</w:t>
            </w:r>
          </w:p>
          <w:p w14:paraId="09725D7A" w14:textId="77777777" w:rsidR="006E3229" w:rsidRDefault="00B43C9C">
            <w:pPr>
              <w:rPr>
                <w:szCs w:val="22"/>
              </w:rPr>
            </w:pPr>
            <w:r>
              <w:t>Para evitar el riesgo de atragantamiento, asegúrese de que el medicamento no sale directamente hacia la parte posterior de la boca o la garganta.</w:t>
            </w:r>
          </w:p>
          <w:p w14:paraId="0378CFAA" w14:textId="77777777" w:rsidR="006E3229" w:rsidRDefault="00B43C9C">
            <w:pPr>
              <w:rPr>
                <w:color w:val="000000" w:themeColor="text1"/>
                <w:szCs w:val="22"/>
              </w:rPr>
            </w:pPr>
            <w:r>
              <w:br/>
            </w:r>
          </w:p>
        </w:tc>
        <w:tc>
          <w:tcPr>
            <w:tcW w:w="4300" w:type="dxa"/>
            <w:tcBorders>
              <w:top w:val="single" w:sz="6" w:space="0" w:color="auto"/>
              <w:left w:val="single" w:sz="6" w:space="0" w:color="auto"/>
              <w:bottom w:val="single" w:sz="6" w:space="0" w:color="auto"/>
              <w:right w:val="single" w:sz="6" w:space="0" w:color="auto"/>
            </w:tcBorders>
            <w:tcMar>
              <w:left w:w="105" w:type="dxa"/>
              <w:right w:w="105" w:type="dxa"/>
            </w:tcMar>
          </w:tcPr>
          <w:p w14:paraId="4CC36507" w14:textId="77777777" w:rsidR="006E3229" w:rsidRDefault="006E3229"/>
          <w:p w14:paraId="7F07A730" w14:textId="77777777" w:rsidR="006E3229" w:rsidRDefault="006E3229"/>
          <w:p w14:paraId="63A5E0FC" w14:textId="77777777" w:rsidR="006E3229" w:rsidRDefault="006E3229"/>
          <w:p w14:paraId="6DB509D2" w14:textId="77777777" w:rsidR="006E3229" w:rsidRDefault="006E3229"/>
          <w:p w14:paraId="5546BB2B" w14:textId="77777777" w:rsidR="006E3229" w:rsidRDefault="006E3229"/>
          <w:p w14:paraId="15874075" w14:textId="77777777" w:rsidR="006E3229" w:rsidRDefault="006E3229"/>
          <w:p w14:paraId="00C08832" w14:textId="77777777" w:rsidR="006E3229" w:rsidRDefault="006E3229"/>
          <w:p w14:paraId="7535A8C6" w14:textId="77777777" w:rsidR="006E3229" w:rsidRDefault="006E3229"/>
          <w:p w14:paraId="2698A021" w14:textId="77777777" w:rsidR="006E3229" w:rsidRDefault="00B43C9C">
            <w:r>
              <w:rPr>
                <w:noProof/>
                <w:lang w:eastAsia="es-ES"/>
              </w:rPr>
              <w:drawing>
                <wp:inline distT="0" distB="0" distL="0" distR="0" wp14:anchorId="6ECE605B" wp14:editId="0137A3AC">
                  <wp:extent cx="1543050" cy="1371600"/>
                  <wp:effectExtent l="0" t="0" r="0" b="0"/>
                  <wp:docPr id="1286861582" name="Picture 1286861582"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861582" name="Picture 1286861582" descr="Diagram&#10;&#10;Description automatically generated with low confidence"/>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43050" cy="1371600"/>
                          </a:xfrm>
                          <a:prstGeom prst="rect">
                            <a:avLst/>
                          </a:prstGeom>
                        </pic:spPr>
                      </pic:pic>
                    </a:graphicData>
                  </a:graphic>
                </wp:inline>
              </w:drawing>
            </w:r>
          </w:p>
          <w:p w14:paraId="4843DC18" w14:textId="77777777" w:rsidR="006E3229" w:rsidRDefault="006E3229"/>
          <w:p w14:paraId="6E5F50D8" w14:textId="77777777" w:rsidR="006E3229" w:rsidRDefault="00B43C9C">
            <w:pPr>
              <w:rPr>
                <w:szCs w:val="22"/>
              </w:rPr>
            </w:pPr>
            <w:r>
              <w:t xml:space="preserve"> </w:t>
            </w:r>
          </w:p>
        </w:tc>
      </w:tr>
      <w:tr w:rsidR="006E3229" w14:paraId="6B81BF74" w14:textId="77777777">
        <w:trPr>
          <w:trHeight w:val="300"/>
        </w:trPr>
        <w:tc>
          <w:tcPr>
            <w:tcW w:w="1008" w:type="dxa"/>
            <w:tcBorders>
              <w:top w:val="single" w:sz="6" w:space="0" w:color="auto"/>
              <w:left w:val="single" w:sz="6" w:space="0" w:color="auto"/>
              <w:bottom w:val="single" w:sz="6" w:space="0" w:color="auto"/>
              <w:right w:val="nil"/>
            </w:tcBorders>
            <w:shd w:val="clear" w:color="auto" w:fill="D9D9D9" w:themeFill="background1" w:themeFillShade="D9"/>
            <w:tcMar>
              <w:left w:w="105" w:type="dxa"/>
              <w:right w:w="105" w:type="dxa"/>
            </w:tcMar>
          </w:tcPr>
          <w:p w14:paraId="6AE0AC3C" w14:textId="77777777" w:rsidR="006E3229" w:rsidRDefault="006E3229">
            <w:pPr>
              <w:keepNext/>
              <w:jc w:val="center"/>
              <w:rPr>
                <w:color w:val="000000" w:themeColor="text1"/>
                <w:szCs w:val="22"/>
              </w:rPr>
            </w:pPr>
          </w:p>
        </w:tc>
        <w:tc>
          <w:tcPr>
            <w:tcW w:w="3752" w:type="dxa"/>
            <w:tcBorders>
              <w:top w:val="single" w:sz="6" w:space="0" w:color="auto"/>
              <w:left w:val="nil"/>
              <w:bottom w:val="single" w:sz="6" w:space="0" w:color="auto"/>
              <w:right w:val="nil"/>
            </w:tcBorders>
            <w:shd w:val="clear" w:color="auto" w:fill="D9D9D9" w:themeFill="background1" w:themeFillShade="D9"/>
            <w:tcMar>
              <w:left w:w="105" w:type="dxa"/>
              <w:right w:w="105" w:type="dxa"/>
            </w:tcMar>
          </w:tcPr>
          <w:p w14:paraId="483C5728" w14:textId="77777777" w:rsidR="006E3229" w:rsidRDefault="00B43C9C">
            <w:pPr>
              <w:keepNext/>
              <w:rPr>
                <w:color w:val="000000" w:themeColor="text1"/>
                <w:szCs w:val="22"/>
              </w:rPr>
            </w:pPr>
            <w:r>
              <w:rPr>
                <w:b/>
                <w:color w:val="000000" w:themeColor="text1"/>
              </w:rPr>
              <w:t>Después de administrar AGAMREE</w:t>
            </w:r>
          </w:p>
        </w:tc>
        <w:tc>
          <w:tcPr>
            <w:tcW w:w="4300" w:type="dxa"/>
            <w:tcBorders>
              <w:top w:val="single" w:sz="6" w:space="0" w:color="auto"/>
              <w:left w:val="nil"/>
              <w:bottom w:val="single" w:sz="6" w:space="0" w:color="auto"/>
              <w:right w:val="single" w:sz="6" w:space="0" w:color="auto"/>
            </w:tcBorders>
            <w:shd w:val="clear" w:color="auto" w:fill="D9D9D9" w:themeFill="background1" w:themeFillShade="D9"/>
            <w:tcMar>
              <w:left w:w="105" w:type="dxa"/>
              <w:right w:w="105" w:type="dxa"/>
            </w:tcMar>
          </w:tcPr>
          <w:p w14:paraId="4DE87FF5" w14:textId="77777777" w:rsidR="006E3229" w:rsidRDefault="006E3229">
            <w:pPr>
              <w:rPr>
                <w:szCs w:val="22"/>
              </w:rPr>
            </w:pPr>
          </w:p>
        </w:tc>
      </w:tr>
      <w:tr w:rsidR="006E3229" w14:paraId="00CF5092" w14:textId="77777777">
        <w:trPr>
          <w:trHeight w:val="300"/>
        </w:trPr>
        <w:tc>
          <w:tcPr>
            <w:tcW w:w="1008" w:type="dxa"/>
            <w:tcBorders>
              <w:top w:val="single" w:sz="6" w:space="0" w:color="auto"/>
              <w:left w:val="single" w:sz="6" w:space="0" w:color="auto"/>
              <w:bottom w:val="single" w:sz="6" w:space="0" w:color="auto"/>
              <w:right w:val="single" w:sz="6" w:space="0" w:color="auto"/>
            </w:tcBorders>
            <w:tcMar>
              <w:left w:w="105" w:type="dxa"/>
              <w:right w:w="105" w:type="dxa"/>
            </w:tcMar>
          </w:tcPr>
          <w:p w14:paraId="6B9AC318" w14:textId="77777777" w:rsidR="006E3229" w:rsidRDefault="00B43C9C">
            <w:pPr>
              <w:jc w:val="center"/>
              <w:rPr>
                <w:color w:val="000000" w:themeColor="text1"/>
                <w:szCs w:val="22"/>
              </w:rPr>
            </w:pPr>
            <w:r>
              <w:rPr>
                <w:b/>
                <w:color w:val="000000" w:themeColor="text1"/>
              </w:rPr>
              <w:t>Paso 9</w:t>
            </w:r>
          </w:p>
        </w:tc>
        <w:tc>
          <w:tcPr>
            <w:tcW w:w="3752" w:type="dxa"/>
            <w:tcBorders>
              <w:top w:val="single" w:sz="6" w:space="0" w:color="auto"/>
              <w:left w:val="single" w:sz="6" w:space="0" w:color="auto"/>
              <w:bottom w:val="single" w:sz="6" w:space="0" w:color="auto"/>
              <w:right w:val="single" w:sz="6" w:space="0" w:color="auto"/>
            </w:tcBorders>
            <w:tcMar>
              <w:left w:w="105" w:type="dxa"/>
              <w:right w:w="105" w:type="dxa"/>
            </w:tcMar>
          </w:tcPr>
          <w:p w14:paraId="2B3B5699" w14:textId="77777777" w:rsidR="006E3229" w:rsidRDefault="00B43C9C">
            <w:pPr>
              <w:rPr>
                <w:color w:val="000000" w:themeColor="text1"/>
                <w:szCs w:val="22"/>
              </w:rPr>
            </w:pPr>
            <w:r>
              <w:rPr>
                <w:color w:val="000000" w:themeColor="text1"/>
              </w:rPr>
              <w:t>Cierre el frasco con el tapón a prueba de niños después de cada uso.</w:t>
            </w:r>
          </w:p>
          <w:p w14:paraId="1E75EE32" w14:textId="77777777" w:rsidR="006E3229" w:rsidRDefault="006E3229">
            <w:pPr>
              <w:rPr>
                <w:color w:val="000000" w:themeColor="text1"/>
                <w:szCs w:val="22"/>
              </w:rPr>
            </w:pPr>
          </w:p>
        </w:tc>
        <w:tc>
          <w:tcPr>
            <w:tcW w:w="4300" w:type="dxa"/>
            <w:tcBorders>
              <w:top w:val="single" w:sz="6" w:space="0" w:color="auto"/>
              <w:left w:val="single" w:sz="6" w:space="0" w:color="auto"/>
              <w:bottom w:val="single" w:sz="6" w:space="0" w:color="auto"/>
              <w:right w:val="single" w:sz="6" w:space="0" w:color="auto"/>
            </w:tcBorders>
            <w:tcMar>
              <w:left w:w="105" w:type="dxa"/>
              <w:right w:w="105" w:type="dxa"/>
            </w:tcMar>
          </w:tcPr>
          <w:p w14:paraId="2D3FBA00" w14:textId="77777777" w:rsidR="006E3229" w:rsidRDefault="006E3229">
            <w:pPr>
              <w:rPr>
                <w:szCs w:val="22"/>
              </w:rPr>
            </w:pPr>
          </w:p>
        </w:tc>
      </w:tr>
      <w:tr w:rsidR="006E3229" w14:paraId="01897B42" w14:textId="77777777">
        <w:trPr>
          <w:trHeight w:val="300"/>
        </w:trPr>
        <w:tc>
          <w:tcPr>
            <w:tcW w:w="1008" w:type="dxa"/>
            <w:tcBorders>
              <w:top w:val="single" w:sz="6" w:space="0" w:color="auto"/>
              <w:left w:val="single" w:sz="6" w:space="0" w:color="auto"/>
              <w:bottom w:val="single" w:sz="6" w:space="0" w:color="auto"/>
              <w:right w:val="single" w:sz="6" w:space="0" w:color="auto"/>
            </w:tcBorders>
            <w:tcMar>
              <w:left w:w="105" w:type="dxa"/>
              <w:right w:w="105" w:type="dxa"/>
            </w:tcMar>
          </w:tcPr>
          <w:p w14:paraId="2C5297DA" w14:textId="77777777" w:rsidR="006E3229" w:rsidRDefault="00B43C9C">
            <w:pPr>
              <w:jc w:val="center"/>
              <w:rPr>
                <w:color w:val="000000" w:themeColor="text1"/>
                <w:szCs w:val="22"/>
              </w:rPr>
            </w:pPr>
            <w:r>
              <w:rPr>
                <w:b/>
                <w:color w:val="000000" w:themeColor="text1"/>
              </w:rPr>
              <w:t>Paso 10</w:t>
            </w:r>
          </w:p>
        </w:tc>
        <w:tc>
          <w:tcPr>
            <w:tcW w:w="3752" w:type="dxa"/>
            <w:tcBorders>
              <w:top w:val="single" w:sz="6" w:space="0" w:color="auto"/>
              <w:left w:val="single" w:sz="6" w:space="0" w:color="auto"/>
              <w:bottom w:val="single" w:sz="6" w:space="0" w:color="auto"/>
              <w:right w:val="single" w:sz="6" w:space="0" w:color="auto"/>
            </w:tcBorders>
            <w:tcMar>
              <w:left w:w="105" w:type="dxa"/>
              <w:right w:w="105" w:type="dxa"/>
            </w:tcMar>
          </w:tcPr>
          <w:p w14:paraId="7798637B" w14:textId="77777777" w:rsidR="006E3229" w:rsidRDefault="00B43C9C">
            <w:pPr>
              <w:spacing w:before="100" w:beforeAutospacing="1" w:after="100" w:afterAutospacing="1"/>
              <w:rPr>
                <w:color w:val="000000" w:themeColor="text1"/>
                <w:szCs w:val="22"/>
              </w:rPr>
            </w:pPr>
            <w:r>
              <w:rPr>
                <w:color w:val="000000" w:themeColor="text1"/>
              </w:rPr>
              <w:t>Desmonte la jeringa de uso oral, enjuáguela con agua fría del grifo y séquela al aire antes de su siguiente uso.</w:t>
            </w:r>
          </w:p>
          <w:p w14:paraId="2C2D507F" w14:textId="77777777" w:rsidR="006E3229" w:rsidRDefault="00B43C9C">
            <w:pPr>
              <w:rPr>
                <w:color w:val="000000" w:themeColor="text1"/>
                <w:szCs w:val="22"/>
              </w:rPr>
            </w:pPr>
            <w:r>
              <w:rPr>
                <w:color w:val="000000" w:themeColor="text1"/>
              </w:rPr>
              <w:t>Cada jeringa de uso oral suministrada con AGAMREE puede utilizarse durante un máximo de 45 días.</w:t>
            </w:r>
          </w:p>
        </w:tc>
        <w:tc>
          <w:tcPr>
            <w:tcW w:w="4300" w:type="dxa"/>
            <w:tcBorders>
              <w:top w:val="single" w:sz="6" w:space="0" w:color="auto"/>
              <w:left w:val="single" w:sz="6" w:space="0" w:color="auto"/>
              <w:bottom w:val="single" w:sz="6" w:space="0" w:color="auto"/>
              <w:right w:val="single" w:sz="6" w:space="0" w:color="auto"/>
            </w:tcBorders>
            <w:tcMar>
              <w:left w:w="105" w:type="dxa"/>
              <w:right w:w="105" w:type="dxa"/>
            </w:tcMar>
          </w:tcPr>
          <w:p w14:paraId="6175DC18" w14:textId="77777777" w:rsidR="006E3229" w:rsidRDefault="006E3229">
            <w:pPr>
              <w:rPr>
                <w:szCs w:val="22"/>
              </w:rPr>
            </w:pPr>
          </w:p>
        </w:tc>
      </w:tr>
    </w:tbl>
    <w:p w14:paraId="124A5418" w14:textId="77777777" w:rsidR="006E3229" w:rsidRDefault="006E3229">
      <w:pPr>
        <w:tabs>
          <w:tab w:val="clear" w:pos="567"/>
        </w:tabs>
        <w:spacing w:line="240" w:lineRule="auto"/>
        <w:ind w:right="-2"/>
      </w:pPr>
    </w:p>
    <w:p w14:paraId="3B92006D" w14:textId="77777777" w:rsidR="00F0205B" w:rsidRDefault="00F0205B" w:rsidP="00F0205B">
      <w:pPr>
        <w:keepNext/>
        <w:keepLines/>
        <w:numPr>
          <w:ilvl w:val="12"/>
          <w:numId w:val="0"/>
        </w:numPr>
        <w:tabs>
          <w:tab w:val="clear" w:pos="567"/>
        </w:tabs>
        <w:spacing w:line="240" w:lineRule="auto"/>
        <w:rPr>
          <w:b/>
          <w:bCs/>
          <w:szCs w:val="22"/>
        </w:rPr>
      </w:pPr>
      <w:r>
        <w:rPr>
          <w:b/>
          <w:bCs/>
          <w:szCs w:val="22"/>
        </w:rPr>
        <w:t>Sonda de alimentación enteral</w:t>
      </w:r>
    </w:p>
    <w:p w14:paraId="6B273BCC" w14:textId="0F590F43" w:rsidR="00F0205B" w:rsidRDefault="00F0205B" w:rsidP="00F0205B">
      <w:pPr>
        <w:keepNext/>
        <w:keepLines/>
        <w:tabs>
          <w:tab w:val="clear" w:pos="567"/>
        </w:tabs>
        <w:spacing w:line="240" w:lineRule="auto"/>
      </w:pPr>
      <w:r>
        <w:t>AGAMREE</w:t>
      </w:r>
      <w:r w:rsidR="0060613E">
        <w:t xml:space="preserve"> se</w:t>
      </w:r>
      <w:r>
        <w:t xml:space="preserve"> puede administrar a través de una sonda de alimentación enteral, siguiendo las instrucciones incluidas en el kit de la sonda de alimentación enteral. </w:t>
      </w:r>
      <w:r w:rsidR="0060613E">
        <w:t>Se d</w:t>
      </w:r>
      <w:r>
        <w:t xml:space="preserve">ebe utilizar la dosis prescrita habitual de AGAMREE, no es necesaria su dilución. No mezclar con la fórmula de alimentación enteral u otros productos. La sonda de alimentación enteral debe enjuagarse antes y después de la administración de AGAMREE, utilizando la jeringa proporcionada en el kit de la sonda de alimentación enteral. </w:t>
      </w:r>
      <w:r w:rsidR="0060613E">
        <w:t>Se d</w:t>
      </w:r>
      <w:r>
        <w:t xml:space="preserve">ebe utilizar un mínimo de 20 ml de agua para enjuagar la sonda de alimentación enteral. </w:t>
      </w:r>
    </w:p>
    <w:p w14:paraId="14417CF5" w14:textId="77777777" w:rsidR="006E3229" w:rsidRDefault="006E3229">
      <w:pPr>
        <w:tabs>
          <w:tab w:val="clear" w:pos="567"/>
        </w:tabs>
        <w:spacing w:line="240" w:lineRule="auto"/>
        <w:ind w:right="-2"/>
      </w:pPr>
    </w:p>
    <w:p w14:paraId="2F638AB6" w14:textId="77777777" w:rsidR="006E3229" w:rsidRDefault="00B43C9C">
      <w:pPr>
        <w:keepNext/>
        <w:numPr>
          <w:ilvl w:val="12"/>
          <w:numId w:val="0"/>
        </w:numPr>
        <w:tabs>
          <w:tab w:val="clear" w:pos="567"/>
        </w:tabs>
        <w:spacing w:line="240" w:lineRule="auto"/>
        <w:rPr>
          <w:b/>
          <w:bCs/>
          <w:szCs w:val="22"/>
        </w:rPr>
      </w:pPr>
      <w:r>
        <w:rPr>
          <w:b/>
        </w:rPr>
        <w:t>Si toma más AGAMREE del que debe</w:t>
      </w:r>
    </w:p>
    <w:p w14:paraId="18CD3B71" w14:textId="77777777" w:rsidR="006E3229" w:rsidRDefault="00B43C9C">
      <w:pPr>
        <w:tabs>
          <w:tab w:val="clear" w:pos="567"/>
        </w:tabs>
        <w:spacing w:line="240" w:lineRule="auto"/>
      </w:pPr>
      <w:r>
        <w:t>Si toma demasiado AGAMREE, póngase en contacto con su médico o con un hospital para que le asesoren. Muestre el envase de AGAMREE y este prospecto. Puede ser necesario un tratamiento médico.</w:t>
      </w:r>
    </w:p>
    <w:p w14:paraId="146E10EE" w14:textId="77777777" w:rsidR="006E3229" w:rsidRDefault="006E3229">
      <w:pPr>
        <w:numPr>
          <w:ilvl w:val="12"/>
          <w:numId w:val="0"/>
        </w:numPr>
        <w:tabs>
          <w:tab w:val="clear" w:pos="567"/>
        </w:tabs>
        <w:spacing w:line="240" w:lineRule="auto"/>
        <w:ind w:right="-2"/>
        <w:rPr>
          <w:szCs w:val="22"/>
        </w:rPr>
      </w:pPr>
    </w:p>
    <w:p w14:paraId="5D8C3ABF" w14:textId="77777777" w:rsidR="006E3229" w:rsidRDefault="00B43C9C">
      <w:pPr>
        <w:keepNext/>
        <w:tabs>
          <w:tab w:val="clear" w:pos="567"/>
        </w:tabs>
        <w:autoSpaceDE w:val="0"/>
        <w:autoSpaceDN w:val="0"/>
        <w:adjustRightInd w:val="0"/>
        <w:spacing w:line="240" w:lineRule="auto"/>
        <w:rPr>
          <w:rFonts w:eastAsia="SimSun"/>
          <w:b/>
          <w:bCs/>
        </w:rPr>
      </w:pPr>
      <w:r>
        <w:rPr>
          <w:b/>
        </w:rPr>
        <w:t>Si olvidó tomar AGAMREE</w:t>
      </w:r>
    </w:p>
    <w:p w14:paraId="67B6ABBE" w14:textId="77777777" w:rsidR="006E3229" w:rsidRDefault="00B43C9C">
      <w:pPr>
        <w:tabs>
          <w:tab w:val="clear" w:pos="567"/>
        </w:tabs>
        <w:spacing w:line="240" w:lineRule="auto"/>
      </w:pPr>
      <w:r>
        <w:t>No tome más AGAMREE y no repita la dosis.</w:t>
      </w:r>
    </w:p>
    <w:p w14:paraId="65E7899D" w14:textId="77777777" w:rsidR="006E3229" w:rsidRDefault="00B43C9C">
      <w:pPr>
        <w:tabs>
          <w:tab w:val="clear" w:pos="567"/>
        </w:tabs>
        <w:spacing w:line="240" w:lineRule="auto"/>
      </w:pPr>
      <w:r>
        <w:t>Tome la siguiente dosis como lo haría normalmente.</w:t>
      </w:r>
    </w:p>
    <w:p w14:paraId="7E9733F5" w14:textId="77777777" w:rsidR="006E3229" w:rsidRDefault="00B43C9C">
      <w:pPr>
        <w:tabs>
          <w:tab w:val="clear" w:pos="567"/>
        </w:tabs>
        <w:spacing w:line="240" w:lineRule="auto"/>
      </w:pPr>
      <w:r>
        <w:t>Hable con su profesional sanitario si está preocupado.</w:t>
      </w:r>
    </w:p>
    <w:p w14:paraId="09B13BBD" w14:textId="77777777" w:rsidR="006E3229" w:rsidRDefault="006E3229">
      <w:pPr>
        <w:tabs>
          <w:tab w:val="clear" w:pos="567"/>
        </w:tabs>
        <w:spacing w:line="240" w:lineRule="auto"/>
        <w:ind w:right="-2"/>
      </w:pPr>
    </w:p>
    <w:p w14:paraId="6F4D6D57" w14:textId="77777777" w:rsidR="006E3229" w:rsidRDefault="00B43C9C">
      <w:pPr>
        <w:keepNext/>
        <w:numPr>
          <w:ilvl w:val="12"/>
          <w:numId w:val="0"/>
        </w:numPr>
        <w:tabs>
          <w:tab w:val="clear" w:pos="567"/>
        </w:tabs>
        <w:spacing w:line="240" w:lineRule="auto"/>
        <w:rPr>
          <w:b/>
          <w:bCs/>
          <w:szCs w:val="22"/>
        </w:rPr>
      </w:pPr>
      <w:r>
        <w:rPr>
          <w:b/>
        </w:rPr>
        <w:t>Si interrumpe el tratamiento con AGAMREE</w:t>
      </w:r>
    </w:p>
    <w:p w14:paraId="08689ED7" w14:textId="77777777" w:rsidR="006E3229" w:rsidRDefault="00B43C9C">
      <w:pPr>
        <w:tabs>
          <w:tab w:val="clear" w:pos="567"/>
        </w:tabs>
        <w:spacing w:line="240" w:lineRule="auto"/>
      </w:pPr>
      <w:r>
        <w:t>Tome AGAMREE durante el tiempo que le indique su médico. Consulte a su médico antes de interrumpir el tratamiento con AGAMREE, ya que es necesario reducir gradualmente la dosis para evitar reacciones adversas.</w:t>
      </w:r>
    </w:p>
    <w:p w14:paraId="30A257E0" w14:textId="77777777" w:rsidR="006E3229" w:rsidRDefault="006E3229">
      <w:pPr>
        <w:tabs>
          <w:tab w:val="clear" w:pos="567"/>
        </w:tabs>
        <w:spacing w:line="240" w:lineRule="auto"/>
        <w:ind w:right="-2"/>
      </w:pPr>
    </w:p>
    <w:p w14:paraId="5F1207F0" w14:textId="77777777" w:rsidR="006E3229" w:rsidRDefault="00B43C9C">
      <w:pPr>
        <w:tabs>
          <w:tab w:val="clear" w:pos="567"/>
        </w:tabs>
        <w:spacing w:line="240" w:lineRule="auto"/>
        <w:ind w:right="-2"/>
      </w:pPr>
      <w:r>
        <w:t>Si tiene cualquier otra duda sobre el uso de este medicamento, pregunte a su médico o farmacéutico.</w:t>
      </w:r>
    </w:p>
    <w:p w14:paraId="51C75AAD" w14:textId="77777777" w:rsidR="006E3229" w:rsidRDefault="006E3229">
      <w:pPr>
        <w:numPr>
          <w:ilvl w:val="12"/>
          <w:numId w:val="0"/>
        </w:numPr>
        <w:tabs>
          <w:tab w:val="clear" w:pos="567"/>
        </w:tabs>
        <w:spacing w:line="240" w:lineRule="auto"/>
      </w:pPr>
    </w:p>
    <w:p w14:paraId="67EE8C8A" w14:textId="77777777" w:rsidR="006E3229" w:rsidRDefault="006E3229">
      <w:pPr>
        <w:numPr>
          <w:ilvl w:val="12"/>
          <w:numId w:val="0"/>
        </w:numPr>
        <w:tabs>
          <w:tab w:val="clear" w:pos="567"/>
        </w:tabs>
        <w:spacing w:line="240" w:lineRule="auto"/>
      </w:pPr>
    </w:p>
    <w:p w14:paraId="45928757" w14:textId="77777777" w:rsidR="006E3229" w:rsidRDefault="00B43C9C">
      <w:pPr>
        <w:keepNext/>
        <w:numPr>
          <w:ilvl w:val="12"/>
          <w:numId w:val="0"/>
        </w:numPr>
        <w:tabs>
          <w:tab w:val="clear" w:pos="567"/>
        </w:tabs>
        <w:spacing w:line="240" w:lineRule="auto"/>
        <w:ind w:left="567" w:right="-2" w:hanging="567"/>
      </w:pPr>
      <w:r>
        <w:rPr>
          <w:rStyle w:val="DNEx2"/>
        </w:rPr>
        <w:lastRenderedPageBreak/>
        <w:t>4.</w:t>
      </w:r>
      <w:r>
        <w:rPr>
          <w:rStyle w:val="DNEx2"/>
        </w:rPr>
        <w:tab/>
      </w:r>
      <w:r>
        <w:rPr>
          <w:b/>
        </w:rPr>
        <w:t>Posibles efectos adversos</w:t>
      </w:r>
    </w:p>
    <w:p w14:paraId="215EDC17" w14:textId="77777777" w:rsidR="006E3229" w:rsidRDefault="006E3229">
      <w:pPr>
        <w:keepNext/>
        <w:numPr>
          <w:ilvl w:val="12"/>
          <w:numId w:val="0"/>
        </w:numPr>
        <w:tabs>
          <w:tab w:val="clear" w:pos="567"/>
        </w:tabs>
        <w:spacing w:line="240" w:lineRule="auto"/>
      </w:pPr>
    </w:p>
    <w:p w14:paraId="4F2E1CC5" w14:textId="77777777" w:rsidR="006E3229" w:rsidRDefault="00B43C9C">
      <w:pPr>
        <w:tabs>
          <w:tab w:val="clear" w:pos="567"/>
        </w:tabs>
        <w:spacing w:line="240" w:lineRule="auto"/>
        <w:ind w:right="-29"/>
      </w:pPr>
      <w:r>
        <w:t>Al igual que todos los medicamentos, este medicamento puede producir efectos adversos, aunque no todas las personas los sufran.</w:t>
      </w:r>
    </w:p>
    <w:p w14:paraId="3712972C" w14:textId="77777777" w:rsidR="006E3229" w:rsidRDefault="006E3229">
      <w:pPr>
        <w:numPr>
          <w:ilvl w:val="12"/>
          <w:numId w:val="0"/>
        </w:numPr>
        <w:tabs>
          <w:tab w:val="clear" w:pos="567"/>
        </w:tabs>
        <w:spacing w:line="240" w:lineRule="auto"/>
        <w:ind w:right="-29"/>
        <w:rPr>
          <w:szCs w:val="22"/>
        </w:rPr>
      </w:pPr>
    </w:p>
    <w:p w14:paraId="5F3E3226" w14:textId="77777777" w:rsidR="006E3229" w:rsidRDefault="00B43C9C">
      <w:pPr>
        <w:tabs>
          <w:tab w:val="clear" w:pos="567"/>
        </w:tabs>
        <w:spacing w:line="240" w:lineRule="auto"/>
        <w:ind w:right="-29"/>
      </w:pPr>
      <w:r>
        <w:t>El tratamiento con AGAMREE provoca insuficiencia suprarrenal. Consulte a su médico antes de empezar a tomar AGAMREE (consultar la sección 2 para más información).</w:t>
      </w:r>
    </w:p>
    <w:p w14:paraId="7016BA5D" w14:textId="77777777" w:rsidR="006E3229" w:rsidRDefault="006E3229">
      <w:pPr>
        <w:tabs>
          <w:tab w:val="clear" w:pos="567"/>
        </w:tabs>
        <w:spacing w:line="240" w:lineRule="auto"/>
        <w:ind w:right="-29"/>
      </w:pPr>
    </w:p>
    <w:p w14:paraId="32F86478" w14:textId="77777777" w:rsidR="006E3229" w:rsidRDefault="00B43C9C">
      <w:pPr>
        <w:keepNext/>
        <w:numPr>
          <w:ilvl w:val="12"/>
          <w:numId w:val="0"/>
        </w:numPr>
        <w:tabs>
          <w:tab w:val="clear" w:pos="567"/>
        </w:tabs>
        <w:spacing w:line="240" w:lineRule="auto"/>
        <w:ind w:right="-29"/>
        <w:rPr>
          <w:szCs w:val="22"/>
        </w:rPr>
      </w:pPr>
      <w:r>
        <w:t>Se han notificado los siguientes efectos adversos con AGAMREE con una categoría de muy frecuentes (pueden afectar a más de 1 de cada 10 personas):</w:t>
      </w:r>
    </w:p>
    <w:p w14:paraId="7E330B9C" w14:textId="77777777" w:rsidR="006E3229" w:rsidRDefault="006E3229">
      <w:pPr>
        <w:keepNext/>
        <w:numPr>
          <w:ilvl w:val="12"/>
          <w:numId w:val="0"/>
        </w:numPr>
        <w:tabs>
          <w:tab w:val="clear" w:pos="567"/>
        </w:tabs>
        <w:spacing w:line="240" w:lineRule="auto"/>
        <w:ind w:right="-28"/>
        <w:rPr>
          <w:szCs w:val="22"/>
        </w:rPr>
      </w:pPr>
    </w:p>
    <w:p w14:paraId="07514C79" w14:textId="77777777" w:rsidR="006E3229" w:rsidRDefault="00B43C9C">
      <w:pPr>
        <w:pStyle w:val="ListParagraph"/>
        <w:numPr>
          <w:ilvl w:val="0"/>
          <w:numId w:val="7"/>
        </w:numPr>
        <w:spacing w:line="240" w:lineRule="auto"/>
        <w:ind w:left="567" w:hanging="567"/>
        <w:rPr>
          <w:rFonts w:eastAsia="SimSun"/>
          <w:szCs w:val="22"/>
        </w:rPr>
      </w:pPr>
      <w:r>
        <w:t>Aspecto hinchado y más redondeado de la cara (síndrome de Cushing)</w:t>
      </w:r>
    </w:p>
    <w:p w14:paraId="54EF678B" w14:textId="77777777" w:rsidR="006E3229" w:rsidRDefault="00B43C9C">
      <w:pPr>
        <w:pStyle w:val="ListParagraph"/>
        <w:numPr>
          <w:ilvl w:val="0"/>
          <w:numId w:val="7"/>
        </w:numPr>
        <w:spacing w:line="240" w:lineRule="auto"/>
        <w:ind w:left="567" w:hanging="567"/>
        <w:rPr>
          <w:rFonts w:eastAsia="SimSun"/>
          <w:szCs w:val="22"/>
        </w:rPr>
      </w:pPr>
      <w:r>
        <w:t>Aumento del peso corporal (aumento de peso)</w:t>
      </w:r>
    </w:p>
    <w:p w14:paraId="7F641210" w14:textId="77777777" w:rsidR="006E3229" w:rsidRDefault="00B43C9C">
      <w:pPr>
        <w:pStyle w:val="ListParagraph"/>
        <w:numPr>
          <w:ilvl w:val="0"/>
          <w:numId w:val="7"/>
        </w:numPr>
        <w:spacing w:line="240" w:lineRule="auto"/>
        <w:ind w:left="567" w:hanging="567"/>
        <w:rPr>
          <w:rFonts w:eastAsia="SimSun"/>
          <w:szCs w:val="22"/>
        </w:rPr>
      </w:pPr>
      <w:r>
        <w:t>Aumento del apetito</w:t>
      </w:r>
    </w:p>
    <w:p w14:paraId="3D15F676" w14:textId="77777777" w:rsidR="006E3229" w:rsidRDefault="00B43C9C">
      <w:pPr>
        <w:pStyle w:val="ListParagraph"/>
        <w:numPr>
          <w:ilvl w:val="0"/>
          <w:numId w:val="7"/>
        </w:numPr>
        <w:spacing w:line="240" w:lineRule="auto"/>
        <w:ind w:left="567" w:hanging="567"/>
        <w:rPr>
          <w:rFonts w:eastAsia="SimSun"/>
          <w:szCs w:val="22"/>
        </w:rPr>
      </w:pPr>
      <w:r>
        <w:t>Irritabilidad</w:t>
      </w:r>
    </w:p>
    <w:p w14:paraId="0E9CD015" w14:textId="77777777" w:rsidR="006E3229" w:rsidRDefault="00B43C9C">
      <w:pPr>
        <w:pStyle w:val="ListParagraph"/>
        <w:numPr>
          <w:ilvl w:val="0"/>
          <w:numId w:val="7"/>
        </w:numPr>
        <w:spacing w:line="240" w:lineRule="auto"/>
        <w:ind w:left="567" w:hanging="567"/>
        <w:rPr>
          <w:rFonts w:eastAsia="SimSun"/>
          <w:szCs w:val="22"/>
        </w:rPr>
      </w:pPr>
      <w:r>
        <w:t>Vómitos</w:t>
      </w:r>
    </w:p>
    <w:p w14:paraId="30E7667C" w14:textId="77777777" w:rsidR="006E3229" w:rsidRDefault="006E3229">
      <w:pPr>
        <w:spacing w:line="240" w:lineRule="auto"/>
        <w:ind w:right="-29"/>
      </w:pPr>
    </w:p>
    <w:p w14:paraId="38536702" w14:textId="3D8DA856" w:rsidR="006E3229" w:rsidRDefault="00B43C9C">
      <w:pPr>
        <w:keepNext/>
        <w:spacing w:line="240" w:lineRule="auto"/>
        <w:ind w:right="-29"/>
      </w:pPr>
      <w:r>
        <w:t>Se han notificado los siguientes efectos adversos con una categoría de frecuentes (pueden afectar hasta a 1 de cada 10 personas):</w:t>
      </w:r>
    </w:p>
    <w:p w14:paraId="72A387E6" w14:textId="77777777" w:rsidR="006E3229" w:rsidRDefault="006E3229">
      <w:pPr>
        <w:keepNext/>
        <w:spacing w:line="240" w:lineRule="auto"/>
        <w:ind w:right="-29"/>
      </w:pPr>
    </w:p>
    <w:p w14:paraId="06A16A09" w14:textId="77777777" w:rsidR="006E3229" w:rsidRDefault="00B43C9C">
      <w:pPr>
        <w:pStyle w:val="ListParagraph"/>
        <w:numPr>
          <w:ilvl w:val="0"/>
          <w:numId w:val="7"/>
        </w:numPr>
        <w:spacing w:line="240" w:lineRule="auto"/>
        <w:ind w:left="567" w:hanging="567"/>
        <w:rPr>
          <w:rFonts w:eastAsia="SimSun"/>
          <w:szCs w:val="22"/>
        </w:rPr>
      </w:pPr>
      <w:r>
        <w:t>Dolor de vientre (dolor abdominal)</w:t>
      </w:r>
    </w:p>
    <w:p w14:paraId="796D88E6" w14:textId="77777777" w:rsidR="006E3229" w:rsidRDefault="00B43C9C">
      <w:pPr>
        <w:pStyle w:val="ListParagraph"/>
        <w:numPr>
          <w:ilvl w:val="0"/>
          <w:numId w:val="7"/>
        </w:numPr>
        <w:spacing w:line="240" w:lineRule="auto"/>
        <w:ind w:left="567" w:hanging="567"/>
        <w:rPr>
          <w:rFonts w:eastAsia="SimSun"/>
          <w:szCs w:val="22"/>
        </w:rPr>
      </w:pPr>
      <w:r>
        <w:t>Dolor en la parte superior del vientre (dolor abdominal superior)</w:t>
      </w:r>
    </w:p>
    <w:p w14:paraId="7A29D125" w14:textId="77777777" w:rsidR="006E3229" w:rsidRDefault="00B43C9C">
      <w:pPr>
        <w:pStyle w:val="ListParagraph"/>
        <w:numPr>
          <w:ilvl w:val="0"/>
          <w:numId w:val="7"/>
        </w:numPr>
        <w:spacing w:line="240" w:lineRule="auto"/>
        <w:ind w:left="567" w:hanging="567"/>
        <w:rPr>
          <w:rFonts w:eastAsia="SimSun"/>
          <w:szCs w:val="22"/>
        </w:rPr>
      </w:pPr>
      <w:r>
        <w:t>Diarrea</w:t>
      </w:r>
    </w:p>
    <w:p w14:paraId="3149605E" w14:textId="77777777" w:rsidR="006E3229" w:rsidRDefault="00B43C9C">
      <w:pPr>
        <w:pStyle w:val="ListParagraph"/>
        <w:numPr>
          <w:ilvl w:val="0"/>
          <w:numId w:val="7"/>
        </w:numPr>
        <w:spacing w:line="240" w:lineRule="auto"/>
        <w:ind w:left="567" w:hanging="567"/>
        <w:rPr>
          <w:rFonts w:eastAsia="SimSun"/>
          <w:szCs w:val="22"/>
        </w:rPr>
      </w:pPr>
      <w:r>
        <w:t>Dolor de cabeza</w:t>
      </w:r>
    </w:p>
    <w:p w14:paraId="6702CD96" w14:textId="77777777" w:rsidR="006E3229" w:rsidRDefault="006E3229">
      <w:pPr>
        <w:spacing w:line="240" w:lineRule="auto"/>
        <w:ind w:right="-29"/>
        <w:rPr>
          <w:szCs w:val="22"/>
        </w:rPr>
      </w:pPr>
    </w:p>
    <w:p w14:paraId="7195F2B8" w14:textId="77777777" w:rsidR="006E3229" w:rsidRDefault="00B43C9C">
      <w:pPr>
        <w:keepNext/>
        <w:numPr>
          <w:ilvl w:val="12"/>
          <w:numId w:val="0"/>
        </w:numPr>
        <w:spacing w:line="240" w:lineRule="auto"/>
        <w:outlineLvl w:val="0"/>
        <w:rPr>
          <w:b/>
          <w:szCs w:val="22"/>
        </w:rPr>
      </w:pPr>
      <w:r>
        <w:rPr>
          <w:b/>
        </w:rPr>
        <w:t>Comunicación de efectos adversos</w:t>
      </w:r>
    </w:p>
    <w:p w14:paraId="208D6705" w14:textId="27003417" w:rsidR="006E3229" w:rsidRDefault="00B43C9C">
      <w:pPr>
        <w:pStyle w:val="Style4"/>
      </w:pPr>
      <w:r>
        <w:t xml:space="preserve">Si experimenta cualquier tipo de efecto adverso, consulte a su médico o farmacéutico, incluso si se trata de posibles efectos adversos que no aparecen en este prospecto. </w:t>
      </w:r>
      <w:r w:rsidR="00433B35" w:rsidRPr="00433B35">
        <w:t xml:space="preserve">También puede comunicarlos directamente a través del </w:t>
      </w:r>
      <w:r w:rsidR="00433B35" w:rsidRPr="00F800C3">
        <w:rPr>
          <w:highlight w:val="lightGray"/>
        </w:rPr>
        <w:t xml:space="preserve">sistema nacional de notificación incluido en el </w:t>
      </w:r>
      <w:hyperlink r:id="rId21" w:history="1">
        <w:r w:rsidR="00433B35" w:rsidRPr="00976A9F">
          <w:rPr>
            <w:rStyle w:val="Hyperlink"/>
            <w:highlight w:val="lightGray"/>
            <w:u w:val="none"/>
          </w:rPr>
          <w:t>Apéndice V</w:t>
        </w:r>
      </w:hyperlink>
      <w:r>
        <w:t>. Mediante la comunicación de efectos adversos usted puede contribuir a proporcionar más información sobre la seguridad de este medicamento.</w:t>
      </w:r>
    </w:p>
    <w:p w14:paraId="6BB5ED20" w14:textId="77777777" w:rsidR="006E3229" w:rsidRDefault="006E3229">
      <w:pPr>
        <w:pStyle w:val="BodytextAgency"/>
        <w:spacing w:after="0" w:line="240" w:lineRule="auto"/>
        <w:rPr>
          <w:rFonts w:ascii="Times New Roman" w:hAnsi="Times New Roman" w:cs="Times New Roman"/>
          <w:sz w:val="22"/>
          <w:szCs w:val="22"/>
        </w:rPr>
      </w:pPr>
    </w:p>
    <w:p w14:paraId="3D56DB50" w14:textId="77777777" w:rsidR="006E3229" w:rsidRDefault="006E3229">
      <w:pPr>
        <w:autoSpaceDE w:val="0"/>
        <w:autoSpaceDN w:val="0"/>
        <w:adjustRightInd w:val="0"/>
        <w:spacing w:line="240" w:lineRule="auto"/>
        <w:rPr>
          <w:szCs w:val="22"/>
        </w:rPr>
      </w:pPr>
    </w:p>
    <w:p w14:paraId="48285B1D" w14:textId="77777777" w:rsidR="006E3229" w:rsidRDefault="00B43C9C">
      <w:pPr>
        <w:keepNext/>
        <w:tabs>
          <w:tab w:val="clear" w:pos="567"/>
        </w:tabs>
        <w:spacing w:line="240" w:lineRule="auto"/>
        <w:ind w:left="567" w:hanging="567"/>
        <w:rPr>
          <w:b/>
          <w:bCs/>
        </w:rPr>
      </w:pPr>
      <w:r>
        <w:rPr>
          <w:rStyle w:val="DNEx2"/>
        </w:rPr>
        <w:t>5.</w:t>
      </w:r>
      <w:r>
        <w:rPr>
          <w:rStyle w:val="DNEx2"/>
        </w:rPr>
        <w:tab/>
      </w:r>
      <w:r>
        <w:rPr>
          <w:b/>
        </w:rPr>
        <w:t>Conservación de AGAMREE</w:t>
      </w:r>
    </w:p>
    <w:p w14:paraId="4F3C3336" w14:textId="77777777" w:rsidR="006E3229" w:rsidRDefault="006E3229">
      <w:pPr>
        <w:keepNext/>
        <w:numPr>
          <w:ilvl w:val="12"/>
          <w:numId w:val="0"/>
        </w:numPr>
        <w:tabs>
          <w:tab w:val="clear" w:pos="567"/>
        </w:tabs>
        <w:spacing w:line="240" w:lineRule="auto"/>
        <w:rPr>
          <w:szCs w:val="22"/>
        </w:rPr>
      </w:pPr>
    </w:p>
    <w:p w14:paraId="538589FD" w14:textId="77777777" w:rsidR="006E3229" w:rsidRDefault="00B43C9C">
      <w:pPr>
        <w:tabs>
          <w:tab w:val="clear" w:pos="567"/>
        </w:tabs>
        <w:spacing w:line="240" w:lineRule="auto"/>
        <w:rPr>
          <w:szCs w:val="22"/>
        </w:rPr>
      </w:pPr>
      <w:r>
        <w:t>Mantener este medicamento fuera de la vista y del alcance de los niños.</w:t>
      </w:r>
    </w:p>
    <w:p w14:paraId="450B93EA" w14:textId="77777777" w:rsidR="006E3229" w:rsidRDefault="006E3229">
      <w:pPr>
        <w:numPr>
          <w:ilvl w:val="12"/>
          <w:numId w:val="0"/>
        </w:numPr>
        <w:tabs>
          <w:tab w:val="clear" w:pos="567"/>
        </w:tabs>
        <w:spacing w:line="240" w:lineRule="auto"/>
        <w:ind w:right="-2"/>
        <w:rPr>
          <w:szCs w:val="22"/>
        </w:rPr>
      </w:pPr>
    </w:p>
    <w:p w14:paraId="68364C26" w14:textId="77777777" w:rsidR="006E3229" w:rsidRDefault="00B43C9C">
      <w:pPr>
        <w:numPr>
          <w:ilvl w:val="12"/>
          <w:numId w:val="0"/>
        </w:numPr>
        <w:tabs>
          <w:tab w:val="clear" w:pos="567"/>
        </w:tabs>
        <w:spacing w:line="240" w:lineRule="auto"/>
        <w:ind w:right="-2"/>
        <w:rPr>
          <w:szCs w:val="22"/>
        </w:rPr>
      </w:pPr>
      <w:r>
        <w:t>No utilice este medicamento después de la fecha de caducidad que aparece en la caja y en la etiqueta del frasco después de «CAD». La fecha de caducidad es el último día del mes que se indica.</w:t>
      </w:r>
    </w:p>
    <w:p w14:paraId="06144D56" w14:textId="77777777" w:rsidR="006E3229" w:rsidRDefault="006E3229">
      <w:pPr>
        <w:spacing w:line="240" w:lineRule="auto"/>
        <w:rPr>
          <w:szCs w:val="22"/>
        </w:rPr>
      </w:pPr>
    </w:p>
    <w:p w14:paraId="53E79590" w14:textId="77777777" w:rsidR="006E3229" w:rsidRDefault="00B43C9C">
      <w:pPr>
        <w:tabs>
          <w:tab w:val="clear" w:pos="567"/>
        </w:tabs>
        <w:spacing w:line="240" w:lineRule="auto"/>
        <w:ind w:right="-2"/>
      </w:pPr>
      <w:r>
        <w:t>Este medicamento no requiere ninguna temperatura especial de conservación.</w:t>
      </w:r>
    </w:p>
    <w:p w14:paraId="76618D6D" w14:textId="77777777" w:rsidR="006E3229" w:rsidRDefault="00B43C9C">
      <w:pPr>
        <w:tabs>
          <w:tab w:val="clear" w:pos="567"/>
        </w:tabs>
        <w:spacing w:line="240" w:lineRule="auto"/>
        <w:ind w:right="-2"/>
      </w:pPr>
      <w:r>
        <w:t>Después de abrir AGAMREE por primera vez, conserve el frasco en posición vertical en nevera (entre 2 °C y 8 °C). El medicamento puede conservarse en el frigorífico durante un máximo de 3 meses.</w:t>
      </w:r>
    </w:p>
    <w:p w14:paraId="177B7FD1" w14:textId="77777777" w:rsidR="006E3229" w:rsidRDefault="006E3229">
      <w:pPr>
        <w:tabs>
          <w:tab w:val="clear" w:pos="567"/>
        </w:tabs>
        <w:spacing w:line="240" w:lineRule="auto"/>
        <w:ind w:right="-2"/>
      </w:pPr>
    </w:p>
    <w:p w14:paraId="77E33A15" w14:textId="77777777" w:rsidR="006E3229" w:rsidRDefault="00B43C9C">
      <w:pPr>
        <w:tabs>
          <w:tab w:val="clear" w:pos="567"/>
        </w:tabs>
        <w:spacing w:line="240" w:lineRule="auto"/>
        <w:ind w:right="-2"/>
      </w:pPr>
      <w:r>
        <w:t>Deseche el medicamento no utilizado en los 3 meses siguientes a la primera apertura del frasco.</w:t>
      </w:r>
    </w:p>
    <w:p w14:paraId="63382A91" w14:textId="77777777" w:rsidR="006E3229" w:rsidRDefault="006E3229">
      <w:pPr>
        <w:tabs>
          <w:tab w:val="clear" w:pos="567"/>
        </w:tabs>
        <w:spacing w:line="240" w:lineRule="auto"/>
        <w:ind w:right="-2"/>
      </w:pPr>
    </w:p>
    <w:p w14:paraId="7CC5EF17" w14:textId="77777777" w:rsidR="006E3229" w:rsidRDefault="00B43C9C">
      <w:pPr>
        <w:numPr>
          <w:ilvl w:val="12"/>
          <w:numId w:val="0"/>
        </w:numPr>
        <w:spacing w:line="240" w:lineRule="auto"/>
        <w:ind w:right="-2"/>
      </w:pPr>
      <w:r>
        <w:t>Los medicamentos no se deben tirar por los desagües ni a la basura. Pregunte a su farmacéutico cómo deshacerse de los envases y de los medicamentos que ya no necesita. De esta forma, ayudará a proteger el medio ambiente.</w:t>
      </w:r>
    </w:p>
    <w:p w14:paraId="50722D35" w14:textId="77777777" w:rsidR="006E3229" w:rsidRDefault="006E3229">
      <w:pPr>
        <w:numPr>
          <w:ilvl w:val="12"/>
          <w:numId w:val="0"/>
        </w:numPr>
        <w:spacing w:line="240" w:lineRule="auto"/>
        <w:ind w:right="-2"/>
        <w:rPr>
          <w:rFonts w:eastAsia="Calibri" w:cs="Arial Narrow"/>
          <w:b/>
        </w:rPr>
      </w:pPr>
    </w:p>
    <w:p w14:paraId="473D1ACD" w14:textId="77777777" w:rsidR="006E3229" w:rsidRDefault="006E3229">
      <w:pPr>
        <w:numPr>
          <w:ilvl w:val="12"/>
          <w:numId w:val="0"/>
        </w:numPr>
        <w:spacing w:line="240" w:lineRule="auto"/>
        <w:ind w:right="-2"/>
        <w:rPr>
          <w:rFonts w:eastAsia="Calibri" w:cs="Arial Narrow"/>
          <w:b/>
        </w:rPr>
      </w:pPr>
    </w:p>
    <w:p w14:paraId="0E3A0E6E" w14:textId="77777777" w:rsidR="006E3229" w:rsidRDefault="00B43C9C">
      <w:pPr>
        <w:keepNext/>
        <w:spacing w:line="240" w:lineRule="auto"/>
        <w:ind w:right="-2"/>
        <w:rPr>
          <w:b/>
          <w:bCs/>
        </w:rPr>
      </w:pPr>
      <w:r>
        <w:rPr>
          <w:rStyle w:val="DNEx2"/>
        </w:rPr>
        <w:t>6.</w:t>
      </w:r>
      <w:r>
        <w:rPr>
          <w:rStyle w:val="DNEx2"/>
        </w:rPr>
        <w:tab/>
      </w:r>
      <w:r>
        <w:rPr>
          <w:b/>
        </w:rPr>
        <w:t>Contenido del envase e información adicional</w:t>
      </w:r>
    </w:p>
    <w:p w14:paraId="64485146" w14:textId="77777777" w:rsidR="006E3229" w:rsidRDefault="006E3229">
      <w:pPr>
        <w:keepNext/>
        <w:numPr>
          <w:ilvl w:val="12"/>
          <w:numId w:val="0"/>
        </w:numPr>
        <w:tabs>
          <w:tab w:val="clear" w:pos="567"/>
        </w:tabs>
        <w:spacing w:line="240" w:lineRule="auto"/>
      </w:pPr>
    </w:p>
    <w:p w14:paraId="4562D6ED" w14:textId="77777777" w:rsidR="006E3229" w:rsidRDefault="00B43C9C">
      <w:pPr>
        <w:keepNext/>
        <w:numPr>
          <w:ilvl w:val="12"/>
          <w:numId w:val="0"/>
        </w:numPr>
        <w:tabs>
          <w:tab w:val="clear" w:pos="567"/>
        </w:tabs>
        <w:spacing w:line="240" w:lineRule="auto"/>
        <w:ind w:right="-2"/>
        <w:rPr>
          <w:b/>
        </w:rPr>
      </w:pPr>
      <w:r>
        <w:rPr>
          <w:b/>
        </w:rPr>
        <w:t>Qué contiene AGAMREE</w:t>
      </w:r>
    </w:p>
    <w:p w14:paraId="7BDC1C88" w14:textId="77777777" w:rsidR="006E3229" w:rsidRDefault="00B43C9C">
      <w:pPr>
        <w:numPr>
          <w:ilvl w:val="12"/>
          <w:numId w:val="0"/>
        </w:numPr>
        <w:spacing w:line="240" w:lineRule="auto"/>
        <w:ind w:right="-2"/>
      </w:pPr>
      <w:r>
        <w:t xml:space="preserve">El principio activo es la </w:t>
      </w:r>
      <w:proofErr w:type="spellStart"/>
      <w:r>
        <w:t>vamorolona</w:t>
      </w:r>
      <w:proofErr w:type="spellEnd"/>
      <w:r>
        <w:t xml:space="preserve">. Cada ml de suspensión contiene 40 mg de </w:t>
      </w:r>
      <w:proofErr w:type="spellStart"/>
      <w:r>
        <w:t>vamorolona</w:t>
      </w:r>
      <w:proofErr w:type="spellEnd"/>
      <w:r>
        <w:t>.</w:t>
      </w:r>
    </w:p>
    <w:p w14:paraId="463F96D3" w14:textId="77777777" w:rsidR="006E3229" w:rsidRDefault="006E3229">
      <w:pPr>
        <w:numPr>
          <w:ilvl w:val="12"/>
          <w:numId w:val="0"/>
        </w:numPr>
        <w:spacing w:line="240" w:lineRule="auto"/>
        <w:ind w:right="-2"/>
      </w:pPr>
    </w:p>
    <w:p w14:paraId="1089FB97" w14:textId="77777777" w:rsidR="006E3229" w:rsidRDefault="00B43C9C">
      <w:pPr>
        <w:spacing w:line="240" w:lineRule="auto"/>
        <w:ind w:right="-2"/>
      </w:pPr>
      <w:r>
        <w:lastRenderedPageBreak/>
        <w:t>Los demás componentes son: ácido cítrico (</w:t>
      </w:r>
      <w:proofErr w:type="spellStart"/>
      <w:r>
        <w:t>monohidrato</w:t>
      </w:r>
      <w:proofErr w:type="spellEnd"/>
      <w:r>
        <w:t>) (E 330), fosfato disódico (E 339), glicerol (E 422), aroma de naranja, agua purificada, benzoato de sodio (E 211) (ver sección 2, «AGAMREE contiene benzoato de sodio»), sucralosa (E 955), goma xantana (E 415) y ácido clorhídrico (para ajuste del pH). Ver la sección 2 «AGAMREE contiene benzoato de sodio y sodio».</w:t>
      </w:r>
    </w:p>
    <w:p w14:paraId="188588A7" w14:textId="77777777" w:rsidR="006E3229" w:rsidRDefault="006E3229">
      <w:pPr>
        <w:tabs>
          <w:tab w:val="clear" w:pos="567"/>
        </w:tabs>
        <w:spacing w:line="240" w:lineRule="auto"/>
        <w:ind w:right="-2"/>
      </w:pPr>
    </w:p>
    <w:p w14:paraId="55D83C5E" w14:textId="77777777" w:rsidR="006E3229" w:rsidRDefault="00B43C9C">
      <w:pPr>
        <w:keepNext/>
        <w:numPr>
          <w:ilvl w:val="12"/>
          <w:numId w:val="0"/>
        </w:numPr>
        <w:tabs>
          <w:tab w:val="clear" w:pos="567"/>
        </w:tabs>
        <w:spacing w:line="240" w:lineRule="auto"/>
        <w:rPr>
          <w:b/>
        </w:rPr>
      </w:pPr>
      <w:r>
        <w:rPr>
          <w:b/>
        </w:rPr>
        <w:t>Aspecto del producto y contenido del envase</w:t>
      </w:r>
    </w:p>
    <w:p w14:paraId="6390C9D9" w14:textId="77777777" w:rsidR="006E3229" w:rsidRDefault="00B43C9C">
      <w:r>
        <w:t>AGAMREE es una suspensión oral de color blanco a blanquecino. Se presenta en un frasco de vidrio de color ámbar con un tapón de polipropileno a prueba de niños y un revestimiento de polietileno de baja densidad. El frasco contiene 100 ml de suspensión oral. Cada envase contiene un frasco, un adaptador de frasco y dos jeringas de uso oral idénticas para la administración. Las jeringas de uso oral se gradúan de 0 a 8 ml en pasos de 0,1 ml.</w:t>
      </w:r>
    </w:p>
    <w:p w14:paraId="449C72A8" w14:textId="77777777" w:rsidR="006E3229" w:rsidRDefault="006E3229">
      <w:pPr>
        <w:tabs>
          <w:tab w:val="clear" w:pos="567"/>
        </w:tabs>
        <w:spacing w:line="240" w:lineRule="auto"/>
        <w:ind w:right="-2"/>
        <w:rPr>
          <w:b/>
          <w:bCs/>
        </w:rPr>
      </w:pPr>
    </w:p>
    <w:p w14:paraId="40E7754B" w14:textId="77777777" w:rsidR="006E3229" w:rsidRDefault="00B43C9C">
      <w:pPr>
        <w:keepNext/>
        <w:numPr>
          <w:ilvl w:val="12"/>
          <w:numId w:val="0"/>
        </w:numPr>
        <w:tabs>
          <w:tab w:val="clear" w:pos="567"/>
        </w:tabs>
        <w:spacing w:line="240" w:lineRule="auto"/>
        <w:ind w:right="-2"/>
        <w:rPr>
          <w:b/>
        </w:rPr>
      </w:pPr>
      <w:r>
        <w:rPr>
          <w:b/>
        </w:rPr>
        <w:t>Titular de la autorización de comercialización y responsable de la fabricación</w:t>
      </w:r>
    </w:p>
    <w:p w14:paraId="0A8B850F" w14:textId="77777777" w:rsidR="006E3229" w:rsidRPr="009624C6" w:rsidRDefault="00B43C9C">
      <w:pPr>
        <w:keepNext/>
        <w:spacing w:line="240" w:lineRule="auto"/>
        <w:rPr>
          <w:szCs w:val="22"/>
          <w:lang w:val="de-DE"/>
        </w:rPr>
      </w:pPr>
      <w:r w:rsidRPr="009624C6">
        <w:rPr>
          <w:lang w:val="de-DE"/>
        </w:rPr>
        <w:t>Santhera Pharmaceuticals (Deutschland) GmbH</w:t>
      </w:r>
    </w:p>
    <w:p w14:paraId="257C3684" w14:textId="77777777" w:rsidR="006E3229" w:rsidRPr="009624C6" w:rsidRDefault="00B43C9C">
      <w:pPr>
        <w:keepNext/>
        <w:spacing w:line="240" w:lineRule="auto"/>
        <w:rPr>
          <w:szCs w:val="22"/>
          <w:lang w:val="de-DE"/>
        </w:rPr>
      </w:pPr>
      <w:r w:rsidRPr="009624C6">
        <w:rPr>
          <w:lang w:val="de-DE"/>
        </w:rPr>
        <w:t>Marie-Curie-Straße 8</w:t>
      </w:r>
    </w:p>
    <w:p w14:paraId="294423EC" w14:textId="77777777" w:rsidR="006E3229" w:rsidRDefault="00B43C9C">
      <w:pPr>
        <w:keepNext/>
        <w:spacing w:line="240" w:lineRule="auto"/>
        <w:rPr>
          <w:szCs w:val="22"/>
        </w:rPr>
      </w:pPr>
      <w:r>
        <w:t>D-79539 </w:t>
      </w:r>
      <w:proofErr w:type="spellStart"/>
      <w:r>
        <w:t>Lörrach</w:t>
      </w:r>
      <w:proofErr w:type="spellEnd"/>
    </w:p>
    <w:p w14:paraId="3622D087" w14:textId="77777777" w:rsidR="006E3229" w:rsidRDefault="00B43C9C">
      <w:pPr>
        <w:spacing w:line="240" w:lineRule="auto"/>
        <w:rPr>
          <w:szCs w:val="22"/>
        </w:rPr>
      </w:pPr>
      <w:r>
        <w:t>Alemania</w:t>
      </w:r>
    </w:p>
    <w:p w14:paraId="70A6A2EE" w14:textId="77777777" w:rsidR="006E3229" w:rsidRDefault="006E3229">
      <w:pPr>
        <w:numPr>
          <w:ilvl w:val="12"/>
          <w:numId w:val="0"/>
        </w:numPr>
        <w:tabs>
          <w:tab w:val="clear" w:pos="567"/>
        </w:tabs>
        <w:spacing w:line="240" w:lineRule="auto"/>
        <w:ind w:right="-2"/>
        <w:rPr>
          <w:szCs w:val="22"/>
        </w:rPr>
      </w:pPr>
    </w:p>
    <w:p w14:paraId="43C58723" w14:textId="385FA81D" w:rsidR="006E3229" w:rsidRDefault="00B43C9C">
      <w:pPr>
        <w:numPr>
          <w:ilvl w:val="12"/>
          <w:numId w:val="0"/>
        </w:numPr>
        <w:tabs>
          <w:tab w:val="clear" w:pos="567"/>
        </w:tabs>
        <w:spacing w:line="240" w:lineRule="auto"/>
        <w:ind w:right="-2"/>
        <w:outlineLvl w:val="0"/>
        <w:rPr>
          <w:szCs w:val="22"/>
        </w:rPr>
      </w:pPr>
      <w:r>
        <w:rPr>
          <w:b/>
        </w:rPr>
        <w:t xml:space="preserve">Fecha de la última revisión de este prospecto: </w:t>
      </w:r>
    </w:p>
    <w:p w14:paraId="0BDE1B2A" w14:textId="77777777" w:rsidR="006E3229" w:rsidRDefault="006E3229">
      <w:pPr>
        <w:numPr>
          <w:ilvl w:val="12"/>
          <w:numId w:val="0"/>
        </w:numPr>
        <w:spacing w:line="240" w:lineRule="auto"/>
        <w:ind w:right="-2"/>
        <w:rPr>
          <w:szCs w:val="22"/>
        </w:rPr>
      </w:pPr>
    </w:p>
    <w:p w14:paraId="62C4DEBE" w14:textId="77777777" w:rsidR="006E3229" w:rsidRDefault="006E3229">
      <w:pPr>
        <w:numPr>
          <w:ilvl w:val="12"/>
          <w:numId w:val="0"/>
        </w:numPr>
        <w:spacing w:line="240" w:lineRule="auto"/>
        <w:ind w:right="-2"/>
      </w:pPr>
    </w:p>
    <w:p w14:paraId="35A1F99D" w14:textId="77777777" w:rsidR="006E3229" w:rsidRDefault="00B43C9C">
      <w:pPr>
        <w:numPr>
          <w:ilvl w:val="12"/>
          <w:numId w:val="0"/>
        </w:numPr>
        <w:spacing w:line="240" w:lineRule="auto"/>
        <w:ind w:right="-2"/>
      </w:pPr>
      <w:r>
        <w:t>La información detallada de este medicamento está disponible en la página web de la Agencia Europea de Medicamentos: http://ema.europa.eu</w:t>
      </w:r>
    </w:p>
    <w:sectPr w:rsidR="006E3229">
      <w:footerReference w:type="default" r:id="rId22"/>
      <w:footerReference w:type="first" r:id="rId23"/>
      <w:endnotePr>
        <w:numFmt w:val="decimal"/>
      </w:endnotePr>
      <w:pgSz w:w="11907" w:h="16840"/>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67A4A" w14:textId="77777777" w:rsidR="00231519" w:rsidRDefault="00231519">
      <w:pPr>
        <w:spacing w:line="240" w:lineRule="auto"/>
      </w:pPr>
      <w:r>
        <w:separator/>
      </w:r>
    </w:p>
  </w:endnote>
  <w:endnote w:type="continuationSeparator" w:id="0">
    <w:p w14:paraId="313A0039" w14:textId="77777777" w:rsidR="00231519" w:rsidRDefault="002315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IDFont+F1">
    <w:altName w:val="Yu Gothic"/>
    <w:panose1 w:val="00000000000000000000"/>
    <w:charset w:val="80"/>
    <w:family w:val="auto"/>
    <w:notTrueType/>
    <w:pitch w:val="default"/>
    <w:sig w:usb0="00000003" w:usb1="08070000" w:usb2="00000010" w:usb3="00000000" w:csb0="0002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E84BB" w14:textId="7D011847" w:rsidR="00231519" w:rsidRDefault="00231519">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6E0048">
      <w:rPr>
        <w:rStyle w:val="PageNumber"/>
        <w:rFonts w:cs="Arial"/>
        <w:noProof/>
      </w:rPr>
      <w:t>2</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32CC4" w14:textId="4E4D7CE3" w:rsidR="00231519" w:rsidRDefault="00231519">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6E0048">
      <w:rPr>
        <w:rStyle w:val="PageNumber"/>
        <w:rFonts w:cs="Arial"/>
        <w:noProof/>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67FFD" w14:textId="77777777" w:rsidR="00231519" w:rsidRDefault="00231519">
      <w:pPr>
        <w:spacing w:line="240" w:lineRule="auto"/>
      </w:pPr>
      <w:r>
        <w:separator/>
      </w:r>
    </w:p>
  </w:footnote>
  <w:footnote w:type="continuationSeparator" w:id="0">
    <w:p w14:paraId="33B17A51" w14:textId="77777777" w:rsidR="00231519" w:rsidRDefault="0023151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DCF1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F5C96E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8B055D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C026D3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776907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1881EC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5CA10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2A97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DAA01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9EAE0B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E"/>
    <w:lvl w:ilvl="0">
      <w:numFmt w:val="decimal"/>
      <w:lvlText w:val="*"/>
      <w:lvlJc w:val="left"/>
    </w:lvl>
  </w:abstractNum>
  <w:abstractNum w:abstractNumId="11" w15:restartNumberingAfterBreak="0">
    <w:nsid w:val="09C44CC1"/>
    <w:multiLevelType w:val="multilevel"/>
    <w:tmpl w:val="09C44CC1"/>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8E72523"/>
    <w:multiLevelType w:val="multilevel"/>
    <w:tmpl w:val="38E72523"/>
    <w:lvl w:ilvl="0">
      <w:start w:val="1"/>
      <w:numFmt w:val="bullet"/>
      <w:lvlText w:val="-"/>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4E524DE"/>
    <w:multiLevelType w:val="multilevel"/>
    <w:tmpl w:val="70666012"/>
    <w:lvl w:ilvl="0">
      <w:start w:val="1"/>
      <w:numFmt w:val="upperLetter"/>
      <w:pStyle w:val="Style3"/>
      <w:suff w:val="space"/>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B6442C2"/>
    <w:multiLevelType w:val="multilevel"/>
    <w:tmpl w:val="5B6442C2"/>
    <w:lvl w:ilvl="0">
      <w:start w:val="1"/>
      <w:numFmt w:val="upperLetter"/>
      <w:pStyle w:val="Style1"/>
      <w:lvlText w:val="%1."/>
      <w:lvlJc w:val="left"/>
      <w:pPr>
        <w:ind w:left="1698" w:hanging="705"/>
      </w:pPr>
      <w:rPr>
        <w:rFonts w:hint="default"/>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5" w15:restartNumberingAfterBreak="0">
    <w:nsid w:val="67283ABE"/>
    <w:multiLevelType w:val="multilevel"/>
    <w:tmpl w:val="318AC81C"/>
    <w:lvl w:ilvl="0">
      <w:start w:val="1"/>
      <w:numFmt w:val="upperLetter"/>
      <w:pStyle w:val="Style2"/>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F9337D0"/>
    <w:multiLevelType w:val="multilevel"/>
    <w:tmpl w:val="6F9337D0"/>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854465096">
    <w:abstractNumId w:val="14"/>
  </w:num>
  <w:num w:numId="2" w16cid:durableId="958924194">
    <w:abstractNumId w:val="15"/>
  </w:num>
  <w:num w:numId="3" w16cid:durableId="1575506285">
    <w:abstractNumId w:val="13"/>
  </w:num>
  <w:num w:numId="4" w16cid:durableId="1263614427">
    <w:abstractNumId w:val="16"/>
  </w:num>
  <w:num w:numId="5" w16cid:durableId="1472555845">
    <w:abstractNumId w:val="11"/>
  </w:num>
  <w:num w:numId="6" w16cid:durableId="1116754593">
    <w:abstractNumId w:val="10"/>
    <w:lvlOverride w:ilvl="0">
      <w:lvl w:ilvl="0">
        <w:start w:val="1"/>
        <w:numFmt w:val="bullet"/>
        <w:lvlText w:val="-"/>
        <w:legacy w:legacy="1" w:legacySpace="0" w:legacyIndent="360"/>
        <w:lvlJc w:val="left"/>
        <w:pPr>
          <w:ind w:left="360" w:hanging="360"/>
        </w:pPr>
      </w:lvl>
    </w:lvlOverride>
  </w:num>
  <w:num w:numId="7" w16cid:durableId="447167646">
    <w:abstractNumId w:val="12"/>
  </w:num>
  <w:num w:numId="8" w16cid:durableId="2091267040">
    <w:abstractNumId w:val="9"/>
  </w:num>
  <w:num w:numId="9" w16cid:durableId="593902899">
    <w:abstractNumId w:val="7"/>
  </w:num>
  <w:num w:numId="10" w16cid:durableId="2078553445">
    <w:abstractNumId w:val="6"/>
  </w:num>
  <w:num w:numId="11" w16cid:durableId="70853559">
    <w:abstractNumId w:val="5"/>
  </w:num>
  <w:num w:numId="12" w16cid:durableId="260920257">
    <w:abstractNumId w:val="4"/>
  </w:num>
  <w:num w:numId="13" w16cid:durableId="886836884">
    <w:abstractNumId w:val="8"/>
  </w:num>
  <w:num w:numId="14" w16cid:durableId="1819571489">
    <w:abstractNumId w:val="3"/>
  </w:num>
  <w:num w:numId="15" w16cid:durableId="1973561209">
    <w:abstractNumId w:val="2"/>
  </w:num>
  <w:num w:numId="16" w16cid:durableId="1874535749">
    <w:abstractNumId w:val="1"/>
  </w:num>
  <w:num w:numId="17" w16cid:durableId="1573661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fillcolor="white">
      <v:fill color="white"/>
    </o:shapedefaults>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077"/>
    <w:rsid w:val="00000629"/>
    <w:rsid w:val="0000097C"/>
    <w:rsid w:val="00000D62"/>
    <w:rsid w:val="0000114F"/>
    <w:rsid w:val="00001587"/>
    <w:rsid w:val="00002731"/>
    <w:rsid w:val="000029E3"/>
    <w:rsid w:val="00002C4D"/>
    <w:rsid w:val="0000362A"/>
    <w:rsid w:val="00003AEF"/>
    <w:rsid w:val="00003B86"/>
    <w:rsid w:val="000040F8"/>
    <w:rsid w:val="000042DF"/>
    <w:rsid w:val="00004A43"/>
    <w:rsid w:val="00004A75"/>
    <w:rsid w:val="000056F6"/>
    <w:rsid w:val="00005701"/>
    <w:rsid w:val="000058B3"/>
    <w:rsid w:val="00005A30"/>
    <w:rsid w:val="00005EB8"/>
    <w:rsid w:val="000060D9"/>
    <w:rsid w:val="0000655E"/>
    <w:rsid w:val="00006ACA"/>
    <w:rsid w:val="0000716F"/>
    <w:rsid w:val="000071A0"/>
    <w:rsid w:val="00007528"/>
    <w:rsid w:val="0001062F"/>
    <w:rsid w:val="000110DC"/>
    <w:rsid w:val="0001164F"/>
    <w:rsid w:val="00012218"/>
    <w:rsid w:val="000122C5"/>
    <w:rsid w:val="00012AFD"/>
    <w:rsid w:val="00012B9D"/>
    <w:rsid w:val="0001330E"/>
    <w:rsid w:val="00014869"/>
    <w:rsid w:val="00014944"/>
    <w:rsid w:val="00014D59"/>
    <w:rsid w:val="000150D3"/>
    <w:rsid w:val="000151B5"/>
    <w:rsid w:val="00015365"/>
    <w:rsid w:val="00015938"/>
    <w:rsid w:val="000166C1"/>
    <w:rsid w:val="00016E66"/>
    <w:rsid w:val="00017287"/>
    <w:rsid w:val="00017DB1"/>
    <w:rsid w:val="0002006B"/>
    <w:rsid w:val="00020552"/>
    <w:rsid w:val="000205C8"/>
    <w:rsid w:val="0002090B"/>
    <w:rsid w:val="00020A18"/>
    <w:rsid w:val="00020AE8"/>
    <w:rsid w:val="000212BB"/>
    <w:rsid w:val="00021890"/>
    <w:rsid w:val="000222FA"/>
    <w:rsid w:val="00022535"/>
    <w:rsid w:val="00022CA7"/>
    <w:rsid w:val="00022D78"/>
    <w:rsid w:val="00023150"/>
    <w:rsid w:val="00023635"/>
    <w:rsid w:val="000239EE"/>
    <w:rsid w:val="00023A2C"/>
    <w:rsid w:val="00023F73"/>
    <w:rsid w:val="0002408A"/>
    <w:rsid w:val="00024986"/>
    <w:rsid w:val="000249F6"/>
    <w:rsid w:val="00024A4D"/>
    <w:rsid w:val="00024A9E"/>
    <w:rsid w:val="0002543A"/>
    <w:rsid w:val="000254C4"/>
    <w:rsid w:val="00025675"/>
    <w:rsid w:val="00025EBE"/>
    <w:rsid w:val="00025EFA"/>
    <w:rsid w:val="00026BF2"/>
    <w:rsid w:val="0002701D"/>
    <w:rsid w:val="000271F6"/>
    <w:rsid w:val="000302A4"/>
    <w:rsid w:val="000303BD"/>
    <w:rsid w:val="0003043A"/>
    <w:rsid w:val="00030445"/>
    <w:rsid w:val="000316D1"/>
    <w:rsid w:val="000318C7"/>
    <w:rsid w:val="000318E0"/>
    <w:rsid w:val="00032084"/>
    <w:rsid w:val="00032C0C"/>
    <w:rsid w:val="00033D26"/>
    <w:rsid w:val="00033FDB"/>
    <w:rsid w:val="000340BF"/>
    <w:rsid w:val="0003445B"/>
    <w:rsid w:val="000344F6"/>
    <w:rsid w:val="000345B1"/>
    <w:rsid w:val="00035874"/>
    <w:rsid w:val="0003657F"/>
    <w:rsid w:val="00037184"/>
    <w:rsid w:val="00037543"/>
    <w:rsid w:val="000375B3"/>
    <w:rsid w:val="00037DCA"/>
    <w:rsid w:val="00040497"/>
    <w:rsid w:val="00041C36"/>
    <w:rsid w:val="00042263"/>
    <w:rsid w:val="00042EDA"/>
    <w:rsid w:val="00043297"/>
    <w:rsid w:val="00043505"/>
    <w:rsid w:val="000439B4"/>
    <w:rsid w:val="00043C70"/>
    <w:rsid w:val="00043E88"/>
    <w:rsid w:val="00044042"/>
    <w:rsid w:val="0004441C"/>
    <w:rsid w:val="00044A75"/>
    <w:rsid w:val="0004586E"/>
    <w:rsid w:val="00045B79"/>
    <w:rsid w:val="00045E85"/>
    <w:rsid w:val="00046AC9"/>
    <w:rsid w:val="00047071"/>
    <w:rsid w:val="00047477"/>
    <w:rsid w:val="000474D2"/>
    <w:rsid w:val="000479C5"/>
    <w:rsid w:val="000506B9"/>
    <w:rsid w:val="00050825"/>
    <w:rsid w:val="00050A37"/>
    <w:rsid w:val="00050DFD"/>
    <w:rsid w:val="00050F77"/>
    <w:rsid w:val="0005119C"/>
    <w:rsid w:val="000515D5"/>
    <w:rsid w:val="000519B2"/>
    <w:rsid w:val="00051F78"/>
    <w:rsid w:val="000528CE"/>
    <w:rsid w:val="00052A12"/>
    <w:rsid w:val="00052C8F"/>
    <w:rsid w:val="00052E66"/>
    <w:rsid w:val="000533DD"/>
    <w:rsid w:val="00053809"/>
    <w:rsid w:val="00053914"/>
    <w:rsid w:val="00053CE8"/>
    <w:rsid w:val="00054704"/>
    <w:rsid w:val="00054705"/>
    <w:rsid w:val="00054756"/>
    <w:rsid w:val="00054B8C"/>
    <w:rsid w:val="000556C8"/>
    <w:rsid w:val="00055C9B"/>
    <w:rsid w:val="000560C5"/>
    <w:rsid w:val="000569AA"/>
    <w:rsid w:val="00056C49"/>
    <w:rsid w:val="00056FE0"/>
    <w:rsid w:val="000573F6"/>
    <w:rsid w:val="00057796"/>
    <w:rsid w:val="00057BFC"/>
    <w:rsid w:val="00057E04"/>
    <w:rsid w:val="00060090"/>
    <w:rsid w:val="000603C8"/>
    <w:rsid w:val="00060538"/>
    <w:rsid w:val="00060891"/>
    <w:rsid w:val="000608A4"/>
    <w:rsid w:val="00060AA1"/>
    <w:rsid w:val="00060D89"/>
    <w:rsid w:val="00061FEE"/>
    <w:rsid w:val="00062309"/>
    <w:rsid w:val="00062924"/>
    <w:rsid w:val="000631FD"/>
    <w:rsid w:val="000643D3"/>
    <w:rsid w:val="000649DB"/>
    <w:rsid w:val="00064C21"/>
    <w:rsid w:val="00065156"/>
    <w:rsid w:val="000651D3"/>
    <w:rsid w:val="00067158"/>
    <w:rsid w:val="0006733A"/>
    <w:rsid w:val="00067B16"/>
    <w:rsid w:val="00067EDE"/>
    <w:rsid w:val="00070E0A"/>
    <w:rsid w:val="00070E4A"/>
    <w:rsid w:val="00071515"/>
    <w:rsid w:val="00071AD3"/>
    <w:rsid w:val="00071C43"/>
    <w:rsid w:val="00071DFB"/>
    <w:rsid w:val="00071F8A"/>
    <w:rsid w:val="00071FDB"/>
    <w:rsid w:val="00071FEC"/>
    <w:rsid w:val="0007238C"/>
    <w:rsid w:val="0007254A"/>
    <w:rsid w:val="0007391C"/>
    <w:rsid w:val="00073CA0"/>
    <w:rsid w:val="00073E04"/>
    <w:rsid w:val="0007401B"/>
    <w:rsid w:val="00074254"/>
    <w:rsid w:val="00074388"/>
    <w:rsid w:val="000745AE"/>
    <w:rsid w:val="000747A9"/>
    <w:rsid w:val="00074998"/>
    <w:rsid w:val="000757B2"/>
    <w:rsid w:val="00075DEF"/>
    <w:rsid w:val="000760C2"/>
    <w:rsid w:val="0007628D"/>
    <w:rsid w:val="0007672F"/>
    <w:rsid w:val="0007696D"/>
    <w:rsid w:val="00076A28"/>
    <w:rsid w:val="00076D05"/>
    <w:rsid w:val="000770E2"/>
    <w:rsid w:val="00077421"/>
    <w:rsid w:val="00077D32"/>
    <w:rsid w:val="00080239"/>
    <w:rsid w:val="0008110D"/>
    <w:rsid w:val="000814DD"/>
    <w:rsid w:val="00081962"/>
    <w:rsid w:val="00081DAB"/>
    <w:rsid w:val="000823CE"/>
    <w:rsid w:val="00082592"/>
    <w:rsid w:val="00082779"/>
    <w:rsid w:val="00083424"/>
    <w:rsid w:val="000836DC"/>
    <w:rsid w:val="00083C31"/>
    <w:rsid w:val="00083E9B"/>
    <w:rsid w:val="00084199"/>
    <w:rsid w:val="000851F5"/>
    <w:rsid w:val="00085449"/>
    <w:rsid w:val="0008640C"/>
    <w:rsid w:val="0008651D"/>
    <w:rsid w:val="00086D74"/>
    <w:rsid w:val="00087890"/>
    <w:rsid w:val="00087FC6"/>
    <w:rsid w:val="00090BE6"/>
    <w:rsid w:val="00090E8A"/>
    <w:rsid w:val="00091499"/>
    <w:rsid w:val="00092221"/>
    <w:rsid w:val="000922E4"/>
    <w:rsid w:val="000925D6"/>
    <w:rsid w:val="00092829"/>
    <w:rsid w:val="00092B09"/>
    <w:rsid w:val="00092CC7"/>
    <w:rsid w:val="0009351E"/>
    <w:rsid w:val="000935DA"/>
    <w:rsid w:val="00093775"/>
    <w:rsid w:val="00093DA7"/>
    <w:rsid w:val="000944B0"/>
    <w:rsid w:val="0009479A"/>
    <w:rsid w:val="000947D9"/>
    <w:rsid w:val="00094AD6"/>
    <w:rsid w:val="00095D61"/>
    <w:rsid w:val="00095E44"/>
    <w:rsid w:val="00095EDD"/>
    <w:rsid w:val="00096A19"/>
    <w:rsid w:val="00096A85"/>
    <w:rsid w:val="00096D8D"/>
    <w:rsid w:val="0009755A"/>
    <w:rsid w:val="000975BB"/>
    <w:rsid w:val="00097DEB"/>
    <w:rsid w:val="000A08CF"/>
    <w:rsid w:val="000A0CB3"/>
    <w:rsid w:val="000A0DC6"/>
    <w:rsid w:val="000A0F88"/>
    <w:rsid w:val="000A1232"/>
    <w:rsid w:val="000A14DF"/>
    <w:rsid w:val="000A17E7"/>
    <w:rsid w:val="000A1864"/>
    <w:rsid w:val="000A264D"/>
    <w:rsid w:val="000A30E5"/>
    <w:rsid w:val="000A3100"/>
    <w:rsid w:val="000A3212"/>
    <w:rsid w:val="000A34BF"/>
    <w:rsid w:val="000A3990"/>
    <w:rsid w:val="000A3B66"/>
    <w:rsid w:val="000A40D0"/>
    <w:rsid w:val="000A5770"/>
    <w:rsid w:val="000A6687"/>
    <w:rsid w:val="000A6945"/>
    <w:rsid w:val="000A69F1"/>
    <w:rsid w:val="000A6A33"/>
    <w:rsid w:val="000A78C6"/>
    <w:rsid w:val="000B0097"/>
    <w:rsid w:val="000B02DA"/>
    <w:rsid w:val="000B101F"/>
    <w:rsid w:val="000B1F13"/>
    <w:rsid w:val="000B1F4B"/>
    <w:rsid w:val="000B2085"/>
    <w:rsid w:val="000B210D"/>
    <w:rsid w:val="000B2758"/>
    <w:rsid w:val="000B2857"/>
    <w:rsid w:val="000B2867"/>
    <w:rsid w:val="000B2D7A"/>
    <w:rsid w:val="000B2F27"/>
    <w:rsid w:val="000B2F58"/>
    <w:rsid w:val="000B37A8"/>
    <w:rsid w:val="000B37FA"/>
    <w:rsid w:val="000B38BD"/>
    <w:rsid w:val="000B4A6B"/>
    <w:rsid w:val="000B4CF3"/>
    <w:rsid w:val="000B510E"/>
    <w:rsid w:val="000B51D9"/>
    <w:rsid w:val="000B5256"/>
    <w:rsid w:val="000B5490"/>
    <w:rsid w:val="000B6534"/>
    <w:rsid w:val="000B6767"/>
    <w:rsid w:val="000B699A"/>
    <w:rsid w:val="000B7A6B"/>
    <w:rsid w:val="000B7CAC"/>
    <w:rsid w:val="000B7DFC"/>
    <w:rsid w:val="000B7FD2"/>
    <w:rsid w:val="000C03FB"/>
    <w:rsid w:val="000C09E7"/>
    <w:rsid w:val="000C0AC8"/>
    <w:rsid w:val="000C0C5C"/>
    <w:rsid w:val="000C0D40"/>
    <w:rsid w:val="000C0D9A"/>
    <w:rsid w:val="000C0FBC"/>
    <w:rsid w:val="000C1025"/>
    <w:rsid w:val="000C12D1"/>
    <w:rsid w:val="000C1776"/>
    <w:rsid w:val="000C18AA"/>
    <w:rsid w:val="000C2B96"/>
    <w:rsid w:val="000C2C8E"/>
    <w:rsid w:val="000C308F"/>
    <w:rsid w:val="000C3E98"/>
    <w:rsid w:val="000C453F"/>
    <w:rsid w:val="000C4658"/>
    <w:rsid w:val="000C57D2"/>
    <w:rsid w:val="000C5A4E"/>
    <w:rsid w:val="000C5AAB"/>
    <w:rsid w:val="000C5DF0"/>
    <w:rsid w:val="000C5EAC"/>
    <w:rsid w:val="000C635D"/>
    <w:rsid w:val="000C667C"/>
    <w:rsid w:val="000C6795"/>
    <w:rsid w:val="000C6AB1"/>
    <w:rsid w:val="000C6C16"/>
    <w:rsid w:val="000C6C4A"/>
    <w:rsid w:val="000C6D8B"/>
    <w:rsid w:val="000C73F1"/>
    <w:rsid w:val="000C77DA"/>
    <w:rsid w:val="000C7B54"/>
    <w:rsid w:val="000C7F49"/>
    <w:rsid w:val="000D010D"/>
    <w:rsid w:val="000D033C"/>
    <w:rsid w:val="000D058F"/>
    <w:rsid w:val="000D18F2"/>
    <w:rsid w:val="000D1AEE"/>
    <w:rsid w:val="000D1B27"/>
    <w:rsid w:val="000D1B58"/>
    <w:rsid w:val="000D1CA0"/>
    <w:rsid w:val="000D1F4F"/>
    <w:rsid w:val="000D22A5"/>
    <w:rsid w:val="000D3267"/>
    <w:rsid w:val="000D3DBF"/>
    <w:rsid w:val="000D418F"/>
    <w:rsid w:val="000D4D07"/>
    <w:rsid w:val="000D59CF"/>
    <w:rsid w:val="000D5B09"/>
    <w:rsid w:val="000D627D"/>
    <w:rsid w:val="000D6C13"/>
    <w:rsid w:val="000D708A"/>
    <w:rsid w:val="000D733B"/>
    <w:rsid w:val="000D7535"/>
    <w:rsid w:val="000D7CD6"/>
    <w:rsid w:val="000E00AD"/>
    <w:rsid w:val="000E03DE"/>
    <w:rsid w:val="000E165D"/>
    <w:rsid w:val="000E1BAF"/>
    <w:rsid w:val="000E1E96"/>
    <w:rsid w:val="000E1EF7"/>
    <w:rsid w:val="000E202D"/>
    <w:rsid w:val="000E223E"/>
    <w:rsid w:val="000E2491"/>
    <w:rsid w:val="000E290C"/>
    <w:rsid w:val="000E2984"/>
    <w:rsid w:val="000E2BC5"/>
    <w:rsid w:val="000E2EA9"/>
    <w:rsid w:val="000E30A6"/>
    <w:rsid w:val="000E3938"/>
    <w:rsid w:val="000E3A6C"/>
    <w:rsid w:val="000E46A3"/>
    <w:rsid w:val="000E4D1E"/>
    <w:rsid w:val="000E4E88"/>
    <w:rsid w:val="000E53A9"/>
    <w:rsid w:val="000E5726"/>
    <w:rsid w:val="000E6C94"/>
    <w:rsid w:val="000E7023"/>
    <w:rsid w:val="000E7353"/>
    <w:rsid w:val="000E7679"/>
    <w:rsid w:val="000E7C73"/>
    <w:rsid w:val="000F010A"/>
    <w:rsid w:val="000F0327"/>
    <w:rsid w:val="000F08D2"/>
    <w:rsid w:val="000F1BB2"/>
    <w:rsid w:val="000F217A"/>
    <w:rsid w:val="000F2348"/>
    <w:rsid w:val="000F2623"/>
    <w:rsid w:val="000F2830"/>
    <w:rsid w:val="000F2F10"/>
    <w:rsid w:val="000F349F"/>
    <w:rsid w:val="000F37AB"/>
    <w:rsid w:val="000F3869"/>
    <w:rsid w:val="000F3F94"/>
    <w:rsid w:val="000F3FC9"/>
    <w:rsid w:val="000F42C6"/>
    <w:rsid w:val="000F4F29"/>
    <w:rsid w:val="000F4FFF"/>
    <w:rsid w:val="000F50D6"/>
    <w:rsid w:val="000F513B"/>
    <w:rsid w:val="000F5235"/>
    <w:rsid w:val="000F54D1"/>
    <w:rsid w:val="000F57EA"/>
    <w:rsid w:val="000F5B21"/>
    <w:rsid w:val="000F5EA1"/>
    <w:rsid w:val="000F5F24"/>
    <w:rsid w:val="000F660A"/>
    <w:rsid w:val="000F7923"/>
    <w:rsid w:val="001002B7"/>
    <w:rsid w:val="001011BD"/>
    <w:rsid w:val="001013BB"/>
    <w:rsid w:val="00101999"/>
    <w:rsid w:val="001022E8"/>
    <w:rsid w:val="00102841"/>
    <w:rsid w:val="00103501"/>
    <w:rsid w:val="001035B2"/>
    <w:rsid w:val="00103605"/>
    <w:rsid w:val="00103B2D"/>
    <w:rsid w:val="00103CD2"/>
    <w:rsid w:val="00104061"/>
    <w:rsid w:val="0010406B"/>
    <w:rsid w:val="00104F22"/>
    <w:rsid w:val="00105C9F"/>
    <w:rsid w:val="0010622D"/>
    <w:rsid w:val="00107087"/>
    <w:rsid w:val="001070A7"/>
    <w:rsid w:val="00107186"/>
    <w:rsid w:val="001071D8"/>
    <w:rsid w:val="00107236"/>
    <w:rsid w:val="001074B3"/>
    <w:rsid w:val="00107BC2"/>
    <w:rsid w:val="00107E40"/>
    <w:rsid w:val="00107FA6"/>
    <w:rsid w:val="001100EF"/>
    <w:rsid w:val="001101A2"/>
    <w:rsid w:val="001106F7"/>
    <w:rsid w:val="001108A9"/>
    <w:rsid w:val="001108E4"/>
    <w:rsid w:val="00110B08"/>
    <w:rsid w:val="00111062"/>
    <w:rsid w:val="001111FD"/>
    <w:rsid w:val="001118FA"/>
    <w:rsid w:val="00111A9A"/>
    <w:rsid w:val="00112D8E"/>
    <w:rsid w:val="00112EDA"/>
    <w:rsid w:val="001134C2"/>
    <w:rsid w:val="00113802"/>
    <w:rsid w:val="00114092"/>
    <w:rsid w:val="00114174"/>
    <w:rsid w:val="001146D9"/>
    <w:rsid w:val="00114BA6"/>
    <w:rsid w:val="00115056"/>
    <w:rsid w:val="001156AF"/>
    <w:rsid w:val="0011575F"/>
    <w:rsid w:val="00115A42"/>
    <w:rsid w:val="00115DF8"/>
    <w:rsid w:val="00115E4A"/>
    <w:rsid w:val="001161BC"/>
    <w:rsid w:val="00117252"/>
    <w:rsid w:val="0011757E"/>
    <w:rsid w:val="0011761B"/>
    <w:rsid w:val="00117915"/>
    <w:rsid w:val="00117B4A"/>
    <w:rsid w:val="00117C1D"/>
    <w:rsid w:val="00117E4F"/>
    <w:rsid w:val="001200DC"/>
    <w:rsid w:val="001206A9"/>
    <w:rsid w:val="00120C3D"/>
    <w:rsid w:val="00122395"/>
    <w:rsid w:val="00122608"/>
    <w:rsid w:val="00122B38"/>
    <w:rsid w:val="00123688"/>
    <w:rsid w:val="00123883"/>
    <w:rsid w:val="00123B3F"/>
    <w:rsid w:val="00124304"/>
    <w:rsid w:val="001247E0"/>
    <w:rsid w:val="001252A5"/>
    <w:rsid w:val="00125773"/>
    <w:rsid w:val="00125F2F"/>
    <w:rsid w:val="001267DB"/>
    <w:rsid w:val="00126F63"/>
    <w:rsid w:val="00127909"/>
    <w:rsid w:val="001279E3"/>
    <w:rsid w:val="00127B94"/>
    <w:rsid w:val="00127DFB"/>
    <w:rsid w:val="00127F47"/>
    <w:rsid w:val="0012A2DF"/>
    <w:rsid w:val="00130BB5"/>
    <w:rsid w:val="001310FB"/>
    <w:rsid w:val="0013121F"/>
    <w:rsid w:val="001316D0"/>
    <w:rsid w:val="00131776"/>
    <w:rsid w:val="00131DE7"/>
    <w:rsid w:val="00132563"/>
    <w:rsid w:val="00133572"/>
    <w:rsid w:val="00133809"/>
    <w:rsid w:val="00133A0E"/>
    <w:rsid w:val="0013430E"/>
    <w:rsid w:val="00134664"/>
    <w:rsid w:val="001347B2"/>
    <w:rsid w:val="001347C5"/>
    <w:rsid w:val="00134A01"/>
    <w:rsid w:val="00134E4A"/>
    <w:rsid w:val="00135BAA"/>
    <w:rsid w:val="001364FB"/>
    <w:rsid w:val="001365BE"/>
    <w:rsid w:val="001365F2"/>
    <w:rsid w:val="00136D7A"/>
    <w:rsid w:val="00137432"/>
    <w:rsid w:val="001374C5"/>
    <w:rsid w:val="00137E86"/>
    <w:rsid w:val="001404A3"/>
    <w:rsid w:val="00140648"/>
    <w:rsid w:val="00141470"/>
    <w:rsid w:val="00141540"/>
    <w:rsid w:val="00142999"/>
    <w:rsid w:val="00142E44"/>
    <w:rsid w:val="001436C5"/>
    <w:rsid w:val="001445E3"/>
    <w:rsid w:val="0014499E"/>
    <w:rsid w:val="001449DF"/>
    <w:rsid w:val="00145045"/>
    <w:rsid w:val="0014569B"/>
    <w:rsid w:val="00145D00"/>
    <w:rsid w:val="00145E31"/>
    <w:rsid w:val="00146322"/>
    <w:rsid w:val="0014634F"/>
    <w:rsid w:val="00146462"/>
    <w:rsid w:val="001470E0"/>
    <w:rsid w:val="0014796B"/>
    <w:rsid w:val="00147B32"/>
    <w:rsid w:val="00150060"/>
    <w:rsid w:val="00150FF6"/>
    <w:rsid w:val="001529CC"/>
    <w:rsid w:val="00152DE7"/>
    <w:rsid w:val="00152F31"/>
    <w:rsid w:val="00153303"/>
    <w:rsid w:val="00153727"/>
    <w:rsid w:val="00153C8A"/>
    <w:rsid w:val="00154C69"/>
    <w:rsid w:val="00154CD8"/>
    <w:rsid w:val="00154D5E"/>
    <w:rsid w:val="001557DA"/>
    <w:rsid w:val="00155B01"/>
    <w:rsid w:val="00156416"/>
    <w:rsid w:val="00156877"/>
    <w:rsid w:val="001569BE"/>
    <w:rsid w:val="0015704C"/>
    <w:rsid w:val="00157895"/>
    <w:rsid w:val="001579B2"/>
    <w:rsid w:val="00157AC5"/>
    <w:rsid w:val="00157CEE"/>
    <w:rsid w:val="0016011A"/>
    <w:rsid w:val="001602A3"/>
    <w:rsid w:val="0016068C"/>
    <w:rsid w:val="00160F14"/>
    <w:rsid w:val="00161126"/>
    <w:rsid w:val="00161701"/>
    <w:rsid w:val="001617A8"/>
    <w:rsid w:val="001617B5"/>
    <w:rsid w:val="00161817"/>
    <w:rsid w:val="00161E87"/>
    <w:rsid w:val="00161EEC"/>
    <w:rsid w:val="001623F8"/>
    <w:rsid w:val="00162468"/>
    <w:rsid w:val="001632B1"/>
    <w:rsid w:val="00163547"/>
    <w:rsid w:val="001637D6"/>
    <w:rsid w:val="00163BDB"/>
    <w:rsid w:val="00163F3B"/>
    <w:rsid w:val="001641FE"/>
    <w:rsid w:val="00164A2B"/>
    <w:rsid w:val="00164C63"/>
    <w:rsid w:val="0016558C"/>
    <w:rsid w:val="0016566C"/>
    <w:rsid w:val="00165F05"/>
    <w:rsid w:val="001664E6"/>
    <w:rsid w:val="00166F0F"/>
    <w:rsid w:val="00167684"/>
    <w:rsid w:val="00167764"/>
    <w:rsid w:val="00167860"/>
    <w:rsid w:val="0016793F"/>
    <w:rsid w:val="00167D92"/>
    <w:rsid w:val="00170537"/>
    <w:rsid w:val="00170FE6"/>
    <w:rsid w:val="001714B0"/>
    <w:rsid w:val="00171F24"/>
    <w:rsid w:val="001721F3"/>
    <w:rsid w:val="00172566"/>
    <w:rsid w:val="001727F0"/>
    <w:rsid w:val="00172B06"/>
    <w:rsid w:val="00172D95"/>
    <w:rsid w:val="00173071"/>
    <w:rsid w:val="0017347E"/>
    <w:rsid w:val="00173582"/>
    <w:rsid w:val="001736FD"/>
    <w:rsid w:val="00173B96"/>
    <w:rsid w:val="00173CED"/>
    <w:rsid w:val="00173F63"/>
    <w:rsid w:val="001748BC"/>
    <w:rsid w:val="00174BD9"/>
    <w:rsid w:val="0017520E"/>
    <w:rsid w:val="001752D8"/>
    <w:rsid w:val="00175931"/>
    <w:rsid w:val="0017626C"/>
    <w:rsid w:val="001763B8"/>
    <w:rsid w:val="001769FB"/>
    <w:rsid w:val="00176A25"/>
    <w:rsid w:val="00176B25"/>
    <w:rsid w:val="00177761"/>
    <w:rsid w:val="0017777B"/>
    <w:rsid w:val="00177DB0"/>
    <w:rsid w:val="00180630"/>
    <w:rsid w:val="001807A4"/>
    <w:rsid w:val="001807E2"/>
    <w:rsid w:val="00180D4A"/>
    <w:rsid w:val="0018238B"/>
    <w:rsid w:val="00182518"/>
    <w:rsid w:val="00182585"/>
    <w:rsid w:val="001832A0"/>
    <w:rsid w:val="001832A8"/>
    <w:rsid w:val="00183419"/>
    <w:rsid w:val="0018390F"/>
    <w:rsid w:val="0018394A"/>
    <w:rsid w:val="00184DCC"/>
    <w:rsid w:val="00185668"/>
    <w:rsid w:val="001866EA"/>
    <w:rsid w:val="00186A9D"/>
    <w:rsid w:val="00186C8E"/>
    <w:rsid w:val="00186DAC"/>
    <w:rsid w:val="00187228"/>
    <w:rsid w:val="001874A6"/>
    <w:rsid w:val="001874C0"/>
    <w:rsid w:val="0018765B"/>
    <w:rsid w:val="0019017A"/>
    <w:rsid w:val="001901E4"/>
    <w:rsid w:val="001904AE"/>
    <w:rsid w:val="00190913"/>
    <w:rsid w:val="00190EBD"/>
    <w:rsid w:val="001918BB"/>
    <w:rsid w:val="0019233F"/>
    <w:rsid w:val="0019236A"/>
    <w:rsid w:val="00192879"/>
    <w:rsid w:val="00192B82"/>
    <w:rsid w:val="00192E04"/>
    <w:rsid w:val="00192F7B"/>
    <w:rsid w:val="0019304B"/>
    <w:rsid w:val="0019315C"/>
    <w:rsid w:val="001936A3"/>
    <w:rsid w:val="00193744"/>
    <w:rsid w:val="00193915"/>
    <w:rsid w:val="00193A3D"/>
    <w:rsid w:val="00193B21"/>
    <w:rsid w:val="00193D1B"/>
    <w:rsid w:val="00193DD3"/>
    <w:rsid w:val="00194550"/>
    <w:rsid w:val="0019466F"/>
    <w:rsid w:val="001948AA"/>
    <w:rsid w:val="00194EF0"/>
    <w:rsid w:val="00195F65"/>
    <w:rsid w:val="00196451"/>
    <w:rsid w:val="00196A19"/>
    <w:rsid w:val="00196CBB"/>
    <w:rsid w:val="00196FFF"/>
    <w:rsid w:val="001976AF"/>
    <w:rsid w:val="001976DB"/>
    <w:rsid w:val="001A048D"/>
    <w:rsid w:val="001A05C5"/>
    <w:rsid w:val="001A05ED"/>
    <w:rsid w:val="001A0600"/>
    <w:rsid w:val="001A07E2"/>
    <w:rsid w:val="001A0A5D"/>
    <w:rsid w:val="001A0C71"/>
    <w:rsid w:val="001A10A9"/>
    <w:rsid w:val="001A12C7"/>
    <w:rsid w:val="001A17D8"/>
    <w:rsid w:val="001A2018"/>
    <w:rsid w:val="001A29A4"/>
    <w:rsid w:val="001A4D02"/>
    <w:rsid w:val="001A51C2"/>
    <w:rsid w:val="001A5688"/>
    <w:rsid w:val="001A56F1"/>
    <w:rsid w:val="001A5AC1"/>
    <w:rsid w:val="001A5D0E"/>
    <w:rsid w:val="001A6921"/>
    <w:rsid w:val="001A6B9B"/>
    <w:rsid w:val="001A6CE1"/>
    <w:rsid w:val="001B01C8"/>
    <w:rsid w:val="001B0B52"/>
    <w:rsid w:val="001B13F6"/>
    <w:rsid w:val="001B16F1"/>
    <w:rsid w:val="001B1747"/>
    <w:rsid w:val="001B1B19"/>
    <w:rsid w:val="001B1DBF"/>
    <w:rsid w:val="001B2499"/>
    <w:rsid w:val="001B2946"/>
    <w:rsid w:val="001B2BD6"/>
    <w:rsid w:val="001B2D44"/>
    <w:rsid w:val="001B3E20"/>
    <w:rsid w:val="001B51C2"/>
    <w:rsid w:val="001B51F5"/>
    <w:rsid w:val="001B5470"/>
    <w:rsid w:val="001B586D"/>
    <w:rsid w:val="001B5AB1"/>
    <w:rsid w:val="001B5BD9"/>
    <w:rsid w:val="001B5F69"/>
    <w:rsid w:val="001B5F76"/>
    <w:rsid w:val="001B636E"/>
    <w:rsid w:val="001B6838"/>
    <w:rsid w:val="001B7400"/>
    <w:rsid w:val="001B752A"/>
    <w:rsid w:val="001B7868"/>
    <w:rsid w:val="001B7FE0"/>
    <w:rsid w:val="001C0510"/>
    <w:rsid w:val="001C0CD9"/>
    <w:rsid w:val="001C12FB"/>
    <w:rsid w:val="001C16AC"/>
    <w:rsid w:val="001C1CA7"/>
    <w:rsid w:val="001C1D8F"/>
    <w:rsid w:val="001C1EDB"/>
    <w:rsid w:val="001C2010"/>
    <w:rsid w:val="001C213D"/>
    <w:rsid w:val="001C2174"/>
    <w:rsid w:val="001C2DB4"/>
    <w:rsid w:val="001C31E7"/>
    <w:rsid w:val="001C3228"/>
    <w:rsid w:val="001C35E9"/>
    <w:rsid w:val="001C36BD"/>
    <w:rsid w:val="001C3733"/>
    <w:rsid w:val="001C3760"/>
    <w:rsid w:val="001C39B0"/>
    <w:rsid w:val="001C3CC2"/>
    <w:rsid w:val="001C4323"/>
    <w:rsid w:val="001C4792"/>
    <w:rsid w:val="001C49A0"/>
    <w:rsid w:val="001C49B3"/>
    <w:rsid w:val="001C4BE9"/>
    <w:rsid w:val="001C55C4"/>
    <w:rsid w:val="001C583A"/>
    <w:rsid w:val="001C5B30"/>
    <w:rsid w:val="001C64C1"/>
    <w:rsid w:val="001C68C6"/>
    <w:rsid w:val="001C737B"/>
    <w:rsid w:val="001C7470"/>
    <w:rsid w:val="001C759D"/>
    <w:rsid w:val="001D0676"/>
    <w:rsid w:val="001D1872"/>
    <w:rsid w:val="001D1F6E"/>
    <w:rsid w:val="001D2953"/>
    <w:rsid w:val="001D2D1F"/>
    <w:rsid w:val="001D3738"/>
    <w:rsid w:val="001D3C05"/>
    <w:rsid w:val="001D3FE3"/>
    <w:rsid w:val="001D4BBC"/>
    <w:rsid w:val="001D5ECE"/>
    <w:rsid w:val="001D6386"/>
    <w:rsid w:val="001D67DE"/>
    <w:rsid w:val="001D6AF4"/>
    <w:rsid w:val="001D6B3B"/>
    <w:rsid w:val="001D7480"/>
    <w:rsid w:val="001D78A1"/>
    <w:rsid w:val="001DD013"/>
    <w:rsid w:val="001E0693"/>
    <w:rsid w:val="001E06C6"/>
    <w:rsid w:val="001E0CC1"/>
    <w:rsid w:val="001E1110"/>
    <w:rsid w:val="001E1442"/>
    <w:rsid w:val="001E18E1"/>
    <w:rsid w:val="001E1951"/>
    <w:rsid w:val="001E1C10"/>
    <w:rsid w:val="001E1CD4"/>
    <w:rsid w:val="001E1FBA"/>
    <w:rsid w:val="001E2265"/>
    <w:rsid w:val="001E23B3"/>
    <w:rsid w:val="001E3CC0"/>
    <w:rsid w:val="001E3E4C"/>
    <w:rsid w:val="001E3E88"/>
    <w:rsid w:val="001E4892"/>
    <w:rsid w:val="001E4CCE"/>
    <w:rsid w:val="001E54D7"/>
    <w:rsid w:val="001E56E9"/>
    <w:rsid w:val="001E5C32"/>
    <w:rsid w:val="001E5CE1"/>
    <w:rsid w:val="001E5EE7"/>
    <w:rsid w:val="001E5EE8"/>
    <w:rsid w:val="001E600A"/>
    <w:rsid w:val="001E713E"/>
    <w:rsid w:val="001E7565"/>
    <w:rsid w:val="001E77C3"/>
    <w:rsid w:val="001E781D"/>
    <w:rsid w:val="001F0157"/>
    <w:rsid w:val="001F01EC"/>
    <w:rsid w:val="001F02B9"/>
    <w:rsid w:val="001F0568"/>
    <w:rsid w:val="001F090B"/>
    <w:rsid w:val="001F0EDE"/>
    <w:rsid w:val="001F180A"/>
    <w:rsid w:val="001F1A28"/>
    <w:rsid w:val="001F1AD0"/>
    <w:rsid w:val="001F24A2"/>
    <w:rsid w:val="001F24DC"/>
    <w:rsid w:val="001F2682"/>
    <w:rsid w:val="001F268A"/>
    <w:rsid w:val="001F35E8"/>
    <w:rsid w:val="001F4014"/>
    <w:rsid w:val="001F445E"/>
    <w:rsid w:val="001F4E09"/>
    <w:rsid w:val="001F6423"/>
    <w:rsid w:val="001F6A98"/>
    <w:rsid w:val="0020023D"/>
    <w:rsid w:val="00200EFC"/>
    <w:rsid w:val="00200FCD"/>
    <w:rsid w:val="00201213"/>
    <w:rsid w:val="0020165E"/>
    <w:rsid w:val="0020171B"/>
    <w:rsid w:val="0020272E"/>
    <w:rsid w:val="0020288C"/>
    <w:rsid w:val="002029EF"/>
    <w:rsid w:val="00202E50"/>
    <w:rsid w:val="00203262"/>
    <w:rsid w:val="00203AC8"/>
    <w:rsid w:val="00204AAB"/>
    <w:rsid w:val="00204DD9"/>
    <w:rsid w:val="00205009"/>
    <w:rsid w:val="0020501F"/>
    <w:rsid w:val="00205180"/>
    <w:rsid w:val="002052E4"/>
    <w:rsid w:val="00205F5D"/>
    <w:rsid w:val="002065FB"/>
    <w:rsid w:val="0020687E"/>
    <w:rsid w:val="00206B4D"/>
    <w:rsid w:val="00207192"/>
    <w:rsid w:val="00207258"/>
    <w:rsid w:val="00207F81"/>
    <w:rsid w:val="002109F4"/>
    <w:rsid w:val="00210FEC"/>
    <w:rsid w:val="002111B1"/>
    <w:rsid w:val="0021123F"/>
    <w:rsid w:val="00211274"/>
    <w:rsid w:val="00211AAB"/>
    <w:rsid w:val="00211ADA"/>
    <w:rsid w:val="00211FDA"/>
    <w:rsid w:val="00212562"/>
    <w:rsid w:val="002128A5"/>
    <w:rsid w:val="00212B68"/>
    <w:rsid w:val="00212F28"/>
    <w:rsid w:val="00213A07"/>
    <w:rsid w:val="00213A95"/>
    <w:rsid w:val="00213EAF"/>
    <w:rsid w:val="00213F6F"/>
    <w:rsid w:val="002145C0"/>
    <w:rsid w:val="002145CF"/>
    <w:rsid w:val="00214F27"/>
    <w:rsid w:val="0021560C"/>
    <w:rsid w:val="00215FDA"/>
    <w:rsid w:val="002160C2"/>
    <w:rsid w:val="0021615E"/>
    <w:rsid w:val="00216768"/>
    <w:rsid w:val="00216C59"/>
    <w:rsid w:val="00216D5C"/>
    <w:rsid w:val="0021727A"/>
    <w:rsid w:val="0021766A"/>
    <w:rsid w:val="00217A7F"/>
    <w:rsid w:val="00217EC5"/>
    <w:rsid w:val="00220079"/>
    <w:rsid w:val="002201FB"/>
    <w:rsid w:val="0022071B"/>
    <w:rsid w:val="00220B83"/>
    <w:rsid w:val="002210A7"/>
    <w:rsid w:val="002212A1"/>
    <w:rsid w:val="0022176F"/>
    <w:rsid w:val="00221BDB"/>
    <w:rsid w:val="00221C15"/>
    <w:rsid w:val="00221D61"/>
    <w:rsid w:val="00221E7D"/>
    <w:rsid w:val="00222013"/>
    <w:rsid w:val="002222B6"/>
    <w:rsid w:val="0022268D"/>
    <w:rsid w:val="002228B7"/>
    <w:rsid w:val="00222A09"/>
    <w:rsid w:val="00222BB9"/>
    <w:rsid w:val="00224F47"/>
    <w:rsid w:val="0022508D"/>
    <w:rsid w:val="00225873"/>
    <w:rsid w:val="002258D6"/>
    <w:rsid w:val="00225A7B"/>
    <w:rsid w:val="00226941"/>
    <w:rsid w:val="00227120"/>
    <w:rsid w:val="00227301"/>
    <w:rsid w:val="002274FB"/>
    <w:rsid w:val="00227993"/>
    <w:rsid w:val="00227DD5"/>
    <w:rsid w:val="002307B8"/>
    <w:rsid w:val="002309D2"/>
    <w:rsid w:val="0023115F"/>
    <w:rsid w:val="002311C7"/>
    <w:rsid w:val="00231519"/>
    <w:rsid w:val="002316DE"/>
    <w:rsid w:val="00231B61"/>
    <w:rsid w:val="00232176"/>
    <w:rsid w:val="0023229B"/>
    <w:rsid w:val="0023268F"/>
    <w:rsid w:val="00232C82"/>
    <w:rsid w:val="0023315B"/>
    <w:rsid w:val="002337F0"/>
    <w:rsid w:val="00233842"/>
    <w:rsid w:val="00233EF4"/>
    <w:rsid w:val="00234557"/>
    <w:rsid w:val="002347FE"/>
    <w:rsid w:val="00234841"/>
    <w:rsid w:val="0023510B"/>
    <w:rsid w:val="00235F31"/>
    <w:rsid w:val="002360D3"/>
    <w:rsid w:val="002363C8"/>
    <w:rsid w:val="002367CE"/>
    <w:rsid w:val="002374E9"/>
    <w:rsid w:val="00237C6D"/>
    <w:rsid w:val="00237F28"/>
    <w:rsid w:val="002407F7"/>
    <w:rsid w:val="0024094E"/>
    <w:rsid w:val="00240AFB"/>
    <w:rsid w:val="00240D0F"/>
    <w:rsid w:val="0024140B"/>
    <w:rsid w:val="0024178D"/>
    <w:rsid w:val="00241924"/>
    <w:rsid w:val="00242126"/>
    <w:rsid w:val="00242393"/>
    <w:rsid w:val="00242923"/>
    <w:rsid w:val="00242CCF"/>
    <w:rsid w:val="00242F5A"/>
    <w:rsid w:val="0024328D"/>
    <w:rsid w:val="0024392B"/>
    <w:rsid w:val="00244393"/>
    <w:rsid w:val="002450C6"/>
    <w:rsid w:val="002451BB"/>
    <w:rsid w:val="0024573E"/>
    <w:rsid w:val="00245B8C"/>
    <w:rsid w:val="00245DCF"/>
    <w:rsid w:val="00245DED"/>
    <w:rsid w:val="00246224"/>
    <w:rsid w:val="00246403"/>
    <w:rsid w:val="00246C65"/>
    <w:rsid w:val="00246EF4"/>
    <w:rsid w:val="002470E8"/>
    <w:rsid w:val="00247125"/>
    <w:rsid w:val="0024721F"/>
    <w:rsid w:val="00247633"/>
    <w:rsid w:val="00247C37"/>
    <w:rsid w:val="00250B25"/>
    <w:rsid w:val="00251A10"/>
    <w:rsid w:val="00251A8B"/>
    <w:rsid w:val="00252200"/>
    <w:rsid w:val="00252210"/>
    <w:rsid w:val="002527A9"/>
    <w:rsid w:val="002528A9"/>
    <w:rsid w:val="00252BFF"/>
    <w:rsid w:val="0025349D"/>
    <w:rsid w:val="00253613"/>
    <w:rsid w:val="002536AB"/>
    <w:rsid w:val="00253732"/>
    <w:rsid w:val="002537B1"/>
    <w:rsid w:val="00253A26"/>
    <w:rsid w:val="00253B10"/>
    <w:rsid w:val="00253CC0"/>
    <w:rsid w:val="002542A8"/>
    <w:rsid w:val="00255187"/>
    <w:rsid w:val="00255240"/>
    <w:rsid w:val="0025537F"/>
    <w:rsid w:val="002561A8"/>
    <w:rsid w:val="002563A3"/>
    <w:rsid w:val="00256A85"/>
    <w:rsid w:val="00256D69"/>
    <w:rsid w:val="00256DBE"/>
    <w:rsid w:val="00257048"/>
    <w:rsid w:val="0025761B"/>
    <w:rsid w:val="002579BD"/>
    <w:rsid w:val="002600C8"/>
    <w:rsid w:val="00260A11"/>
    <w:rsid w:val="00260F41"/>
    <w:rsid w:val="00260FA7"/>
    <w:rsid w:val="00261167"/>
    <w:rsid w:val="0026169A"/>
    <w:rsid w:val="002621AC"/>
    <w:rsid w:val="00262287"/>
    <w:rsid w:val="002625CE"/>
    <w:rsid w:val="00262763"/>
    <w:rsid w:val="00262C26"/>
    <w:rsid w:val="00262C5A"/>
    <w:rsid w:val="00263005"/>
    <w:rsid w:val="0026379A"/>
    <w:rsid w:val="00263B3F"/>
    <w:rsid w:val="00263BF1"/>
    <w:rsid w:val="00263DFF"/>
    <w:rsid w:val="00264BEA"/>
    <w:rsid w:val="00264F81"/>
    <w:rsid w:val="00265672"/>
    <w:rsid w:val="00266691"/>
    <w:rsid w:val="00266731"/>
    <w:rsid w:val="00266B92"/>
    <w:rsid w:val="002674CF"/>
    <w:rsid w:val="00267850"/>
    <w:rsid w:val="002679C7"/>
    <w:rsid w:val="00267A30"/>
    <w:rsid w:val="00267B13"/>
    <w:rsid w:val="00267E6E"/>
    <w:rsid w:val="00270876"/>
    <w:rsid w:val="00270E94"/>
    <w:rsid w:val="00270F13"/>
    <w:rsid w:val="00271032"/>
    <w:rsid w:val="0027105E"/>
    <w:rsid w:val="00271875"/>
    <w:rsid w:val="00271F10"/>
    <w:rsid w:val="002724EA"/>
    <w:rsid w:val="0027308D"/>
    <w:rsid w:val="00273472"/>
    <w:rsid w:val="00273E3E"/>
    <w:rsid w:val="00273F12"/>
    <w:rsid w:val="0027401E"/>
    <w:rsid w:val="00274032"/>
    <w:rsid w:val="00274147"/>
    <w:rsid w:val="0027438D"/>
    <w:rsid w:val="00274D32"/>
    <w:rsid w:val="00275189"/>
    <w:rsid w:val="00275278"/>
    <w:rsid w:val="002756DC"/>
    <w:rsid w:val="002758CF"/>
    <w:rsid w:val="002762A7"/>
    <w:rsid w:val="00276412"/>
    <w:rsid w:val="00276437"/>
    <w:rsid w:val="00276A3D"/>
    <w:rsid w:val="00276BC5"/>
    <w:rsid w:val="00277243"/>
    <w:rsid w:val="002773AF"/>
    <w:rsid w:val="00277EE0"/>
    <w:rsid w:val="00280053"/>
    <w:rsid w:val="0028063F"/>
    <w:rsid w:val="00280740"/>
    <w:rsid w:val="00280846"/>
    <w:rsid w:val="00280B0C"/>
    <w:rsid w:val="00280C47"/>
    <w:rsid w:val="00280CC3"/>
    <w:rsid w:val="00280DC4"/>
    <w:rsid w:val="00280F9E"/>
    <w:rsid w:val="00281091"/>
    <w:rsid w:val="002818A8"/>
    <w:rsid w:val="00281C11"/>
    <w:rsid w:val="002831BC"/>
    <w:rsid w:val="00283B02"/>
    <w:rsid w:val="00283C5D"/>
    <w:rsid w:val="002844B0"/>
    <w:rsid w:val="002844E6"/>
    <w:rsid w:val="00284D7F"/>
    <w:rsid w:val="00285037"/>
    <w:rsid w:val="00285B0E"/>
    <w:rsid w:val="00286322"/>
    <w:rsid w:val="002879FC"/>
    <w:rsid w:val="00287A37"/>
    <w:rsid w:val="00290D25"/>
    <w:rsid w:val="0029107D"/>
    <w:rsid w:val="0029112F"/>
    <w:rsid w:val="00291191"/>
    <w:rsid w:val="00291609"/>
    <w:rsid w:val="00291B35"/>
    <w:rsid w:val="00291F71"/>
    <w:rsid w:val="00292772"/>
    <w:rsid w:val="0029335D"/>
    <w:rsid w:val="00293386"/>
    <w:rsid w:val="002939BF"/>
    <w:rsid w:val="00294760"/>
    <w:rsid w:val="0029494D"/>
    <w:rsid w:val="00294B00"/>
    <w:rsid w:val="00294EA6"/>
    <w:rsid w:val="00295A7D"/>
    <w:rsid w:val="00295D83"/>
    <w:rsid w:val="00296223"/>
    <w:rsid w:val="00296B03"/>
    <w:rsid w:val="00296C1F"/>
    <w:rsid w:val="00296EBC"/>
    <w:rsid w:val="00297172"/>
    <w:rsid w:val="002973C6"/>
    <w:rsid w:val="002974A4"/>
    <w:rsid w:val="002A021E"/>
    <w:rsid w:val="002A02A1"/>
    <w:rsid w:val="002A06FA"/>
    <w:rsid w:val="002A08E3"/>
    <w:rsid w:val="002A0B4C"/>
    <w:rsid w:val="002A0CB3"/>
    <w:rsid w:val="002A11FC"/>
    <w:rsid w:val="002A1B01"/>
    <w:rsid w:val="002A1DC0"/>
    <w:rsid w:val="002A2E6C"/>
    <w:rsid w:val="002A30A3"/>
    <w:rsid w:val="002A3C3B"/>
    <w:rsid w:val="002A40AD"/>
    <w:rsid w:val="002A41E6"/>
    <w:rsid w:val="002A44C8"/>
    <w:rsid w:val="002A545A"/>
    <w:rsid w:val="002A56E0"/>
    <w:rsid w:val="002A58D5"/>
    <w:rsid w:val="002A5A67"/>
    <w:rsid w:val="002A5C31"/>
    <w:rsid w:val="002A5E48"/>
    <w:rsid w:val="002A634F"/>
    <w:rsid w:val="002A6A8D"/>
    <w:rsid w:val="002A6AD9"/>
    <w:rsid w:val="002A6D7D"/>
    <w:rsid w:val="002A73D4"/>
    <w:rsid w:val="002A7B7D"/>
    <w:rsid w:val="002B0059"/>
    <w:rsid w:val="002B0455"/>
    <w:rsid w:val="002B069C"/>
    <w:rsid w:val="002B07D1"/>
    <w:rsid w:val="002B1785"/>
    <w:rsid w:val="002B1B2D"/>
    <w:rsid w:val="002B1C70"/>
    <w:rsid w:val="002B1CE6"/>
    <w:rsid w:val="002B212C"/>
    <w:rsid w:val="002B23D9"/>
    <w:rsid w:val="002B261C"/>
    <w:rsid w:val="002B2BEE"/>
    <w:rsid w:val="002B35C5"/>
    <w:rsid w:val="002B3935"/>
    <w:rsid w:val="002B3E39"/>
    <w:rsid w:val="002B406A"/>
    <w:rsid w:val="002B41D4"/>
    <w:rsid w:val="002B47B4"/>
    <w:rsid w:val="002B49F2"/>
    <w:rsid w:val="002B543F"/>
    <w:rsid w:val="002B578F"/>
    <w:rsid w:val="002B5935"/>
    <w:rsid w:val="002B5C07"/>
    <w:rsid w:val="002B5E9F"/>
    <w:rsid w:val="002B5EA3"/>
    <w:rsid w:val="002B6165"/>
    <w:rsid w:val="002B6D3A"/>
    <w:rsid w:val="002B6E8C"/>
    <w:rsid w:val="002B7260"/>
    <w:rsid w:val="002B7564"/>
    <w:rsid w:val="002B7928"/>
    <w:rsid w:val="002B7D73"/>
    <w:rsid w:val="002B7DD7"/>
    <w:rsid w:val="002C06E3"/>
    <w:rsid w:val="002C0801"/>
    <w:rsid w:val="002C1173"/>
    <w:rsid w:val="002C12FB"/>
    <w:rsid w:val="002C145F"/>
    <w:rsid w:val="002C28D1"/>
    <w:rsid w:val="002C2D0F"/>
    <w:rsid w:val="002C33B3"/>
    <w:rsid w:val="002C3564"/>
    <w:rsid w:val="002C4475"/>
    <w:rsid w:val="002C44B0"/>
    <w:rsid w:val="002C4540"/>
    <w:rsid w:val="002C4E07"/>
    <w:rsid w:val="002C5945"/>
    <w:rsid w:val="002C5B1D"/>
    <w:rsid w:val="002C6C0E"/>
    <w:rsid w:val="002C766F"/>
    <w:rsid w:val="002C7923"/>
    <w:rsid w:val="002C7A7C"/>
    <w:rsid w:val="002D03D1"/>
    <w:rsid w:val="002D0586"/>
    <w:rsid w:val="002D06AC"/>
    <w:rsid w:val="002D0711"/>
    <w:rsid w:val="002D0B67"/>
    <w:rsid w:val="002D0EA2"/>
    <w:rsid w:val="002D1023"/>
    <w:rsid w:val="002D1459"/>
    <w:rsid w:val="002D1470"/>
    <w:rsid w:val="002D191B"/>
    <w:rsid w:val="002D1C8B"/>
    <w:rsid w:val="002D1FD4"/>
    <w:rsid w:val="002D21CF"/>
    <w:rsid w:val="002D21E6"/>
    <w:rsid w:val="002D2606"/>
    <w:rsid w:val="002D266F"/>
    <w:rsid w:val="002D26F3"/>
    <w:rsid w:val="002D2FDC"/>
    <w:rsid w:val="002D3127"/>
    <w:rsid w:val="002D31F6"/>
    <w:rsid w:val="002D33B7"/>
    <w:rsid w:val="002D3CCF"/>
    <w:rsid w:val="002D3DB7"/>
    <w:rsid w:val="002D4705"/>
    <w:rsid w:val="002D5B65"/>
    <w:rsid w:val="002D5C85"/>
    <w:rsid w:val="002D6396"/>
    <w:rsid w:val="002D645C"/>
    <w:rsid w:val="002D668D"/>
    <w:rsid w:val="002D6FCB"/>
    <w:rsid w:val="002D798D"/>
    <w:rsid w:val="002D7E5E"/>
    <w:rsid w:val="002D7F70"/>
    <w:rsid w:val="002E00C7"/>
    <w:rsid w:val="002E07BA"/>
    <w:rsid w:val="002E07EF"/>
    <w:rsid w:val="002E0D06"/>
    <w:rsid w:val="002E0D20"/>
    <w:rsid w:val="002E1186"/>
    <w:rsid w:val="002E120B"/>
    <w:rsid w:val="002E1810"/>
    <w:rsid w:val="002E2900"/>
    <w:rsid w:val="002E2D70"/>
    <w:rsid w:val="002E2E97"/>
    <w:rsid w:val="002E2F56"/>
    <w:rsid w:val="002E350D"/>
    <w:rsid w:val="002E3D09"/>
    <w:rsid w:val="002E481D"/>
    <w:rsid w:val="002E4B35"/>
    <w:rsid w:val="002E4E94"/>
    <w:rsid w:val="002E4FDD"/>
    <w:rsid w:val="002E5857"/>
    <w:rsid w:val="002E5DEE"/>
    <w:rsid w:val="002E6BFA"/>
    <w:rsid w:val="002F0004"/>
    <w:rsid w:val="002F0AFF"/>
    <w:rsid w:val="002F0D30"/>
    <w:rsid w:val="002F0D58"/>
    <w:rsid w:val="002F117D"/>
    <w:rsid w:val="002F12D8"/>
    <w:rsid w:val="002F12DD"/>
    <w:rsid w:val="002F1F28"/>
    <w:rsid w:val="002F22BE"/>
    <w:rsid w:val="002F2810"/>
    <w:rsid w:val="002F2978"/>
    <w:rsid w:val="002F2BFC"/>
    <w:rsid w:val="002F301C"/>
    <w:rsid w:val="002F3A98"/>
    <w:rsid w:val="002F43CA"/>
    <w:rsid w:val="002F57AA"/>
    <w:rsid w:val="002F6567"/>
    <w:rsid w:val="002F6BA9"/>
    <w:rsid w:val="002F6EF7"/>
    <w:rsid w:val="002F714C"/>
    <w:rsid w:val="002F77BF"/>
    <w:rsid w:val="002F7E10"/>
    <w:rsid w:val="0030039A"/>
    <w:rsid w:val="003004A2"/>
    <w:rsid w:val="00300A3A"/>
    <w:rsid w:val="00301872"/>
    <w:rsid w:val="00301F41"/>
    <w:rsid w:val="0030238E"/>
    <w:rsid w:val="00302A6A"/>
    <w:rsid w:val="00302BA6"/>
    <w:rsid w:val="003032A0"/>
    <w:rsid w:val="00303389"/>
    <w:rsid w:val="00303598"/>
    <w:rsid w:val="00303A70"/>
    <w:rsid w:val="00303DD5"/>
    <w:rsid w:val="003042E0"/>
    <w:rsid w:val="003042EC"/>
    <w:rsid w:val="00304DBC"/>
    <w:rsid w:val="00305181"/>
    <w:rsid w:val="00305373"/>
    <w:rsid w:val="0030541B"/>
    <w:rsid w:val="00305CEF"/>
    <w:rsid w:val="0030656B"/>
    <w:rsid w:val="003070A5"/>
    <w:rsid w:val="00307B74"/>
    <w:rsid w:val="00310764"/>
    <w:rsid w:val="00310FBE"/>
    <w:rsid w:val="00311543"/>
    <w:rsid w:val="00311636"/>
    <w:rsid w:val="00311BFD"/>
    <w:rsid w:val="00311C7F"/>
    <w:rsid w:val="00311D1B"/>
    <w:rsid w:val="00312809"/>
    <w:rsid w:val="00312D4B"/>
    <w:rsid w:val="00312E71"/>
    <w:rsid w:val="00312FA9"/>
    <w:rsid w:val="003131BB"/>
    <w:rsid w:val="0031322C"/>
    <w:rsid w:val="00313518"/>
    <w:rsid w:val="00313D9C"/>
    <w:rsid w:val="003141CD"/>
    <w:rsid w:val="00314718"/>
    <w:rsid w:val="0031488A"/>
    <w:rsid w:val="00314FE9"/>
    <w:rsid w:val="00314FF0"/>
    <w:rsid w:val="003159D1"/>
    <w:rsid w:val="0031657D"/>
    <w:rsid w:val="00317524"/>
    <w:rsid w:val="003175E1"/>
    <w:rsid w:val="00317714"/>
    <w:rsid w:val="00317858"/>
    <w:rsid w:val="00317F1A"/>
    <w:rsid w:val="003200E7"/>
    <w:rsid w:val="00320203"/>
    <w:rsid w:val="00320A0B"/>
    <w:rsid w:val="00320C73"/>
    <w:rsid w:val="00320E69"/>
    <w:rsid w:val="0032114A"/>
    <w:rsid w:val="00321871"/>
    <w:rsid w:val="003219DD"/>
    <w:rsid w:val="00321A99"/>
    <w:rsid w:val="00321B10"/>
    <w:rsid w:val="00322002"/>
    <w:rsid w:val="00322033"/>
    <w:rsid w:val="00322341"/>
    <w:rsid w:val="00322CFF"/>
    <w:rsid w:val="00322D7B"/>
    <w:rsid w:val="00324007"/>
    <w:rsid w:val="00324101"/>
    <w:rsid w:val="0032460D"/>
    <w:rsid w:val="003247B0"/>
    <w:rsid w:val="003250C6"/>
    <w:rsid w:val="00325E81"/>
    <w:rsid w:val="00326732"/>
    <w:rsid w:val="00326794"/>
    <w:rsid w:val="00326948"/>
    <w:rsid w:val="00326E42"/>
    <w:rsid w:val="00327052"/>
    <w:rsid w:val="00327DFD"/>
    <w:rsid w:val="00327EDC"/>
    <w:rsid w:val="00327F4B"/>
    <w:rsid w:val="00330948"/>
    <w:rsid w:val="00331A2B"/>
    <w:rsid w:val="00331B68"/>
    <w:rsid w:val="003322CD"/>
    <w:rsid w:val="00332C0A"/>
    <w:rsid w:val="00332E5D"/>
    <w:rsid w:val="0033372A"/>
    <w:rsid w:val="0033399A"/>
    <w:rsid w:val="00333D83"/>
    <w:rsid w:val="00334373"/>
    <w:rsid w:val="00334425"/>
    <w:rsid w:val="003346F4"/>
    <w:rsid w:val="0033486D"/>
    <w:rsid w:val="00334914"/>
    <w:rsid w:val="00335228"/>
    <w:rsid w:val="0033528E"/>
    <w:rsid w:val="0033535C"/>
    <w:rsid w:val="00335A72"/>
    <w:rsid w:val="003367C4"/>
    <w:rsid w:val="00336D8E"/>
    <w:rsid w:val="00336E60"/>
    <w:rsid w:val="00337329"/>
    <w:rsid w:val="003376B3"/>
    <w:rsid w:val="003376FD"/>
    <w:rsid w:val="00340E24"/>
    <w:rsid w:val="0034124E"/>
    <w:rsid w:val="0034157B"/>
    <w:rsid w:val="003420A3"/>
    <w:rsid w:val="00342249"/>
    <w:rsid w:val="0034258B"/>
    <w:rsid w:val="00342620"/>
    <w:rsid w:val="00342CCF"/>
    <w:rsid w:val="00342DBA"/>
    <w:rsid w:val="0034307C"/>
    <w:rsid w:val="003435E4"/>
    <w:rsid w:val="0034368C"/>
    <w:rsid w:val="0034395F"/>
    <w:rsid w:val="00343C78"/>
    <w:rsid w:val="003441F7"/>
    <w:rsid w:val="00344395"/>
    <w:rsid w:val="00344C9B"/>
    <w:rsid w:val="0034594F"/>
    <w:rsid w:val="00345A28"/>
    <w:rsid w:val="00345D1B"/>
    <w:rsid w:val="00345F79"/>
    <w:rsid w:val="00345F9C"/>
    <w:rsid w:val="00346822"/>
    <w:rsid w:val="00346EAD"/>
    <w:rsid w:val="00347604"/>
    <w:rsid w:val="0034761B"/>
    <w:rsid w:val="00347776"/>
    <w:rsid w:val="00350270"/>
    <w:rsid w:val="003504CD"/>
    <w:rsid w:val="003507DA"/>
    <w:rsid w:val="00350B17"/>
    <w:rsid w:val="00350E6A"/>
    <w:rsid w:val="00351A91"/>
    <w:rsid w:val="003520C4"/>
    <w:rsid w:val="003523B0"/>
    <w:rsid w:val="00352947"/>
    <w:rsid w:val="003533AE"/>
    <w:rsid w:val="00353EC8"/>
    <w:rsid w:val="00354110"/>
    <w:rsid w:val="00355177"/>
    <w:rsid w:val="0035569C"/>
    <w:rsid w:val="0035585A"/>
    <w:rsid w:val="00355995"/>
    <w:rsid w:val="00355B75"/>
    <w:rsid w:val="00355E14"/>
    <w:rsid w:val="00355ED4"/>
    <w:rsid w:val="003560A4"/>
    <w:rsid w:val="00356282"/>
    <w:rsid w:val="003563C3"/>
    <w:rsid w:val="00356704"/>
    <w:rsid w:val="00356A58"/>
    <w:rsid w:val="00357851"/>
    <w:rsid w:val="00357C5E"/>
    <w:rsid w:val="00360425"/>
    <w:rsid w:val="00360450"/>
    <w:rsid w:val="003606B1"/>
    <w:rsid w:val="003608BD"/>
    <w:rsid w:val="0036104F"/>
    <w:rsid w:val="00361280"/>
    <w:rsid w:val="003615F1"/>
    <w:rsid w:val="00361A6E"/>
    <w:rsid w:val="00361D3C"/>
    <w:rsid w:val="003626AF"/>
    <w:rsid w:val="00362AE1"/>
    <w:rsid w:val="00362D26"/>
    <w:rsid w:val="00363064"/>
    <w:rsid w:val="003639E7"/>
    <w:rsid w:val="00363D7F"/>
    <w:rsid w:val="00364671"/>
    <w:rsid w:val="00364780"/>
    <w:rsid w:val="0036531E"/>
    <w:rsid w:val="0036655E"/>
    <w:rsid w:val="003671E8"/>
    <w:rsid w:val="003673F5"/>
    <w:rsid w:val="00367964"/>
    <w:rsid w:val="00367C66"/>
    <w:rsid w:val="00370054"/>
    <w:rsid w:val="003700B2"/>
    <w:rsid w:val="00370645"/>
    <w:rsid w:val="00370B48"/>
    <w:rsid w:val="00370D0A"/>
    <w:rsid w:val="00371286"/>
    <w:rsid w:val="00371523"/>
    <w:rsid w:val="0037199E"/>
    <w:rsid w:val="0037223E"/>
    <w:rsid w:val="0037233D"/>
    <w:rsid w:val="003729C2"/>
    <w:rsid w:val="003736EF"/>
    <w:rsid w:val="003737E3"/>
    <w:rsid w:val="003739FE"/>
    <w:rsid w:val="003748F5"/>
    <w:rsid w:val="00374B3B"/>
    <w:rsid w:val="003755F2"/>
    <w:rsid w:val="003759F0"/>
    <w:rsid w:val="003762C1"/>
    <w:rsid w:val="003763F2"/>
    <w:rsid w:val="00376664"/>
    <w:rsid w:val="00376B83"/>
    <w:rsid w:val="0037700D"/>
    <w:rsid w:val="003771A4"/>
    <w:rsid w:val="003771C9"/>
    <w:rsid w:val="00377966"/>
    <w:rsid w:val="00377C1B"/>
    <w:rsid w:val="00380522"/>
    <w:rsid w:val="00380815"/>
    <w:rsid w:val="00380A1A"/>
    <w:rsid w:val="00380D80"/>
    <w:rsid w:val="00380F62"/>
    <w:rsid w:val="00381B88"/>
    <w:rsid w:val="00381D0D"/>
    <w:rsid w:val="0038252A"/>
    <w:rsid w:val="00383C76"/>
    <w:rsid w:val="00383E4D"/>
    <w:rsid w:val="00384728"/>
    <w:rsid w:val="003847E8"/>
    <w:rsid w:val="00384A94"/>
    <w:rsid w:val="00384CA6"/>
    <w:rsid w:val="0038500E"/>
    <w:rsid w:val="003853D7"/>
    <w:rsid w:val="003857F9"/>
    <w:rsid w:val="00386CBB"/>
    <w:rsid w:val="0038761D"/>
    <w:rsid w:val="003906F8"/>
    <w:rsid w:val="00390700"/>
    <w:rsid w:val="003910A2"/>
    <w:rsid w:val="0039131C"/>
    <w:rsid w:val="0039165B"/>
    <w:rsid w:val="00392602"/>
    <w:rsid w:val="0039277F"/>
    <w:rsid w:val="003935EE"/>
    <w:rsid w:val="0039361B"/>
    <w:rsid w:val="00393A12"/>
    <w:rsid w:val="00393B48"/>
    <w:rsid w:val="00393EE9"/>
    <w:rsid w:val="0039408A"/>
    <w:rsid w:val="003945F5"/>
    <w:rsid w:val="00394852"/>
    <w:rsid w:val="003948AD"/>
    <w:rsid w:val="00394A8F"/>
    <w:rsid w:val="0039556E"/>
    <w:rsid w:val="0039632A"/>
    <w:rsid w:val="00396616"/>
    <w:rsid w:val="0039673D"/>
    <w:rsid w:val="00397588"/>
    <w:rsid w:val="003975DA"/>
    <w:rsid w:val="00397893"/>
    <w:rsid w:val="0039797C"/>
    <w:rsid w:val="003A0441"/>
    <w:rsid w:val="003A143B"/>
    <w:rsid w:val="003A1935"/>
    <w:rsid w:val="003A1AB7"/>
    <w:rsid w:val="003A1DD6"/>
    <w:rsid w:val="003A2407"/>
    <w:rsid w:val="003A242A"/>
    <w:rsid w:val="003A264C"/>
    <w:rsid w:val="003A2A5A"/>
    <w:rsid w:val="003A2C8D"/>
    <w:rsid w:val="003A2CF0"/>
    <w:rsid w:val="003A32A8"/>
    <w:rsid w:val="003A33D3"/>
    <w:rsid w:val="003A340D"/>
    <w:rsid w:val="003A380A"/>
    <w:rsid w:val="003A3880"/>
    <w:rsid w:val="003A3ED0"/>
    <w:rsid w:val="003A43B7"/>
    <w:rsid w:val="003A4716"/>
    <w:rsid w:val="003A4793"/>
    <w:rsid w:val="003A4B52"/>
    <w:rsid w:val="003A4D30"/>
    <w:rsid w:val="003A5411"/>
    <w:rsid w:val="003A59D2"/>
    <w:rsid w:val="003A5BC5"/>
    <w:rsid w:val="003A5D55"/>
    <w:rsid w:val="003A6676"/>
    <w:rsid w:val="003A68E0"/>
    <w:rsid w:val="003A6DB7"/>
    <w:rsid w:val="003A72A6"/>
    <w:rsid w:val="003A7388"/>
    <w:rsid w:val="003A75E6"/>
    <w:rsid w:val="003A763E"/>
    <w:rsid w:val="003A7C3B"/>
    <w:rsid w:val="003B0271"/>
    <w:rsid w:val="003B0544"/>
    <w:rsid w:val="003B08D2"/>
    <w:rsid w:val="003B0B93"/>
    <w:rsid w:val="003B0C6C"/>
    <w:rsid w:val="003B0F0B"/>
    <w:rsid w:val="003B1041"/>
    <w:rsid w:val="003B1279"/>
    <w:rsid w:val="003B1307"/>
    <w:rsid w:val="003B15D1"/>
    <w:rsid w:val="003B1843"/>
    <w:rsid w:val="003B21F2"/>
    <w:rsid w:val="003B255B"/>
    <w:rsid w:val="003B276E"/>
    <w:rsid w:val="003B2A8A"/>
    <w:rsid w:val="003B2D50"/>
    <w:rsid w:val="003B317C"/>
    <w:rsid w:val="003B3317"/>
    <w:rsid w:val="003B3357"/>
    <w:rsid w:val="003B3936"/>
    <w:rsid w:val="003B41CE"/>
    <w:rsid w:val="003B4B2F"/>
    <w:rsid w:val="003B4C50"/>
    <w:rsid w:val="003B52D4"/>
    <w:rsid w:val="003B5545"/>
    <w:rsid w:val="003B5F55"/>
    <w:rsid w:val="003B665F"/>
    <w:rsid w:val="003B67A6"/>
    <w:rsid w:val="003B6B96"/>
    <w:rsid w:val="003B7110"/>
    <w:rsid w:val="003B77FD"/>
    <w:rsid w:val="003C04B6"/>
    <w:rsid w:val="003C0855"/>
    <w:rsid w:val="003C0875"/>
    <w:rsid w:val="003C090A"/>
    <w:rsid w:val="003C0ED2"/>
    <w:rsid w:val="003C0FC1"/>
    <w:rsid w:val="003C1149"/>
    <w:rsid w:val="003C117C"/>
    <w:rsid w:val="003C15F0"/>
    <w:rsid w:val="003C1801"/>
    <w:rsid w:val="003C1C58"/>
    <w:rsid w:val="003C1CA5"/>
    <w:rsid w:val="003C1EC7"/>
    <w:rsid w:val="003C26DA"/>
    <w:rsid w:val="003C27DB"/>
    <w:rsid w:val="003C281E"/>
    <w:rsid w:val="003C2F4A"/>
    <w:rsid w:val="003C3527"/>
    <w:rsid w:val="003C36C6"/>
    <w:rsid w:val="003C3CB6"/>
    <w:rsid w:val="003C3D8E"/>
    <w:rsid w:val="003C482A"/>
    <w:rsid w:val="003C577A"/>
    <w:rsid w:val="003C5E61"/>
    <w:rsid w:val="003C62E2"/>
    <w:rsid w:val="003C637B"/>
    <w:rsid w:val="003C64A0"/>
    <w:rsid w:val="003C6529"/>
    <w:rsid w:val="003C6B8C"/>
    <w:rsid w:val="003C6C4D"/>
    <w:rsid w:val="003C6CF4"/>
    <w:rsid w:val="003C6F0B"/>
    <w:rsid w:val="003C7643"/>
    <w:rsid w:val="003C7BA3"/>
    <w:rsid w:val="003C7C0B"/>
    <w:rsid w:val="003D09E2"/>
    <w:rsid w:val="003D0CAC"/>
    <w:rsid w:val="003D1A1A"/>
    <w:rsid w:val="003D278C"/>
    <w:rsid w:val="003D2925"/>
    <w:rsid w:val="003D2B57"/>
    <w:rsid w:val="003D2B77"/>
    <w:rsid w:val="003D2E34"/>
    <w:rsid w:val="003D316A"/>
    <w:rsid w:val="003D3439"/>
    <w:rsid w:val="003D3642"/>
    <w:rsid w:val="003D3976"/>
    <w:rsid w:val="003D456A"/>
    <w:rsid w:val="003D46BA"/>
    <w:rsid w:val="003D4A81"/>
    <w:rsid w:val="003D4B8E"/>
    <w:rsid w:val="003D4D02"/>
    <w:rsid w:val="003D4D89"/>
    <w:rsid w:val="003D4E9C"/>
    <w:rsid w:val="003D50D9"/>
    <w:rsid w:val="003D591D"/>
    <w:rsid w:val="003D5EE8"/>
    <w:rsid w:val="003D5F07"/>
    <w:rsid w:val="003D6897"/>
    <w:rsid w:val="003D692A"/>
    <w:rsid w:val="003D6A11"/>
    <w:rsid w:val="003D6C50"/>
    <w:rsid w:val="003E0185"/>
    <w:rsid w:val="003E0496"/>
    <w:rsid w:val="003E0D78"/>
    <w:rsid w:val="003E0F6B"/>
    <w:rsid w:val="003E115F"/>
    <w:rsid w:val="003E17FA"/>
    <w:rsid w:val="003E1869"/>
    <w:rsid w:val="003E1CB1"/>
    <w:rsid w:val="003E1D19"/>
    <w:rsid w:val="003E2A5C"/>
    <w:rsid w:val="003E3147"/>
    <w:rsid w:val="003E3190"/>
    <w:rsid w:val="003E3A1D"/>
    <w:rsid w:val="003E4510"/>
    <w:rsid w:val="003E4B18"/>
    <w:rsid w:val="003E4C8E"/>
    <w:rsid w:val="003E67FC"/>
    <w:rsid w:val="003E6A15"/>
    <w:rsid w:val="003E6B38"/>
    <w:rsid w:val="003E6BE7"/>
    <w:rsid w:val="003E6CA0"/>
    <w:rsid w:val="003E7CB7"/>
    <w:rsid w:val="003E7F2C"/>
    <w:rsid w:val="003E7F84"/>
    <w:rsid w:val="003F1067"/>
    <w:rsid w:val="003F1A79"/>
    <w:rsid w:val="003F1F41"/>
    <w:rsid w:val="003F22EC"/>
    <w:rsid w:val="003F2FDE"/>
    <w:rsid w:val="003F330B"/>
    <w:rsid w:val="003F3819"/>
    <w:rsid w:val="003F5381"/>
    <w:rsid w:val="003F5609"/>
    <w:rsid w:val="003F589F"/>
    <w:rsid w:val="003F58B9"/>
    <w:rsid w:val="003F6040"/>
    <w:rsid w:val="003F61F8"/>
    <w:rsid w:val="003F673A"/>
    <w:rsid w:val="003F6919"/>
    <w:rsid w:val="003F69C9"/>
    <w:rsid w:val="003F6EA3"/>
    <w:rsid w:val="003F6FDF"/>
    <w:rsid w:val="003F7082"/>
    <w:rsid w:val="003F793C"/>
    <w:rsid w:val="003F7D61"/>
    <w:rsid w:val="004005C1"/>
    <w:rsid w:val="00400707"/>
    <w:rsid w:val="004007EC"/>
    <w:rsid w:val="0040088D"/>
    <w:rsid w:val="00400C22"/>
    <w:rsid w:val="00400FDB"/>
    <w:rsid w:val="004011DC"/>
    <w:rsid w:val="004016F5"/>
    <w:rsid w:val="004018AF"/>
    <w:rsid w:val="00401CB9"/>
    <w:rsid w:val="00402093"/>
    <w:rsid w:val="00402415"/>
    <w:rsid w:val="0040276B"/>
    <w:rsid w:val="00403974"/>
    <w:rsid w:val="00403FA4"/>
    <w:rsid w:val="004045AA"/>
    <w:rsid w:val="0040549A"/>
    <w:rsid w:val="00405CC9"/>
    <w:rsid w:val="004065E2"/>
    <w:rsid w:val="00406755"/>
    <w:rsid w:val="0040711E"/>
    <w:rsid w:val="004071AD"/>
    <w:rsid w:val="004073C0"/>
    <w:rsid w:val="00407583"/>
    <w:rsid w:val="00407D67"/>
    <w:rsid w:val="00410313"/>
    <w:rsid w:val="00411334"/>
    <w:rsid w:val="00411819"/>
    <w:rsid w:val="00411A5F"/>
    <w:rsid w:val="00412450"/>
    <w:rsid w:val="004127CF"/>
    <w:rsid w:val="00412920"/>
    <w:rsid w:val="0041308C"/>
    <w:rsid w:val="004130AF"/>
    <w:rsid w:val="004138DE"/>
    <w:rsid w:val="00413B39"/>
    <w:rsid w:val="00413CCA"/>
    <w:rsid w:val="004146FA"/>
    <w:rsid w:val="00414B2F"/>
    <w:rsid w:val="00414D49"/>
    <w:rsid w:val="004150A2"/>
    <w:rsid w:val="004153D5"/>
    <w:rsid w:val="004154EB"/>
    <w:rsid w:val="00415A59"/>
    <w:rsid w:val="00415E58"/>
    <w:rsid w:val="00416231"/>
    <w:rsid w:val="00416577"/>
    <w:rsid w:val="00417166"/>
    <w:rsid w:val="00417517"/>
    <w:rsid w:val="00417F00"/>
    <w:rsid w:val="004204B2"/>
    <w:rsid w:val="004208AB"/>
    <w:rsid w:val="00420DB0"/>
    <w:rsid w:val="004212F0"/>
    <w:rsid w:val="004219EF"/>
    <w:rsid w:val="00421A52"/>
    <w:rsid w:val="00421A72"/>
    <w:rsid w:val="00422500"/>
    <w:rsid w:val="00422A03"/>
    <w:rsid w:val="00422ACE"/>
    <w:rsid w:val="00422AE5"/>
    <w:rsid w:val="00422D22"/>
    <w:rsid w:val="004233E7"/>
    <w:rsid w:val="00423B6F"/>
    <w:rsid w:val="00424348"/>
    <w:rsid w:val="00424648"/>
    <w:rsid w:val="00424E18"/>
    <w:rsid w:val="0042586D"/>
    <w:rsid w:val="00426934"/>
    <w:rsid w:val="00426CD9"/>
    <w:rsid w:val="00427549"/>
    <w:rsid w:val="0042764D"/>
    <w:rsid w:val="004278E0"/>
    <w:rsid w:val="00427DD5"/>
    <w:rsid w:val="004304F3"/>
    <w:rsid w:val="00430638"/>
    <w:rsid w:val="00430C3A"/>
    <w:rsid w:val="00430FEB"/>
    <w:rsid w:val="004310EE"/>
    <w:rsid w:val="0043136E"/>
    <w:rsid w:val="00431F64"/>
    <w:rsid w:val="004323E3"/>
    <w:rsid w:val="00432427"/>
    <w:rsid w:val="00432B2B"/>
    <w:rsid w:val="0043310D"/>
    <w:rsid w:val="00433191"/>
    <w:rsid w:val="00433677"/>
    <w:rsid w:val="00433790"/>
    <w:rsid w:val="00433B35"/>
    <w:rsid w:val="00433CF8"/>
    <w:rsid w:val="004340D5"/>
    <w:rsid w:val="00434189"/>
    <w:rsid w:val="004343C4"/>
    <w:rsid w:val="00434880"/>
    <w:rsid w:val="004348A0"/>
    <w:rsid w:val="004349E1"/>
    <w:rsid w:val="00434A21"/>
    <w:rsid w:val="00434DC1"/>
    <w:rsid w:val="0043505E"/>
    <w:rsid w:val="004351D0"/>
    <w:rsid w:val="0043526D"/>
    <w:rsid w:val="00435590"/>
    <w:rsid w:val="004356A2"/>
    <w:rsid w:val="00435A09"/>
    <w:rsid w:val="00435B76"/>
    <w:rsid w:val="00435B85"/>
    <w:rsid w:val="00435BB8"/>
    <w:rsid w:val="004360E5"/>
    <w:rsid w:val="004410CD"/>
    <w:rsid w:val="0044133A"/>
    <w:rsid w:val="004416D6"/>
    <w:rsid w:val="00441E86"/>
    <w:rsid w:val="00442453"/>
    <w:rsid w:val="00442593"/>
    <w:rsid w:val="00443668"/>
    <w:rsid w:val="004437BA"/>
    <w:rsid w:val="0044394C"/>
    <w:rsid w:val="004439E0"/>
    <w:rsid w:val="004444BC"/>
    <w:rsid w:val="004445D5"/>
    <w:rsid w:val="00444DC2"/>
    <w:rsid w:val="004453C7"/>
    <w:rsid w:val="0044553B"/>
    <w:rsid w:val="004457BD"/>
    <w:rsid w:val="004460E9"/>
    <w:rsid w:val="0044612C"/>
    <w:rsid w:val="00446EDD"/>
    <w:rsid w:val="0044750B"/>
    <w:rsid w:val="00447555"/>
    <w:rsid w:val="00447AE9"/>
    <w:rsid w:val="00447B6F"/>
    <w:rsid w:val="004501E5"/>
    <w:rsid w:val="0045025F"/>
    <w:rsid w:val="00450825"/>
    <w:rsid w:val="004510E3"/>
    <w:rsid w:val="004511D1"/>
    <w:rsid w:val="00451294"/>
    <w:rsid w:val="00452441"/>
    <w:rsid w:val="004532BA"/>
    <w:rsid w:val="00453623"/>
    <w:rsid w:val="00453C11"/>
    <w:rsid w:val="00453C98"/>
    <w:rsid w:val="0045416F"/>
    <w:rsid w:val="00454192"/>
    <w:rsid w:val="00454240"/>
    <w:rsid w:val="004547A2"/>
    <w:rsid w:val="00455083"/>
    <w:rsid w:val="0045542A"/>
    <w:rsid w:val="004557B0"/>
    <w:rsid w:val="00456500"/>
    <w:rsid w:val="00456921"/>
    <w:rsid w:val="00457946"/>
    <w:rsid w:val="00457D8B"/>
    <w:rsid w:val="004607C1"/>
    <w:rsid w:val="00460A17"/>
    <w:rsid w:val="00460B0D"/>
    <w:rsid w:val="00460BD3"/>
    <w:rsid w:val="00460E48"/>
    <w:rsid w:val="0046120A"/>
    <w:rsid w:val="00461983"/>
    <w:rsid w:val="004620EA"/>
    <w:rsid w:val="00462452"/>
    <w:rsid w:val="0046296D"/>
    <w:rsid w:val="00462DEB"/>
    <w:rsid w:val="00462E78"/>
    <w:rsid w:val="00462F79"/>
    <w:rsid w:val="004630A4"/>
    <w:rsid w:val="00463240"/>
    <w:rsid w:val="00463438"/>
    <w:rsid w:val="0046359F"/>
    <w:rsid w:val="0046396D"/>
    <w:rsid w:val="00463ECE"/>
    <w:rsid w:val="00464159"/>
    <w:rsid w:val="0046419B"/>
    <w:rsid w:val="0046455C"/>
    <w:rsid w:val="004649B9"/>
    <w:rsid w:val="00464E39"/>
    <w:rsid w:val="0046512B"/>
    <w:rsid w:val="00465388"/>
    <w:rsid w:val="0046560D"/>
    <w:rsid w:val="00465724"/>
    <w:rsid w:val="00466097"/>
    <w:rsid w:val="00466195"/>
    <w:rsid w:val="004661AF"/>
    <w:rsid w:val="004664FF"/>
    <w:rsid w:val="00466B87"/>
    <w:rsid w:val="0046769D"/>
    <w:rsid w:val="004677C9"/>
    <w:rsid w:val="004702DE"/>
    <w:rsid w:val="004705B2"/>
    <w:rsid w:val="00470690"/>
    <w:rsid w:val="004706BF"/>
    <w:rsid w:val="00470977"/>
    <w:rsid w:val="00470CB5"/>
    <w:rsid w:val="00471152"/>
    <w:rsid w:val="00471560"/>
    <w:rsid w:val="004715DA"/>
    <w:rsid w:val="00471B3C"/>
    <w:rsid w:val="00471B98"/>
    <w:rsid w:val="00471EAB"/>
    <w:rsid w:val="004720BE"/>
    <w:rsid w:val="00472242"/>
    <w:rsid w:val="004723EE"/>
    <w:rsid w:val="004724C0"/>
    <w:rsid w:val="00472E9F"/>
    <w:rsid w:val="00473303"/>
    <w:rsid w:val="00473BEB"/>
    <w:rsid w:val="0047450E"/>
    <w:rsid w:val="00474AC7"/>
    <w:rsid w:val="00474FCF"/>
    <w:rsid w:val="0047536D"/>
    <w:rsid w:val="004753A3"/>
    <w:rsid w:val="00475A92"/>
    <w:rsid w:val="004767D8"/>
    <w:rsid w:val="004772C8"/>
    <w:rsid w:val="00477BB9"/>
    <w:rsid w:val="0048084D"/>
    <w:rsid w:val="004817CE"/>
    <w:rsid w:val="004819AC"/>
    <w:rsid w:val="00481B03"/>
    <w:rsid w:val="004824C7"/>
    <w:rsid w:val="0048260E"/>
    <w:rsid w:val="00483A59"/>
    <w:rsid w:val="0048407E"/>
    <w:rsid w:val="0048505E"/>
    <w:rsid w:val="004850AE"/>
    <w:rsid w:val="004853DB"/>
    <w:rsid w:val="004853F1"/>
    <w:rsid w:val="004854A4"/>
    <w:rsid w:val="00485818"/>
    <w:rsid w:val="004859EE"/>
    <w:rsid w:val="004862D4"/>
    <w:rsid w:val="00486707"/>
    <w:rsid w:val="00486896"/>
    <w:rsid w:val="00486A31"/>
    <w:rsid w:val="00487366"/>
    <w:rsid w:val="004873E4"/>
    <w:rsid w:val="00490377"/>
    <w:rsid w:val="0049072C"/>
    <w:rsid w:val="00490FD1"/>
    <w:rsid w:val="0049132A"/>
    <w:rsid w:val="00491AD2"/>
    <w:rsid w:val="00491BF7"/>
    <w:rsid w:val="004920F3"/>
    <w:rsid w:val="00492A4B"/>
    <w:rsid w:val="00492C5C"/>
    <w:rsid w:val="004930FC"/>
    <w:rsid w:val="00493381"/>
    <w:rsid w:val="004935C0"/>
    <w:rsid w:val="00493AB0"/>
    <w:rsid w:val="00493B43"/>
    <w:rsid w:val="00494248"/>
    <w:rsid w:val="00494535"/>
    <w:rsid w:val="004946DF"/>
    <w:rsid w:val="0049491F"/>
    <w:rsid w:val="00494EB1"/>
    <w:rsid w:val="00495533"/>
    <w:rsid w:val="0049575D"/>
    <w:rsid w:val="0049615E"/>
    <w:rsid w:val="00496414"/>
    <w:rsid w:val="004978DA"/>
    <w:rsid w:val="00497A38"/>
    <w:rsid w:val="004A0382"/>
    <w:rsid w:val="004A0502"/>
    <w:rsid w:val="004A087A"/>
    <w:rsid w:val="004A0D07"/>
    <w:rsid w:val="004A0E54"/>
    <w:rsid w:val="004A1F1C"/>
    <w:rsid w:val="004A2AFB"/>
    <w:rsid w:val="004A4454"/>
    <w:rsid w:val="004A45BD"/>
    <w:rsid w:val="004A4656"/>
    <w:rsid w:val="004A4933"/>
    <w:rsid w:val="004A4F35"/>
    <w:rsid w:val="004A5991"/>
    <w:rsid w:val="004A5B8E"/>
    <w:rsid w:val="004A6EDC"/>
    <w:rsid w:val="004A6F3D"/>
    <w:rsid w:val="004A77B0"/>
    <w:rsid w:val="004B0783"/>
    <w:rsid w:val="004B08A9"/>
    <w:rsid w:val="004B0BAA"/>
    <w:rsid w:val="004B1364"/>
    <w:rsid w:val="004B179E"/>
    <w:rsid w:val="004B18C0"/>
    <w:rsid w:val="004B191A"/>
    <w:rsid w:val="004B1CED"/>
    <w:rsid w:val="004B2139"/>
    <w:rsid w:val="004B34A7"/>
    <w:rsid w:val="004B35DC"/>
    <w:rsid w:val="004B371C"/>
    <w:rsid w:val="004B3B06"/>
    <w:rsid w:val="004B3CED"/>
    <w:rsid w:val="004B3ED5"/>
    <w:rsid w:val="004B4643"/>
    <w:rsid w:val="004B4B9F"/>
    <w:rsid w:val="004B4E50"/>
    <w:rsid w:val="004B4F6A"/>
    <w:rsid w:val="004B6007"/>
    <w:rsid w:val="004B6F77"/>
    <w:rsid w:val="004B752B"/>
    <w:rsid w:val="004B7F67"/>
    <w:rsid w:val="004C04FA"/>
    <w:rsid w:val="004C06BE"/>
    <w:rsid w:val="004C0938"/>
    <w:rsid w:val="004C1561"/>
    <w:rsid w:val="004C1994"/>
    <w:rsid w:val="004C2852"/>
    <w:rsid w:val="004C2C15"/>
    <w:rsid w:val="004C2D0E"/>
    <w:rsid w:val="004C313D"/>
    <w:rsid w:val="004C33FD"/>
    <w:rsid w:val="004C3C6C"/>
    <w:rsid w:val="004C3EBC"/>
    <w:rsid w:val="004C4231"/>
    <w:rsid w:val="004C5120"/>
    <w:rsid w:val="004C61BB"/>
    <w:rsid w:val="004C642C"/>
    <w:rsid w:val="004C6A78"/>
    <w:rsid w:val="004C6AC8"/>
    <w:rsid w:val="004C6B1B"/>
    <w:rsid w:val="004C6BB4"/>
    <w:rsid w:val="004C6F17"/>
    <w:rsid w:val="004C704F"/>
    <w:rsid w:val="004C70FC"/>
    <w:rsid w:val="004C77B4"/>
    <w:rsid w:val="004C7E07"/>
    <w:rsid w:val="004D022C"/>
    <w:rsid w:val="004D0734"/>
    <w:rsid w:val="004D1B44"/>
    <w:rsid w:val="004D1ECD"/>
    <w:rsid w:val="004D2675"/>
    <w:rsid w:val="004D3753"/>
    <w:rsid w:val="004D3AC3"/>
    <w:rsid w:val="004D4080"/>
    <w:rsid w:val="004D41C2"/>
    <w:rsid w:val="004D43BD"/>
    <w:rsid w:val="004D53AB"/>
    <w:rsid w:val="004D5C6E"/>
    <w:rsid w:val="004D6A79"/>
    <w:rsid w:val="004D6A80"/>
    <w:rsid w:val="004D7187"/>
    <w:rsid w:val="004D7AC7"/>
    <w:rsid w:val="004E05FD"/>
    <w:rsid w:val="004E08CD"/>
    <w:rsid w:val="004E0F43"/>
    <w:rsid w:val="004E15F8"/>
    <w:rsid w:val="004E1A0D"/>
    <w:rsid w:val="004E1AD1"/>
    <w:rsid w:val="004E1C2C"/>
    <w:rsid w:val="004E23F5"/>
    <w:rsid w:val="004E27A4"/>
    <w:rsid w:val="004E27F7"/>
    <w:rsid w:val="004E2D87"/>
    <w:rsid w:val="004E3356"/>
    <w:rsid w:val="004E3F87"/>
    <w:rsid w:val="004E440F"/>
    <w:rsid w:val="004E47BA"/>
    <w:rsid w:val="004E4B59"/>
    <w:rsid w:val="004E4CB1"/>
    <w:rsid w:val="004E5418"/>
    <w:rsid w:val="004E5E71"/>
    <w:rsid w:val="004E63E5"/>
    <w:rsid w:val="004E646D"/>
    <w:rsid w:val="004E6A47"/>
    <w:rsid w:val="004E6B76"/>
    <w:rsid w:val="004E6F5E"/>
    <w:rsid w:val="004E71BC"/>
    <w:rsid w:val="004E77BF"/>
    <w:rsid w:val="004E7F24"/>
    <w:rsid w:val="004F001F"/>
    <w:rsid w:val="004F05C0"/>
    <w:rsid w:val="004F068C"/>
    <w:rsid w:val="004F1011"/>
    <w:rsid w:val="004F12BA"/>
    <w:rsid w:val="004F141C"/>
    <w:rsid w:val="004F1437"/>
    <w:rsid w:val="004F1559"/>
    <w:rsid w:val="004F1A8A"/>
    <w:rsid w:val="004F1AAE"/>
    <w:rsid w:val="004F23A8"/>
    <w:rsid w:val="004F3346"/>
    <w:rsid w:val="004F3540"/>
    <w:rsid w:val="004F3A78"/>
    <w:rsid w:val="004F3F6B"/>
    <w:rsid w:val="004F4555"/>
    <w:rsid w:val="004F4FE2"/>
    <w:rsid w:val="004F52DB"/>
    <w:rsid w:val="004F5609"/>
    <w:rsid w:val="004F5624"/>
    <w:rsid w:val="004F5CCD"/>
    <w:rsid w:val="004F5DA4"/>
    <w:rsid w:val="004F5F41"/>
    <w:rsid w:val="004F62B2"/>
    <w:rsid w:val="004F6424"/>
    <w:rsid w:val="004F6773"/>
    <w:rsid w:val="004F7E5A"/>
    <w:rsid w:val="00500500"/>
    <w:rsid w:val="005008B9"/>
    <w:rsid w:val="00500DDF"/>
    <w:rsid w:val="00501959"/>
    <w:rsid w:val="00502121"/>
    <w:rsid w:val="005040CD"/>
    <w:rsid w:val="00504229"/>
    <w:rsid w:val="005042F2"/>
    <w:rsid w:val="00504A55"/>
    <w:rsid w:val="00504E86"/>
    <w:rsid w:val="00505030"/>
    <w:rsid w:val="00505229"/>
    <w:rsid w:val="00505278"/>
    <w:rsid w:val="00505E68"/>
    <w:rsid w:val="00506677"/>
    <w:rsid w:val="0050691D"/>
    <w:rsid w:val="00506C9C"/>
    <w:rsid w:val="00506CEC"/>
    <w:rsid w:val="00507397"/>
    <w:rsid w:val="00507719"/>
    <w:rsid w:val="00507BEF"/>
    <w:rsid w:val="00507F98"/>
    <w:rsid w:val="00510115"/>
    <w:rsid w:val="00510233"/>
    <w:rsid w:val="00510327"/>
    <w:rsid w:val="005103D0"/>
    <w:rsid w:val="005108A3"/>
    <w:rsid w:val="00510CB0"/>
    <w:rsid w:val="00510DB5"/>
    <w:rsid w:val="00510F6E"/>
    <w:rsid w:val="00511139"/>
    <w:rsid w:val="005111EF"/>
    <w:rsid w:val="00511242"/>
    <w:rsid w:val="00511422"/>
    <w:rsid w:val="0051144E"/>
    <w:rsid w:val="005115C4"/>
    <w:rsid w:val="00511723"/>
    <w:rsid w:val="00511826"/>
    <w:rsid w:val="005118AE"/>
    <w:rsid w:val="00511925"/>
    <w:rsid w:val="00511A1C"/>
    <w:rsid w:val="0051212F"/>
    <w:rsid w:val="00513878"/>
    <w:rsid w:val="00514BC2"/>
    <w:rsid w:val="0051510C"/>
    <w:rsid w:val="00515220"/>
    <w:rsid w:val="0051580E"/>
    <w:rsid w:val="0051587A"/>
    <w:rsid w:val="005158FA"/>
    <w:rsid w:val="005169AD"/>
    <w:rsid w:val="005169EE"/>
    <w:rsid w:val="005170AA"/>
    <w:rsid w:val="005172D4"/>
    <w:rsid w:val="00517A7E"/>
    <w:rsid w:val="00517D6E"/>
    <w:rsid w:val="00517EC5"/>
    <w:rsid w:val="005207C4"/>
    <w:rsid w:val="005207E1"/>
    <w:rsid w:val="005208B9"/>
    <w:rsid w:val="00520B4A"/>
    <w:rsid w:val="00521CA5"/>
    <w:rsid w:val="005221F0"/>
    <w:rsid w:val="0052246B"/>
    <w:rsid w:val="00524807"/>
    <w:rsid w:val="005252FE"/>
    <w:rsid w:val="0052535B"/>
    <w:rsid w:val="005254B7"/>
    <w:rsid w:val="005257A1"/>
    <w:rsid w:val="00525B07"/>
    <w:rsid w:val="00525EB2"/>
    <w:rsid w:val="00525FF9"/>
    <w:rsid w:val="00526072"/>
    <w:rsid w:val="005261DC"/>
    <w:rsid w:val="00527218"/>
    <w:rsid w:val="00527348"/>
    <w:rsid w:val="00527698"/>
    <w:rsid w:val="00527D14"/>
    <w:rsid w:val="00527FB0"/>
    <w:rsid w:val="0053019F"/>
    <w:rsid w:val="00530747"/>
    <w:rsid w:val="00531482"/>
    <w:rsid w:val="00531684"/>
    <w:rsid w:val="00531C94"/>
    <w:rsid w:val="00531CF9"/>
    <w:rsid w:val="005325F7"/>
    <w:rsid w:val="00532C41"/>
    <w:rsid w:val="00532D3F"/>
    <w:rsid w:val="00532E67"/>
    <w:rsid w:val="00532EFC"/>
    <w:rsid w:val="00532F98"/>
    <w:rsid w:val="00532FC9"/>
    <w:rsid w:val="00533108"/>
    <w:rsid w:val="005331B3"/>
    <w:rsid w:val="00533204"/>
    <w:rsid w:val="005333EE"/>
    <w:rsid w:val="0053346A"/>
    <w:rsid w:val="005334F2"/>
    <w:rsid w:val="0053386D"/>
    <w:rsid w:val="0053392F"/>
    <w:rsid w:val="005339D1"/>
    <w:rsid w:val="00534134"/>
    <w:rsid w:val="005345C3"/>
    <w:rsid w:val="00534700"/>
    <w:rsid w:val="00534D3A"/>
    <w:rsid w:val="0053540F"/>
    <w:rsid w:val="00535C6C"/>
    <w:rsid w:val="00535D94"/>
    <w:rsid w:val="00535EDC"/>
    <w:rsid w:val="0053605B"/>
    <w:rsid w:val="005368A2"/>
    <w:rsid w:val="00537845"/>
    <w:rsid w:val="00537892"/>
    <w:rsid w:val="0053791F"/>
    <w:rsid w:val="005404F4"/>
    <w:rsid w:val="005410F2"/>
    <w:rsid w:val="00542599"/>
    <w:rsid w:val="005441DF"/>
    <w:rsid w:val="00544681"/>
    <w:rsid w:val="005448F7"/>
    <w:rsid w:val="00544B33"/>
    <w:rsid w:val="00545363"/>
    <w:rsid w:val="00545490"/>
    <w:rsid w:val="005454E9"/>
    <w:rsid w:val="00545767"/>
    <w:rsid w:val="005462BC"/>
    <w:rsid w:val="00546622"/>
    <w:rsid w:val="0054690D"/>
    <w:rsid w:val="00546937"/>
    <w:rsid w:val="00546970"/>
    <w:rsid w:val="00546A1F"/>
    <w:rsid w:val="00546A54"/>
    <w:rsid w:val="00546AA5"/>
    <w:rsid w:val="00546EB1"/>
    <w:rsid w:val="00547538"/>
    <w:rsid w:val="00547942"/>
    <w:rsid w:val="005506F9"/>
    <w:rsid w:val="005518B2"/>
    <w:rsid w:val="00551FD9"/>
    <w:rsid w:val="0055224D"/>
    <w:rsid w:val="005524F4"/>
    <w:rsid w:val="005529BD"/>
    <w:rsid w:val="005531CE"/>
    <w:rsid w:val="0055329F"/>
    <w:rsid w:val="005533FD"/>
    <w:rsid w:val="00553405"/>
    <w:rsid w:val="005534E1"/>
    <w:rsid w:val="00553BFA"/>
    <w:rsid w:val="00553EB3"/>
    <w:rsid w:val="0055449A"/>
    <w:rsid w:val="005547AA"/>
    <w:rsid w:val="005547C7"/>
    <w:rsid w:val="00554A88"/>
    <w:rsid w:val="00554ADE"/>
    <w:rsid w:val="00554D05"/>
    <w:rsid w:val="00554DE4"/>
    <w:rsid w:val="00554FAC"/>
    <w:rsid w:val="0055586B"/>
    <w:rsid w:val="0055596B"/>
    <w:rsid w:val="005568DE"/>
    <w:rsid w:val="005569D6"/>
    <w:rsid w:val="00556CDE"/>
    <w:rsid w:val="00556E1C"/>
    <w:rsid w:val="00556FC0"/>
    <w:rsid w:val="005574AA"/>
    <w:rsid w:val="00557C05"/>
    <w:rsid w:val="00557E19"/>
    <w:rsid w:val="0056009B"/>
    <w:rsid w:val="0056077E"/>
    <w:rsid w:val="00560EDA"/>
    <w:rsid w:val="005612CB"/>
    <w:rsid w:val="00561C3B"/>
    <w:rsid w:val="00561DFE"/>
    <w:rsid w:val="00562837"/>
    <w:rsid w:val="005629EE"/>
    <w:rsid w:val="00562CD0"/>
    <w:rsid w:val="00562DF7"/>
    <w:rsid w:val="00563307"/>
    <w:rsid w:val="00563C5F"/>
    <w:rsid w:val="00563F72"/>
    <w:rsid w:val="00563F9A"/>
    <w:rsid w:val="0056402B"/>
    <w:rsid w:val="005648FA"/>
    <w:rsid w:val="00564D50"/>
    <w:rsid w:val="00567346"/>
    <w:rsid w:val="0056781F"/>
    <w:rsid w:val="00570966"/>
    <w:rsid w:val="00570B36"/>
    <w:rsid w:val="00571267"/>
    <w:rsid w:val="00572899"/>
    <w:rsid w:val="00573128"/>
    <w:rsid w:val="0057371B"/>
    <w:rsid w:val="00573FB9"/>
    <w:rsid w:val="00574586"/>
    <w:rsid w:val="005747F4"/>
    <w:rsid w:val="00575DEB"/>
    <w:rsid w:val="00575EB8"/>
    <w:rsid w:val="00575FA9"/>
    <w:rsid w:val="0057600F"/>
    <w:rsid w:val="0057613A"/>
    <w:rsid w:val="005762BD"/>
    <w:rsid w:val="0057646F"/>
    <w:rsid w:val="00576839"/>
    <w:rsid w:val="00576864"/>
    <w:rsid w:val="00576B33"/>
    <w:rsid w:val="00576B82"/>
    <w:rsid w:val="005772F3"/>
    <w:rsid w:val="005775F6"/>
    <w:rsid w:val="00577AC2"/>
    <w:rsid w:val="00577F63"/>
    <w:rsid w:val="00580A5F"/>
    <w:rsid w:val="00580B9E"/>
    <w:rsid w:val="00580D62"/>
    <w:rsid w:val="0058106B"/>
    <w:rsid w:val="00581B79"/>
    <w:rsid w:val="00581FB0"/>
    <w:rsid w:val="00582199"/>
    <w:rsid w:val="0058295A"/>
    <w:rsid w:val="00582A04"/>
    <w:rsid w:val="00582A9B"/>
    <w:rsid w:val="00582F89"/>
    <w:rsid w:val="005832AB"/>
    <w:rsid w:val="005841F0"/>
    <w:rsid w:val="0058437C"/>
    <w:rsid w:val="005844FB"/>
    <w:rsid w:val="00584AC2"/>
    <w:rsid w:val="0058549D"/>
    <w:rsid w:val="005855D7"/>
    <w:rsid w:val="0058598B"/>
    <w:rsid w:val="00586CA1"/>
    <w:rsid w:val="00587135"/>
    <w:rsid w:val="0058733E"/>
    <w:rsid w:val="00590154"/>
    <w:rsid w:val="005901FA"/>
    <w:rsid w:val="00590994"/>
    <w:rsid w:val="00590D4F"/>
    <w:rsid w:val="00590D9E"/>
    <w:rsid w:val="00590DE0"/>
    <w:rsid w:val="00590FF1"/>
    <w:rsid w:val="00591100"/>
    <w:rsid w:val="0059125A"/>
    <w:rsid w:val="00591497"/>
    <w:rsid w:val="00591543"/>
    <w:rsid w:val="00591602"/>
    <w:rsid w:val="00591864"/>
    <w:rsid w:val="00591F39"/>
    <w:rsid w:val="005920CC"/>
    <w:rsid w:val="00592473"/>
    <w:rsid w:val="0059257B"/>
    <w:rsid w:val="005925A7"/>
    <w:rsid w:val="00592A26"/>
    <w:rsid w:val="00592C37"/>
    <w:rsid w:val="005934A4"/>
    <w:rsid w:val="005935F4"/>
    <w:rsid w:val="00593E0A"/>
    <w:rsid w:val="00594210"/>
    <w:rsid w:val="0059429B"/>
    <w:rsid w:val="00594431"/>
    <w:rsid w:val="00594498"/>
    <w:rsid w:val="005947E6"/>
    <w:rsid w:val="00594959"/>
    <w:rsid w:val="00595C49"/>
    <w:rsid w:val="00595D24"/>
    <w:rsid w:val="005971B0"/>
    <w:rsid w:val="005977FC"/>
    <w:rsid w:val="005A007F"/>
    <w:rsid w:val="005A0E1A"/>
    <w:rsid w:val="005A12BA"/>
    <w:rsid w:val="005A167F"/>
    <w:rsid w:val="005A1A8A"/>
    <w:rsid w:val="005A1DAD"/>
    <w:rsid w:val="005A2F07"/>
    <w:rsid w:val="005A3079"/>
    <w:rsid w:val="005A346E"/>
    <w:rsid w:val="005A415F"/>
    <w:rsid w:val="005A49DF"/>
    <w:rsid w:val="005A605D"/>
    <w:rsid w:val="005A614B"/>
    <w:rsid w:val="005A66B2"/>
    <w:rsid w:val="005A691F"/>
    <w:rsid w:val="005A6E4D"/>
    <w:rsid w:val="005A6F32"/>
    <w:rsid w:val="005A7007"/>
    <w:rsid w:val="005A710A"/>
    <w:rsid w:val="005A719A"/>
    <w:rsid w:val="005A73CF"/>
    <w:rsid w:val="005A7996"/>
    <w:rsid w:val="005B0BF7"/>
    <w:rsid w:val="005B0EC5"/>
    <w:rsid w:val="005B0FC3"/>
    <w:rsid w:val="005B1888"/>
    <w:rsid w:val="005B1C9D"/>
    <w:rsid w:val="005B1CDC"/>
    <w:rsid w:val="005B1D40"/>
    <w:rsid w:val="005B214A"/>
    <w:rsid w:val="005B33A4"/>
    <w:rsid w:val="005B3476"/>
    <w:rsid w:val="005B3EB1"/>
    <w:rsid w:val="005B3F6F"/>
    <w:rsid w:val="005B408C"/>
    <w:rsid w:val="005B4440"/>
    <w:rsid w:val="005B46F3"/>
    <w:rsid w:val="005B4A59"/>
    <w:rsid w:val="005B50D0"/>
    <w:rsid w:val="005B577B"/>
    <w:rsid w:val="005B6411"/>
    <w:rsid w:val="005B66DC"/>
    <w:rsid w:val="005B6A93"/>
    <w:rsid w:val="005B798B"/>
    <w:rsid w:val="005B7FDE"/>
    <w:rsid w:val="005C122C"/>
    <w:rsid w:val="005C19A4"/>
    <w:rsid w:val="005C19F0"/>
    <w:rsid w:val="005C1FAE"/>
    <w:rsid w:val="005C25D3"/>
    <w:rsid w:val="005C2955"/>
    <w:rsid w:val="005C2D1C"/>
    <w:rsid w:val="005C3417"/>
    <w:rsid w:val="005C35B8"/>
    <w:rsid w:val="005C39E8"/>
    <w:rsid w:val="005C3FC5"/>
    <w:rsid w:val="005C43F1"/>
    <w:rsid w:val="005C4515"/>
    <w:rsid w:val="005C468A"/>
    <w:rsid w:val="005C47DE"/>
    <w:rsid w:val="005C4A24"/>
    <w:rsid w:val="005C4BCE"/>
    <w:rsid w:val="005C5660"/>
    <w:rsid w:val="005C59B8"/>
    <w:rsid w:val="005C71E4"/>
    <w:rsid w:val="005C72E3"/>
    <w:rsid w:val="005C7415"/>
    <w:rsid w:val="005C7B99"/>
    <w:rsid w:val="005D06B8"/>
    <w:rsid w:val="005D0F07"/>
    <w:rsid w:val="005D1148"/>
    <w:rsid w:val="005D11B2"/>
    <w:rsid w:val="005D12F8"/>
    <w:rsid w:val="005D1D43"/>
    <w:rsid w:val="005D2439"/>
    <w:rsid w:val="005D2B0A"/>
    <w:rsid w:val="005D3068"/>
    <w:rsid w:val="005D3672"/>
    <w:rsid w:val="005D39E7"/>
    <w:rsid w:val="005D3DFF"/>
    <w:rsid w:val="005D3E72"/>
    <w:rsid w:val="005D4B2F"/>
    <w:rsid w:val="005D4B68"/>
    <w:rsid w:val="005D5163"/>
    <w:rsid w:val="005D57C9"/>
    <w:rsid w:val="005D5C8B"/>
    <w:rsid w:val="005D644B"/>
    <w:rsid w:val="005D6B60"/>
    <w:rsid w:val="005D7278"/>
    <w:rsid w:val="005D7817"/>
    <w:rsid w:val="005E0237"/>
    <w:rsid w:val="005E02AD"/>
    <w:rsid w:val="005E0497"/>
    <w:rsid w:val="005E11C1"/>
    <w:rsid w:val="005E12AD"/>
    <w:rsid w:val="005E1E00"/>
    <w:rsid w:val="005E2075"/>
    <w:rsid w:val="005E2563"/>
    <w:rsid w:val="005E2D37"/>
    <w:rsid w:val="005E334F"/>
    <w:rsid w:val="005E359C"/>
    <w:rsid w:val="005E394C"/>
    <w:rsid w:val="005E3D65"/>
    <w:rsid w:val="005E42BF"/>
    <w:rsid w:val="005E4C43"/>
    <w:rsid w:val="005E4E70"/>
    <w:rsid w:val="005E567F"/>
    <w:rsid w:val="005E5750"/>
    <w:rsid w:val="005E5F36"/>
    <w:rsid w:val="005E6589"/>
    <w:rsid w:val="005E65BB"/>
    <w:rsid w:val="005E6747"/>
    <w:rsid w:val="005E6AEE"/>
    <w:rsid w:val="005F05D7"/>
    <w:rsid w:val="005F0DA0"/>
    <w:rsid w:val="005F1141"/>
    <w:rsid w:val="005F1256"/>
    <w:rsid w:val="005F12AE"/>
    <w:rsid w:val="005F1721"/>
    <w:rsid w:val="005F2657"/>
    <w:rsid w:val="005F2767"/>
    <w:rsid w:val="005F2BF9"/>
    <w:rsid w:val="005F34CB"/>
    <w:rsid w:val="005F404B"/>
    <w:rsid w:val="005F4790"/>
    <w:rsid w:val="005F4914"/>
    <w:rsid w:val="005F5506"/>
    <w:rsid w:val="005F5571"/>
    <w:rsid w:val="005F5680"/>
    <w:rsid w:val="005F62B7"/>
    <w:rsid w:val="005F63AF"/>
    <w:rsid w:val="005F64EB"/>
    <w:rsid w:val="005F67FC"/>
    <w:rsid w:val="005F6869"/>
    <w:rsid w:val="005F6BB9"/>
    <w:rsid w:val="005F6BE6"/>
    <w:rsid w:val="005F6C1F"/>
    <w:rsid w:val="005F7654"/>
    <w:rsid w:val="005F7764"/>
    <w:rsid w:val="0060006A"/>
    <w:rsid w:val="00600080"/>
    <w:rsid w:val="006006C1"/>
    <w:rsid w:val="0060108F"/>
    <w:rsid w:val="00601576"/>
    <w:rsid w:val="00601682"/>
    <w:rsid w:val="00601CCA"/>
    <w:rsid w:val="00602174"/>
    <w:rsid w:val="0060234A"/>
    <w:rsid w:val="00602D98"/>
    <w:rsid w:val="00603148"/>
    <w:rsid w:val="00603393"/>
    <w:rsid w:val="00603FAD"/>
    <w:rsid w:val="006046DE"/>
    <w:rsid w:val="00604EA2"/>
    <w:rsid w:val="00605157"/>
    <w:rsid w:val="00605E7B"/>
    <w:rsid w:val="00606000"/>
    <w:rsid w:val="0060613E"/>
    <w:rsid w:val="006065A2"/>
    <w:rsid w:val="006069C1"/>
    <w:rsid w:val="00606E0F"/>
    <w:rsid w:val="00606FC7"/>
    <w:rsid w:val="006074A8"/>
    <w:rsid w:val="006079C8"/>
    <w:rsid w:val="0061007D"/>
    <w:rsid w:val="00610456"/>
    <w:rsid w:val="00610667"/>
    <w:rsid w:val="006106C4"/>
    <w:rsid w:val="00610763"/>
    <w:rsid w:val="006108B9"/>
    <w:rsid w:val="00610A0B"/>
    <w:rsid w:val="00610F94"/>
    <w:rsid w:val="00611473"/>
    <w:rsid w:val="006114F5"/>
    <w:rsid w:val="00611841"/>
    <w:rsid w:val="00611B36"/>
    <w:rsid w:val="00612794"/>
    <w:rsid w:val="00612F12"/>
    <w:rsid w:val="0061388C"/>
    <w:rsid w:val="00613A34"/>
    <w:rsid w:val="0061435C"/>
    <w:rsid w:val="006149CA"/>
    <w:rsid w:val="006154FA"/>
    <w:rsid w:val="0061590B"/>
    <w:rsid w:val="00615ADA"/>
    <w:rsid w:val="00615FAF"/>
    <w:rsid w:val="00617FEB"/>
    <w:rsid w:val="00620378"/>
    <w:rsid w:val="006203DB"/>
    <w:rsid w:val="006220D9"/>
    <w:rsid w:val="006221CD"/>
    <w:rsid w:val="00622220"/>
    <w:rsid w:val="00622415"/>
    <w:rsid w:val="006225D6"/>
    <w:rsid w:val="006228A4"/>
    <w:rsid w:val="00622CE7"/>
    <w:rsid w:val="00623807"/>
    <w:rsid w:val="00623C11"/>
    <w:rsid w:val="00623C3A"/>
    <w:rsid w:val="0062404C"/>
    <w:rsid w:val="0062408B"/>
    <w:rsid w:val="006240D9"/>
    <w:rsid w:val="00624634"/>
    <w:rsid w:val="00624707"/>
    <w:rsid w:val="00624A8A"/>
    <w:rsid w:val="006254EA"/>
    <w:rsid w:val="00625BEF"/>
    <w:rsid w:val="00625C15"/>
    <w:rsid w:val="00625F27"/>
    <w:rsid w:val="006261E0"/>
    <w:rsid w:val="006264BE"/>
    <w:rsid w:val="006266A9"/>
    <w:rsid w:val="00626743"/>
    <w:rsid w:val="006269B9"/>
    <w:rsid w:val="00627658"/>
    <w:rsid w:val="00630426"/>
    <w:rsid w:val="006307A8"/>
    <w:rsid w:val="006307A9"/>
    <w:rsid w:val="006307DA"/>
    <w:rsid w:val="00630AA5"/>
    <w:rsid w:val="006316C1"/>
    <w:rsid w:val="006317FE"/>
    <w:rsid w:val="0063192B"/>
    <w:rsid w:val="00631ED4"/>
    <w:rsid w:val="00632BA3"/>
    <w:rsid w:val="00632DC3"/>
    <w:rsid w:val="00633BC7"/>
    <w:rsid w:val="0063496A"/>
    <w:rsid w:val="00634A36"/>
    <w:rsid w:val="00634A60"/>
    <w:rsid w:val="00635044"/>
    <w:rsid w:val="00635AC7"/>
    <w:rsid w:val="00635E9C"/>
    <w:rsid w:val="00636716"/>
    <w:rsid w:val="00636FFA"/>
    <w:rsid w:val="006373D1"/>
    <w:rsid w:val="0063753F"/>
    <w:rsid w:val="00637736"/>
    <w:rsid w:val="00637B41"/>
    <w:rsid w:val="00637C0A"/>
    <w:rsid w:val="006404EE"/>
    <w:rsid w:val="00640CF3"/>
    <w:rsid w:val="006414EE"/>
    <w:rsid w:val="00641611"/>
    <w:rsid w:val="006418E6"/>
    <w:rsid w:val="006422E3"/>
    <w:rsid w:val="00642524"/>
    <w:rsid w:val="006428E3"/>
    <w:rsid w:val="00642A9A"/>
    <w:rsid w:val="00642C08"/>
    <w:rsid w:val="00642D0A"/>
    <w:rsid w:val="006443AD"/>
    <w:rsid w:val="00644760"/>
    <w:rsid w:val="00644926"/>
    <w:rsid w:val="00645978"/>
    <w:rsid w:val="00645A7B"/>
    <w:rsid w:val="0064630E"/>
    <w:rsid w:val="0064637B"/>
    <w:rsid w:val="00646451"/>
    <w:rsid w:val="006468AE"/>
    <w:rsid w:val="00646D43"/>
    <w:rsid w:val="00646FE1"/>
    <w:rsid w:val="00647075"/>
    <w:rsid w:val="00647A43"/>
    <w:rsid w:val="00647E5F"/>
    <w:rsid w:val="006504ED"/>
    <w:rsid w:val="00650A25"/>
    <w:rsid w:val="00651777"/>
    <w:rsid w:val="00651A27"/>
    <w:rsid w:val="00651D3B"/>
    <w:rsid w:val="006520B9"/>
    <w:rsid w:val="006523EC"/>
    <w:rsid w:val="0065242C"/>
    <w:rsid w:val="0065292F"/>
    <w:rsid w:val="00652A08"/>
    <w:rsid w:val="0065330B"/>
    <w:rsid w:val="00653597"/>
    <w:rsid w:val="006542BA"/>
    <w:rsid w:val="00654E52"/>
    <w:rsid w:val="006550C7"/>
    <w:rsid w:val="00655467"/>
    <w:rsid w:val="0065569E"/>
    <w:rsid w:val="0065581D"/>
    <w:rsid w:val="00655928"/>
    <w:rsid w:val="00655C2F"/>
    <w:rsid w:val="00655F2A"/>
    <w:rsid w:val="00656247"/>
    <w:rsid w:val="00656552"/>
    <w:rsid w:val="006569EF"/>
    <w:rsid w:val="00656B02"/>
    <w:rsid w:val="00656B41"/>
    <w:rsid w:val="00656B58"/>
    <w:rsid w:val="00656EB2"/>
    <w:rsid w:val="006576BF"/>
    <w:rsid w:val="006577C1"/>
    <w:rsid w:val="006579AC"/>
    <w:rsid w:val="00660403"/>
    <w:rsid w:val="006604D8"/>
    <w:rsid w:val="00660590"/>
    <w:rsid w:val="00660794"/>
    <w:rsid w:val="00661140"/>
    <w:rsid w:val="00661C07"/>
    <w:rsid w:val="00661C47"/>
    <w:rsid w:val="00662E6D"/>
    <w:rsid w:val="00663923"/>
    <w:rsid w:val="0066496E"/>
    <w:rsid w:val="00664D76"/>
    <w:rsid w:val="006652D4"/>
    <w:rsid w:val="00665479"/>
    <w:rsid w:val="00666544"/>
    <w:rsid w:val="00666C9D"/>
    <w:rsid w:val="00666EB1"/>
    <w:rsid w:val="0066793C"/>
    <w:rsid w:val="00667BF8"/>
    <w:rsid w:val="00670370"/>
    <w:rsid w:val="006707A1"/>
    <w:rsid w:val="006707F1"/>
    <w:rsid w:val="00670E82"/>
    <w:rsid w:val="006710DD"/>
    <w:rsid w:val="00671FC9"/>
    <w:rsid w:val="00672967"/>
    <w:rsid w:val="00673200"/>
    <w:rsid w:val="00673917"/>
    <w:rsid w:val="00673B0F"/>
    <w:rsid w:val="00673D16"/>
    <w:rsid w:val="00673F45"/>
    <w:rsid w:val="0067433A"/>
    <w:rsid w:val="00674492"/>
    <w:rsid w:val="006746A0"/>
    <w:rsid w:val="0067501E"/>
    <w:rsid w:val="00675039"/>
    <w:rsid w:val="006751EA"/>
    <w:rsid w:val="006759D2"/>
    <w:rsid w:val="00675F52"/>
    <w:rsid w:val="00675F9F"/>
    <w:rsid w:val="00676413"/>
    <w:rsid w:val="0067648F"/>
    <w:rsid w:val="00676857"/>
    <w:rsid w:val="00676F54"/>
    <w:rsid w:val="0067717B"/>
    <w:rsid w:val="006773D2"/>
    <w:rsid w:val="0067797C"/>
    <w:rsid w:val="00680581"/>
    <w:rsid w:val="00680A56"/>
    <w:rsid w:val="00680B53"/>
    <w:rsid w:val="006813AC"/>
    <w:rsid w:val="00681A41"/>
    <w:rsid w:val="00681CEF"/>
    <w:rsid w:val="00682108"/>
    <w:rsid w:val="006821B2"/>
    <w:rsid w:val="0068234A"/>
    <w:rsid w:val="00683717"/>
    <w:rsid w:val="006838C0"/>
    <w:rsid w:val="006839A5"/>
    <w:rsid w:val="00683A17"/>
    <w:rsid w:val="0068415E"/>
    <w:rsid w:val="0068435C"/>
    <w:rsid w:val="0068455F"/>
    <w:rsid w:val="006845EC"/>
    <w:rsid w:val="006846DC"/>
    <w:rsid w:val="00684BF7"/>
    <w:rsid w:val="00684E60"/>
    <w:rsid w:val="0068507B"/>
    <w:rsid w:val="00685856"/>
    <w:rsid w:val="00685901"/>
    <w:rsid w:val="00685AA3"/>
    <w:rsid w:val="00685BB9"/>
    <w:rsid w:val="00687E06"/>
    <w:rsid w:val="00690127"/>
    <w:rsid w:val="006906F8"/>
    <w:rsid w:val="00690A52"/>
    <w:rsid w:val="00690A95"/>
    <w:rsid w:val="0069129A"/>
    <w:rsid w:val="00691672"/>
    <w:rsid w:val="00691BFF"/>
    <w:rsid w:val="00691C14"/>
    <w:rsid w:val="00691C9B"/>
    <w:rsid w:val="00692634"/>
    <w:rsid w:val="00692C98"/>
    <w:rsid w:val="00692CE2"/>
    <w:rsid w:val="00692E7E"/>
    <w:rsid w:val="00692EE4"/>
    <w:rsid w:val="00692F39"/>
    <w:rsid w:val="00692FC1"/>
    <w:rsid w:val="00693075"/>
    <w:rsid w:val="00693553"/>
    <w:rsid w:val="006936A1"/>
    <w:rsid w:val="006939FA"/>
    <w:rsid w:val="00693BD0"/>
    <w:rsid w:val="00693E77"/>
    <w:rsid w:val="00693F2D"/>
    <w:rsid w:val="006953C1"/>
    <w:rsid w:val="00695698"/>
    <w:rsid w:val="00695A6D"/>
    <w:rsid w:val="006965AF"/>
    <w:rsid w:val="00696EB2"/>
    <w:rsid w:val="0069741A"/>
    <w:rsid w:val="006975D1"/>
    <w:rsid w:val="00697ED0"/>
    <w:rsid w:val="006A0DEA"/>
    <w:rsid w:val="006A11D8"/>
    <w:rsid w:val="006A16E9"/>
    <w:rsid w:val="006A1E25"/>
    <w:rsid w:val="006A2308"/>
    <w:rsid w:val="006A2399"/>
    <w:rsid w:val="006A267D"/>
    <w:rsid w:val="006A4B84"/>
    <w:rsid w:val="006A4CD8"/>
    <w:rsid w:val="006A5450"/>
    <w:rsid w:val="006A6557"/>
    <w:rsid w:val="006A6840"/>
    <w:rsid w:val="006A71F4"/>
    <w:rsid w:val="006A7301"/>
    <w:rsid w:val="006A75E5"/>
    <w:rsid w:val="006B0199"/>
    <w:rsid w:val="006B0A32"/>
    <w:rsid w:val="006B0BD8"/>
    <w:rsid w:val="006B0C27"/>
    <w:rsid w:val="006B1ED1"/>
    <w:rsid w:val="006B2100"/>
    <w:rsid w:val="006B2A3F"/>
    <w:rsid w:val="006B2FD8"/>
    <w:rsid w:val="006B330E"/>
    <w:rsid w:val="006B347D"/>
    <w:rsid w:val="006B4557"/>
    <w:rsid w:val="006B4D51"/>
    <w:rsid w:val="006B5789"/>
    <w:rsid w:val="006B604E"/>
    <w:rsid w:val="006B65D2"/>
    <w:rsid w:val="006B6657"/>
    <w:rsid w:val="006B6BD9"/>
    <w:rsid w:val="006B6EA5"/>
    <w:rsid w:val="006B794F"/>
    <w:rsid w:val="006B7A2A"/>
    <w:rsid w:val="006C0251"/>
    <w:rsid w:val="006C0320"/>
    <w:rsid w:val="006C05D9"/>
    <w:rsid w:val="006C07B5"/>
    <w:rsid w:val="006C0953"/>
    <w:rsid w:val="006C0A65"/>
    <w:rsid w:val="006C0DFA"/>
    <w:rsid w:val="006C1609"/>
    <w:rsid w:val="006C1B94"/>
    <w:rsid w:val="006C2341"/>
    <w:rsid w:val="006C2B9A"/>
    <w:rsid w:val="006C2FE3"/>
    <w:rsid w:val="006C3285"/>
    <w:rsid w:val="006C380C"/>
    <w:rsid w:val="006C39BB"/>
    <w:rsid w:val="006C4121"/>
    <w:rsid w:val="006C4404"/>
    <w:rsid w:val="006C4502"/>
    <w:rsid w:val="006C4F5D"/>
    <w:rsid w:val="006C51EE"/>
    <w:rsid w:val="006C537B"/>
    <w:rsid w:val="006C583A"/>
    <w:rsid w:val="006C5E4A"/>
    <w:rsid w:val="006C6114"/>
    <w:rsid w:val="006C6713"/>
    <w:rsid w:val="006C75EC"/>
    <w:rsid w:val="006C7977"/>
    <w:rsid w:val="006D0DE0"/>
    <w:rsid w:val="006D0DE8"/>
    <w:rsid w:val="006D158F"/>
    <w:rsid w:val="006D1936"/>
    <w:rsid w:val="006D19CF"/>
    <w:rsid w:val="006D2288"/>
    <w:rsid w:val="006D2389"/>
    <w:rsid w:val="006D269F"/>
    <w:rsid w:val="006D306A"/>
    <w:rsid w:val="006D30CE"/>
    <w:rsid w:val="006D43A3"/>
    <w:rsid w:val="006D4464"/>
    <w:rsid w:val="006D4A00"/>
    <w:rsid w:val="006D4D11"/>
    <w:rsid w:val="006D51A1"/>
    <w:rsid w:val="006D55C0"/>
    <w:rsid w:val="006D5921"/>
    <w:rsid w:val="006D5C14"/>
    <w:rsid w:val="006D5E91"/>
    <w:rsid w:val="006D69DF"/>
    <w:rsid w:val="006D71E9"/>
    <w:rsid w:val="006D78B2"/>
    <w:rsid w:val="006D7E87"/>
    <w:rsid w:val="006E0048"/>
    <w:rsid w:val="006E0D8F"/>
    <w:rsid w:val="006E14E6"/>
    <w:rsid w:val="006E15F8"/>
    <w:rsid w:val="006E1AEE"/>
    <w:rsid w:val="006E24C1"/>
    <w:rsid w:val="006E2687"/>
    <w:rsid w:val="006E2BA2"/>
    <w:rsid w:val="006E2CEE"/>
    <w:rsid w:val="006E2F52"/>
    <w:rsid w:val="006E3103"/>
    <w:rsid w:val="006E3229"/>
    <w:rsid w:val="006E32A9"/>
    <w:rsid w:val="006E3B9C"/>
    <w:rsid w:val="006E3F4F"/>
    <w:rsid w:val="006E449F"/>
    <w:rsid w:val="006E4F3C"/>
    <w:rsid w:val="006E51A2"/>
    <w:rsid w:val="006E5752"/>
    <w:rsid w:val="006E5BC1"/>
    <w:rsid w:val="006E5D2A"/>
    <w:rsid w:val="006E607D"/>
    <w:rsid w:val="006E6235"/>
    <w:rsid w:val="006E62DD"/>
    <w:rsid w:val="006E6D56"/>
    <w:rsid w:val="006E6EC5"/>
    <w:rsid w:val="006E77B7"/>
    <w:rsid w:val="006F0184"/>
    <w:rsid w:val="006F0DE2"/>
    <w:rsid w:val="006F0E21"/>
    <w:rsid w:val="006F0EB2"/>
    <w:rsid w:val="006F11BD"/>
    <w:rsid w:val="006F1443"/>
    <w:rsid w:val="006F1497"/>
    <w:rsid w:val="006F25B4"/>
    <w:rsid w:val="006F273C"/>
    <w:rsid w:val="006F2B32"/>
    <w:rsid w:val="006F2CD8"/>
    <w:rsid w:val="006F32C7"/>
    <w:rsid w:val="006F3392"/>
    <w:rsid w:val="006F3495"/>
    <w:rsid w:val="006F37E0"/>
    <w:rsid w:val="006F393D"/>
    <w:rsid w:val="006F39E6"/>
    <w:rsid w:val="006F3A85"/>
    <w:rsid w:val="006F3AC5"/>
    <w:rsid w:val="006F3C57"/>
    <w:rsid w:val="006F417D"/>
    <w:rsid w:val="006F460B"/>
    <w:rsid w:val="006F47A2"/>
    <w:rsid w:val="006F47BE"/>
    <w:rsid w:val="006F4C04"/>
    <w:rsid w:val="006F5266"/>
    <w:rsid w:val="006F5C83"/>
    <w:rsid w:val="006F5EF4"/>
    <w:rsid w:val="006F5F3F"/>
    <w:rsid w:val="006F6078"/>
    <w:rsid w:val="006F61E9"/>
    <w:rsid w:val="006F67CC"/>
    <w:rsid w:val="006F6B89"/>
    <w:rsid w:val="006F6FCC"/>
    <w:rsid w:val="006F7309"/>
    <w:rsid w:val="006F7427"/>
    <w:rsid w:val="006F74F7"/>
    <w:rsid w:val="0070079D"/>
    <w:rsid w:val="00700F5A"/>
    <w:rsid w:val="00700FE7"/>
    <w:rsid w:val="007017CC"/>
    <w:rsid w:val="00701C2D"/>
    <w:rsid w:val="00701D08"/>
    <w:rsid w:val="00701E3D"/>
    <w:rsid w:val="00701FB2"/>
    <w:rsid w:val="00702162"/>
    <w:rsid w:val="007028B3"/>
    <w:rsid w:val="00702C3D"/>
    <w:rsid w:val="007036D0"/>
    <w:rsid w:val="00703930"/>
    <w:rsid w:val="00703F3B"/>
    <w:rsid w:val="0070449B"/>
    <w:rsid w:val="00704C7C"/>
    <w:rsid w:val="00704DAD"/>
    <w:rsid w:val="00705491"/>
    <w:rsid w:val="0070610E"/>
    <w:rsid w:val="00706618"/>
    <w:rsid w:val="00706AC8"/>
    <w:rsid w:val="00706F53"/>
    <w:rsid w:val="007074DB"/>
    <w:rsid w:val="00707759"/>
    <w:rsid w:val="00710081"/>
    <w:rsid w:val="007104F0"/>
    <w:rsid w:val="007105A9"/>
    <w:rsid w:val="00710677"/>
    <w:rsid w:val="00710860"/>
    <w:rsid w:val="0071088C"/>
    <w:rsid w:val="00710A7A"/>
    <w:rsid w:val="00710B0D"/>
    <w:rsid w:val="00711875"/>
    <w:rsid w:val="00711EFA"/>
    <w:rsid w:val="00711F13"/>
    <w:rsid w:val="00712966"/>
    <w:rsid w:val="00712976"/>
    <w:rsid w:val="00712AD4"/>
    <w:rsid w:val="00712F0F"/>
    <w:rsid w:val="007132BC"/>
    <w:rsid w:val="00713461"/>
    <w:rsid w:val="007138BA"/>
    <w:rsid w:val="00713CB5"/>
    <w:rsid w:val="00713EDB"/>
    <w:rsid w:val="0071464D"/>
    <w:rsid w:val="00714E3F"/>
    <w:rsid w:val="00715306"/>
    <w:rsid w:val="0071558B"/>
    <w:rsid w:val="0071570F"/>
    <w:rsid w:val="00715994"/>
    <w:rsid w:val="007160A8"/>
    <w:rsid w:val="00716BE5"/>
    <w:rsid w:val="007174BD"/>
    <w:rsid w:val="0071776A"/>
    <w:rsid w:val="00721037"/>
    <w:rsid w:val="00721189"/>
    <w:rsid w:val="007212F0"/>
    <w:rsid w:val="0072194F"/>
    <w:rsid w:val="007221C3"/>
    <w:rsid w:val="007222B5"/>
    <w:rsid w:val="00722668"/>
    <w:rsid w:val="007227E4"/>
    <w:rsid w:val="00722D3A"/>
    <w:rsid w:val="00722F2C"/>
    <w:rsid w:val="007236B2"/>
    <w:rsid w:val="007236DD"/>
    <w:rsid w:val="00724443"/>
    <w:rsid w:val="0072481D"/>
    <w:rsid w:val="00724AFC"/>
    <w:rsid w:val="0072544C"/>
    <w:rsid w:val="007254D1"/>
    <w:rsid w:val="007255DF"/>
    <w:rsid w:val="00725B32"/>
    <w:rsid w:val="00725B3C"/>
    <w:rsid w:val="00725D8C"/>
    <w:rsid w:val="00726F52"/>
    <w:rsid w:val="007270EE"/>
    <w:rsid w:val="00727B2C"/>
    <w:rsid w:val="00727FB0"/>
    <w:rsid w:val="0073027E"/>
    <w:rsid w:val="00730858"/>
    <w:rsid w:val="00730E7C"/>
    <w:rsid w:val="00731036"/>
    <w:rsid w:val="00731174"/>
    <w:rsid w:val="007311E1"/>
    <w:rsid w:val="007313BF"/>
    <w:rsid w:val="00731470"/>
    <w:rsid w:val="0073175C"/>
    <w:rsid w:val="00731B2B"/>
    <w:rsid w:val="007335F6"/>
    <w:rsid w:val="00733934"/>
    <w:rsid w:val="00733AEC"/>
    <w:rsid w:val="00733D54"/>
    <w:rsid w:val="0073491B"/>
    <w:rsid w:val="00734B10"/>
    <w:rsid w:val="00734C6D"/>
    <w:rsid w:val="00734CEE"/>
    <w:rsid w:val="0073617F"/>
    <w:rsid w:val="007361EE"/>
    <w:rsid w:val="007369A8"/>
    <w:rsid w:val="00736A4F"/>
    <w:rsid w:val="00737753"/>
    <w:rsid w:val="00737768"/>
    <w:rsid w:val="0073785E"/>
    <w:rsid w:val="00737BBF"/>
    <w:rsid w:val="00737D6D"/>
    <w:rsid w:val="00737FFA"/>
    <w:rsid w:val="00740971"/>
    <w:rsid w:val="00740BB8"/>
    <w:rsid w:val="00740CE9"/>
    <w:rsid w:val="00741008"/>
    <w:rsid w:val="00741308"/>
    <w:rsid w:val="00741C89"/>
    <w:rsid w:val="00741E82"/>
    <w:rsid w:val="007422B4"/>
    <w:rsid w:val="007428E3"/>
    <w:rsid w:val="007429AB"/>
    <w:rsid w:val="00742FDE"/>
    <w:rsid w:val="0074359D"/>
    <w:rsid w:val="00743727"/>
    <w:rsid w:val="007437E6"/>
    <w:rsid w:val="007438FF"/>
    <w:rsid w:val="0074394E"/>
    <w:rsid w:val="0074422D"/>
    <w:rsid w:val="0074435C"/>
    <w:rsid w:val="00744F13"/>
    <w:rsid w:val="00745359"/>
    <w:rsid w:val="00745798"/>
    <w:rsid w:val="00745A29"/>
    <w:rsid w:val="007467F7"/>
    <w:rsid w:val="00746BDF"/>
    <w:rsid w:val="00746E15"/>
    <w:rsid w:val="00747B6B"/>
    <w:rsid w:val="007500C4"/>
    <w:rsid w:val="00750ABA"/>
    <w:rsid w:val="00750D0A"/>
    <w:rsid w:val="00751A71"/>
    <w:rsid w:val="00751D93"/>
    <w:rsid w:val="00752300"/>
    <w:rsid w:val="00752BD7"/>
    <w:rsid w:val="00753170"/>
    <w:rsid w:val="00753484"/>
    <w:rsid w:val="00753B5C"/>
    <w:rsid w:val="00753BF5"/>
    <w:rsid w:val="00753E5A"/>
    <w:rsid w:val="007546DE"/>
    <w:rsid w:val="007546F8"/>
    <w:rsid w:val="00754702"/>
    <w:rsid w:val="00754B2E"/>
    <w:rsid w:val="00754E30"/>
    <w:rsid w:val="0075579B"/>
    <w:rsid w:val="00755BAB"/>
    <w:rsid w:val="00756D2F"/>
    <w:rsid w:val="00756EC9"/>
    <w:rsid w:val="007579A2"/>
    <w:rsid w:val="00757ACE"/>
    <w:rsid w:val="007603DB"/>
    <w:rsid w:val="0076064F"/>
    <w:rsid w:val="0076080E"/>
    <w:rsid w:val="00760C50"/>
    <w:rsid w:val="00762DD8"/>
    <w:rsid w:val="00762FDD"/>
    <w:rsid w:val="007633DA"/>
    <w:rsid w:val="0076391B"/>
    <w:rsid w:val="007639B6"/>
    <w:rsid w:val="0076411D"/>
    <w:rsid w:val="0076430D"/>
    <w:rsid w:val="007644FE"/>
    <w:rsid w:val="00764786"/>
    <w:rsid w:val="00765198"/>
    <w:rsid w:val="007654D5"/>
    <w:rsid w:val="00765BB7"/>
    <w:rsid w:val="00765E4B"/>
    <w:rsid w:val="00766DA7"/>
    <w:rsid w:val="007670F8"/>
    <w:rsid w:val="007671D4"/>
    <w:rsid w:val="00767BFB"/>
    <w:rsid w:val="00767C11"/>
    <w:rsid w:val="0077013C"/>
    <w:rsid w:val="00770A85"/>
    <w:rsid w:val="00771BA3"/>
    <w:rsid w:val="007733F8"/>
    <w:rsid w:val="0077390B"/>
    <w:rsid w:val="00773C44"/>
    <w:rsid w:val="00773DC9"/>
    <w:rsid w:val="007742EF"/>
    <w:rsid w:val="0077544E"/>
    <w:rsid w:val="0077572E"/>
    <w:rsid w:val="007767D3"/>
    <w:rsid w:val="00776EA6"/>
    <w:rsid w:val="00777452"/>
    <w:rsid w:val="007777F6"/>
    <w:rsid w:val="00777BE4"/>
    <w:rsid w:val="00777C32"/>
    <w:rsid w:val="0078031B"/>
    <w:rsid w:val="007808FD"/>
    <w:rsid w:val="00780B52"/>
    <w:rsid w:val="00780E72"/>
    <w:rsid w:val="00780F98"/>
    <w:rsid w:val="0078121C"/>
    <w:rsid w:val="00781771"/>
    <w:rsid w:val="00781E72"/>
    <w:rsid w:val="0078262F"/>
    <w:rsid w:val="00782772"/>
    <w:rsid w:val="00782941"/>
    <w:rsid w:val="00782DB8"/>
    <w:rsid w:val="00782F52"/>
    <w:rsid w:val="00783567"/>
    <w:rsid w:val="00783CFC"/>
    <w:rsid w:val="007849CC"/>
    <w:rsid w:val="00784EEF"/>
    <w:rsid w:val="00784F44"/>
    <w:rsid w:val="00784FD2"/>
    <w:rsid w:val="00785956"/>
    <w:rsid w:val="00785A9A"/>
    <w:rsid w:val="00785FD0"/>
    <w:rsid w:val="0078605C"/>
    <w:rsid w:val="0078613E"/>
    <w:rsid w:val="00786672"/>
    <w:rsid w:val="00786E29"/>
    <w:rsid w:val="00786EA3"/>
    <w:rsid w:val="007870BF"/>
    <w:rsid w:val="007872CC"/>
    <w:rsid w:val="007872CF"/>
    <w:rsid w:val="00787C84"/>
    <w:rsid w:val="00787FA1"/>
    <w:rsid w:val="0079028F"/>
    <w:rsid w:val="0079046C"/>
    <w:rsid w:val="00790544"/>
    <w:rsid w:val="007909BA"/>
    <w:rsid w:val="00790B00"/>
    <w:rsid w:val="00790BC2"/>
    <w:rsid w:val="0079110E"/>
    <w:rsid w:val="007913B3"/>
    <w:rsid w:val="007919A6"/>
    <w:rsid w:val="00791E5F"/>
    <w:rsid w:val="0079201C"/>
    <w:rsid w:val="0079262B"/>
    <w:rsid w:val="00792948"/>
    <w:rsid w:val="00792DB4"/>
    <w:rsid w:val="00792E59"/>
    <w:rsid w:val="0079307F"/>
    <w:rsid w:val="007932D3"/>
    <w:rsid w:val="00793682"/>
    <w:rsid w:val="007937F3"/>
    <w:rsid w:val="007940BE"/>
    <w:rsid w:val="007940C5"/>
    <w:rsid w:val="0079430E"/>
    <w:rsid w:val="007947C4"/>
    <w:rsid w:val="007949AD"/>
    <w:rsid w:val="00794C6A"/>
    <w:rsid w:val="00794DF2"/>
    <w:rsid w:val="00795812"/>
    <w:rsid w:val="00795A65"/>
    <w:rsid w:val="00795CE1"/>
    <w:rsid w:val="00796583"/>
    <w:rsid w:val="00796ECC"/>
    <w:rsid w:val="00797D6C"/>
    <w:rsid w:val="007A010C"/>
    <w:rsid w:val="007A02F5"/>
    <w:rsid w:val="007A0463"/>
    <w:rsid w:val="007A0646"/>
    <w:rsid w:val="007A06AC"/>
    <w:rsid w:val="007A08F7"/>
    <w:rsid w:val="007A098B"/>
    <w:rsid w:val="007A142B"/>
    <w:rsid w:val="007A1536"/>
    <w:rsid w:val="007A1B2F"/>
    <w:rsid w:val="007A1FBE"/>
    <w:rsid w:val="007A2AE0"/>
    <w:rsid w:val="007A3C89"/>
    <w:rsid w:val="007A4202"/>
    <w:rsid w:val="007A461E"/>
    <w:rsid w:val="007A462B"/>
    <w:rsid w:val="007A4636"/>
    <w:rsid w:val="007A4D5E"/>
    <w:rsid w:val="007A4F1F"/>
    <w:rsid w:val="007A50FD"/>
    <w:rsid w:val="007A55CE"/>
    <w:rsid w:val="007A5719"/>
    <w:rsid w:val="007A571B"/>
    <w:rsid w:val="007A5985"/>
    <w:rsid w:val="007A5C26"/>
    <w:rsid w:val="007A6161"/>
    <w:rsid w:val="007A6A17"/>
    <w:rsid w:val="007A7377"/>
    <w:rsid w:val="007A7885"/>
    <w:rsid w:val="007B0193"/>
    <w:rsid w:val="007B01BF"/>
    <w:rsid w:val="007B027A"/>
    <w:rsid w:val="007B0563"/>
    <w:rsid w:val="007B0BC0"/>
    <w:rsid w:val="007B1014"/>
    <w:rsid w:val="007B103F"/>
    <w:rsid w:val="007B1484"/>
    <w:rsid w:val="007B1A10"/>
    <w:rsid w:val="007B2211"/>
    <w:rsid w:val="007B24CA"/>
    <w:rsid w:val="007B2578"/>
    <w:rsid w:val="007B2A48"/>
    <w:rsid w:val="007B2CAC"/>
    <w:rsid w:val="007B31AB"/>
    <w:rsid w:val="007B3268"/>
    <w:rsid w:val="007B37F1"/>
    <w:rsid w:val="007B3B2E"/>
    <w:rsid w:val="007B4299"/>
    <w:rsid w:val="007B42D3"/>
    <w:rsid w:val="007B46D9"/>
    <w:rsid w:val="007B4CF8"/>
    <w:rsid w:val="007B5882"/>
    <w:rsid w:val="007B6248"/>
    <w:rsid w:val="007B6659"/>
    <w:rsid w:val="007B6B61"/>
    <w:rsid w:val="007B6C39"/>
    <w:rsid w:val="007B76AB"/>
    <w:rsid w:val="007B78CF"/>
    <w:rsid w:val="007B78D8"/>
    <w:rsid w:val="007B7AF7"/>
    <w:rsid w:val="007B7CFA"/>
    <w:rsid w:val="007B7DBD"/>
    <w:rsid w:val="007C0706"/>
    <w:rsid w:val="007C0717"/>
    <w:rsid w:val="007C07B0"/>
    <w:rsid w:val="007C0898"/>
    <w:rsid w:val="007C09EA"/>
    <w:rsid w:val="007C0B17"/>
    <w:rsid w:val="007C114F"/>
    <w:rsid w:val="007C13AC"/>
    <w:rsid w:val="007C1548"/>
    <w:rsid w:val="007C1D0A"/>
    <w:rsid w:val="007C1DB7"/>
    <w:rsid w:val="007C2277"/>
    <w:rsid w:val="007C264B"/>
    <w:rsid w:val="007C2A0C"/>
    <w:rsid w:val="007C2B0F"/>
    <w:rsid w:val="007C3064"/>
    <w:rsid w:val="007C38D7"/>
    <w:rsid w:val="007C3C4C"/>
    <w:rsid w:val="007C45D3"/>
    <w:rsid w:val="007C597B"/>
    <w:rsid w:val="007C5A8D"/>
    <w:rsid w:val="007C63F0"/>
    <w:rsid w:val="007C65E3"/>
    <w:rsid w:val="007C6760"/>
    <w:rsid w:val="007C6937"/>
    <w:rsid w:val="007C73D5"/>
    <w:rsid w:val="007C760C"/>
    <w:rsid w:val="007C7846"/>
    <w:rsid w:val="007C7976"/>
    <w:rsid w:val="007C7E22"/>
    <w:rsid w:val="007D0515"/>
    <w:rsid w:val="007D08FD"/>
    <w:rsid w:val="007D0970"/>
    <w:rsid w:val="007D1324"/>
    <w:rsid w:val="007D153E"/>
    <w:rsid w:val="007D1584"/>
    <w:rsid w:val="007D16D3"/>
    <w:rsid w:val="007D1C41"/>
    <w:rsid w:val="007D2044"/>
    <w:rsid w:val="007D2657"/>
    <w:rsid w:val="007D2E79"/>
    <w:rsid w:val="007D3164"/>
    <w:rsid w:val="007D3DB0"/>
    <w:rsid w:val="007D3DF6"/>
    <w:rsid w:val="007D4136"/>
    <w:rsid w:val="007D41FB"/>
    <w:rsid w:val="007D4651"/>
    <w:rsid w:val="007D4C7B"/>
    <w:rsid w:val="007D4DC8"/>
    <w:rsid w:val="007D4F33"/>
    <w:rsid w:val="007D554B"/>
    <w:rsid w:val="007D5792"/>
    <w:rsid w:val="007D59A9"/>
    <w:rsid w:val="007D65C7"/>
    <w:rsid w:val="007D6776"/>
    <w:rsid w:val="007D6C47"/>
    <w:rsid w:val="007D74D2"/>
    <w:rsid w:val="007D78DF"/>
    <w:rsid w:val="007D79B5"/>
    <w:rsid w:val="007D7B6A"/>
    <w:rsid w:val="007E0728"/>
    <w:rsid w:val="007E14F5"/>
    <w:rsid w:val="007E1ACE"/>
    <w:rsid w:val="007E1D88"/>
    <w:rsid w:val="007E2334"/>
    <w:rsid w:val="007E23CE"/>
    <w:rsid w:val="007E2BFD"/>
    <w:rsid w:val="007E2CE7"/>
    <w:rsid w:val="007E2FD6"/>
    <w:rsid w:val="007E3227"/>
    <w:rsid w:val="007E379A"/>
    <w:rsid w:val="007E3A1C"/>
    <w:rsid w:val="007E4337"/>
    <w:rsid w:val="007E43D0"/>
    <w:rsid w:val="007E4F00"/>
    <w:rsid w:val="007E54F8"/>
    <w:rsid w:val="007E564E"/>
    <w:rsid w:val="007E5987"/>
    <w:rsid w:val="007E5A0E"/>
    <w:rsid w:val="007E5BD8"/>
    <w:rsid w:val="007E5C6F"/>
    <w:rsid w:val="007E7B9F"/>
    <w:rsid w:val="007E7BF9"/>
    <w:rsid w:val="007F0112"/>
    <w:rsid w:val="007F02BC"/>
    <w:rsid w:val="007F041A"/>
    <w:rsid w:val="007F07AC"/>
    <w:rsid w:val="007F1D17"/>
    <w:rsid w:val="007F20D7"/>
    <w:rsid w:val="007F23D7"/>
    <w:rsid w:val="007F24D6"/>
    <w:rsid w:val="007F2E65"/>
    <w:rsid w:val="007F322C"/>
    <w:rsid w:val="007F3283"/>
    <w:rsid w:val="007F329C"/>
    <w:rsid w:val="007F34D1"/>
    <w:rsid w:val="007F3540"/>
    <w:rsid w:val="007F399F"/>
    <w:rsid w:val="007F3E67"/>
    <w:rsid w:val="007F43BA"/>
    <w:rsid w:val="007F45D1"/>
    <w:rsid w:val="007F4D34"/>
    <w:rsid w:val="007F4F30"/>
    <w:rsid w:val="007F5553"/>
    <w:rsid w:val="007F5B71"/>
    <w:rsid w:val="007F5BF0"/>
    <w:rsid w:val="007F64BE"/>
    <w:rsid w:val="007F6DB9"/>
    <w:rsid w:val="007F6DC3"/>
    <w:rsid w:val="007F6E6F"/>
    <w:rsid w:val="007F7907"/>
    <w:rsid w:val="007F7B11"/>
    <w:rsid w:val="0080002B"/>
    <w:rsid w:val="00800548"/>
    <w:rsid w:val="008006B4"/>
    <w:rsid w:val="008015B6"/>
    <w:rsid w:val="00801DAB"/>
    <w:rsid w:val="00801FE8"/>
    <w:rsid w:val="008025E0"/>
    <w:rsid w:val="008034C0"/>
    <w:rsid w:val="008039A0"/>
    <w:rsid w:val="00803C31"/>
    <w:rsid w:val="00803F9F"/>
    <w:rsid w:val="00803FD4"/>
    <w:rsid w:val="008046F6"/>
    <w:rsid w:val="0080481C"/>
    <w:rsid w:val="00804C54"/>
    <w:rsid w:val="008052EE"/>
    <w:rsid w:val="008056DD"/>
    <w:rsid w:val="00805C74"/>
    <w:rsid w:val="00805E07"/>
    <w:rsid w:val="0080630C"/>
    <w:rsid w:val="00806A63"/>
    <w:rsid w:val="00806D39"/>
    <w:rsid w:val="00806EC7"/>
    <w:rsid w:val="00807403"/>
    <w:rsid w:val="0080753C"/>
    <w:rsid w:val="00807610"/>
    <w:rsid w:val="008077DB"/>
    <w:rsid w:val="00807F5A"/>
    <w:rsid w:val="0081003B"/>
    <w:rsid w:val="00810B17"/>
    <w:rsid w:val="0081104C"/>
    <w:rsid w:val="00811134"/>
    <w:rsid w:val="00811448"/>
    <w:rsid w:val="008114E4"/>
    <w:rsid w:val="008115F4"/>
    <w:rsid w:val="00812116"/>
    <w:rsid w:val="008121F2"/>
    <w:rsid w:val="0081235A"/>
    <w:rsid w:val="0081268F"/>
    <w:rsid w:val="00812967"/>
    <w:rsid w:val="00812D16"/>
    <w:rsid w:val="00814045"/>
    <w:rsid w:val="00814311"/>
    <w:rsid w:val="008144B2"/>
    <w:rsid w:val="00815851"/>
    <w:rsid w:val="008159AC"/>
    <w:rsid w:val="00815B61"/>
    <w:rsid w:val="00815B88"/>
    <w:rsid w:val="00815D79"/>
    <w:rsid w:val="00815E9F"/>
    <w:rsid w:val="00816C26"/>
    <w:rsid w:val="00816C51"/>
    <w:rsid w:val="0082035F"/>
    <w:rsid w:val="00821865"/>
    <w:rsid w:val="00822208"/>
    <w:rsid w:val="008225EB"/>
    <w:rsid w:val="0082282C"/>
    <w:rsid w:val="00822C36"/>
    <w:rsid w:val="008230BA"/>
    <w:rsid w:val="008231E5"/>
    <w:rsid w:val="0082327D"/>
    <w:rsid w:val="008237DB"/>
    <w:rsid w:val="00823AF4"/>
    <w:rsid w:val="008240F8"/>
    <w:rsid w:val="0082433D"/>
    <w:rsid w:val="00824AC3"/>
    <w:rsid w:val="00824B06"/>
    <w:rsid w:val="00824C28"/>
    <w:rsid w:val="00824E76"/>
    <w:rsid w:val="008250BF"/>
    <w:rsid w:val="008250ED"/>
    <w:rsid w:val="00825F5D"/>
    <w:rsid w:val="00826004"/>
    <w:rsid w:val="00826509"/>
    <w:rsid w:val="0082696D"/>
    <w:rsid w:val="00826A5A"/>
    <w:rsid w:val="00826C49"/>
    <w:rsid w:val="00827246"/>
    <w:rsid w:val="00827395"/>
    <w:rsid w:val="00827E2A"/>
    <w:rsid w:val="00830195"/>
    <w:rsid w:val="00830724"/>
    <w:rsid w:val="00830A79"/>
    <w:rsid w:val="008319B2"/>
    <w:rsid w:val="00831BC0"/>
    <w:rsid w:val="00831C03"/>
    <w:rsid w:val="00831CC5"/>
    <w:rsid w:val="0083354D"/>
    <w:rsid w:val="00833AD1"/>
    <w:rsid w:val="00834829"/>
    <w:rsid w:val="00834BA8"/>
    <w:rsid w:val="00835085"/>
    <w:rsid w:val="008350C3"/>
    <w:rsid w:val="0083513E"/>
    <w:rsid w:val="0083561B"/>
    <w:rsid w:val="00835D69"/>
    <w:rsid w:val="0083655E"/>
    <w:rsid w:val="008366F9"/>
    <w:rsid w:val="00837076"/>
    <w:rsid w:val="00837D78"/>
    <w:rsid w:val="00837E46"/>
    <w:rsid w:val="008400C0"/>
    <w:rsid w:val="0084097A"/>
    <w:rsid w:val="008409C2"/>
    <w:rsid w:val="00840D79"/>
    <w:rsid w:val="00840E04"/>
    <w:rsid w:val="00840EF1"/>
    <w:rsid w:val="00840F16"/>
    <w:rsid w:val="008415B6"/>
    <w:rsid w:val="008416AF"/>
    <w:rsid w:val="008417D4"/>
    <w:rsid w:val="008428FC"/>
    <w:rsid w:val="00842939"/>
    <w:rsid w:val="00842A21"/>
    <w:rsid w:val="00842CC5"/>
    <w:rsid w:val="0084342B"/>
    <w:rsid w:val="0084343D"/>
    <w:rsid w:val="00843B35"/>
    <w:rsid w:val="00844864"/>
    <w:rsid w:val="00844F0C"/>
    <w:rsid w:val="0084581F"/>
    <w:rsid w:val="00845A86"/>
    <w:rsid w:val="00845DAD"/>
    <w:rsid w:val="00846827"/>
    <w:rsid w:val="00846B7F"/>
    <w:rsid w:val="00846D4D"/>
    <w:rsid w:val="00847EF5"/>
    <w:rsid w:val="008500F7"/>
    <w:rsid w:val="008502AC"/>
    <w:rsid w:val="008502CA"/>
    <w:rsid w:val="00851377"/>
    <w:rsid w:val="008519A0"/>
    <w:rsid w:val="00851BBD"/>
    <w:rsid w:val="00851DF3"/>
    <w:rsid w:val="00851DFA"/>
    <w:rsid w:val="00852CA3"/>
    <w:rsid w:val="0085416F"/>
    <w:rsid w:val="00854171"/>
    <w:rsid w:val="0085437C"/>
    <w:rsid w:val="00854B2F"/>
    <w:rsid w:val="00855030"/>
    <w:rsid w:val="00855481"/>
    <w:rsid w:val="008556FA"/>
    <w:rsid w:val="00855719"/>
    <w:rsid w:val="00856271"/>
    <w:rsid w:val="00856354"/>
    <w:rsid w:val="0085653A"/>
    <w:rsid w:val="008568E1"/>
    <w:rsid w:val="00856BE9"/>
    <w:rsid w:val="00856CCA"/>
    <w:rsid w:val="00856CCF"/>
    <w:rsid w:val="00856E71"/>
    <w:rsid w:val="00857316"/>
    <w:rsid w:val="00857419"/>
    <w:rsid w:val="0085760B"/>
    <w:rsid w:val="008576E2"/>
    <w:rsid w:val="008578F8"/>
    <w:rsid w:val="00857B50"/>
    <w:rsid w:val="00857CF9"/>
    <w:rsid w:val="00858E03"/>
    <w:rsid w:val="00860566"/>
    <w:rsid w:val="008605FD"/>
    <w:rsid w:val="00860848"/>
    <w:rsid w:val="008608EC"/>
    <w:rsid w:val="00860DEB"/>
    <w:rsid w:val="00860FBD"/>
    <w:rsid w:val="0086129A"/>
    <w:rsid w:val="008612FF"/>
    <w:rsid w:val="008615F6"/>
    <w:rsid w:val="0086165C"/>
    <w:rsid w:val="00861B26"/>
    <w:rsid w:val="00862793"/>
    <w:rsid w:val="00862DD7"/>
    <w:rsid w:val="00862DEA"/>
    <w:rsid w:val="00862EED"/>
    <w:rsid w:val="008636F9"/>
    <w:rsid w:val="00863EDA"/>
    <w:rsid w:val="008643FC"/>
    <w:rsid w:val="008649B9"/>
    <w:rsid w:val="00864AA8"/>
    <w:rsid w:val="00864FDB"/>
    <w:rsid w:val="00865280"/>
    <w:rsid w:val="00865E18"/>
    <w:rsid w:val="0086674E"/>
    <w:rsid w:val="00866953"/>
    <w:rsid w:val="00866F7F"/>
    <w:rsid w:val="0086784F"/>
    <w:rsid w:val="008700D2"/>
    <w:rsid w:val="00870394"/>
    <w:rsid w:val="0087073B"/>
    <w:rsid w:val="00871613"/>
    <w:rsid w:val="00871B6A"/>
    <w:rsid w:val="00871B81"/>
    <w:rsid w:val="00872147"/>
    <w:rsid w:val="00873967"/>
    <w:rsid w:val="00873DE2"/>
    <w:rsid w:val="008743BB"/>
    <w:rsid w:val="00874696"/>
    <w:rsid w:val="00875EE3"/>
    <w:rsid w:val="008769BB"/>
    <w:rsid w:val="008770D4"/>
    <w:rsid w:val="008776CE"/>
    <w:rsid w:val="00877D87"/>
    <w:rsid w:val="008800E5"/>
    <w:rsid w:val="00880B27"/>
    <w:rsid w:val="00880BA8"/>
    <w:rsid w:val="0088127F"/>
    <w:rsid w:val="008812DC"/>
    <w:rsid w:val="008815EF"/>
    <w:rsid w:val="008821C8"/>
    <w:rsid w:val="00883ED5"/>
    <w:rsid w:val="00884474"/>
    <w:rsid w:val="00884C14"/>
    <w:rsid w:val="00884EDC"/>
    <w:rsid w:val="00885137"/>
    <w:rsid w:val="00885273"/>
    <w:rsid w:val="008854E5"/>
    <w:rsid w:val="00885554"/>
    <w:rsid w:val="00885F2C"/>
    <w:rsid w:val="00886031"/>
    <w:rsid w:val="00886386"/>
    <w:rsid w:val="00886520"/>
    <w:rsid w:val="00886E58"/>
    <w:rsid w:val="0088701C"/>
    <w:rsid w:val="0088708E"/>
    <w:rsid w:val="00887188"/>
    <w:rsid w:val="00887755"/>
    <w:rsid w:val="00887E08"/>
    <w:rsid w:val="00887E26"/>
    <w:rsid w:val="00887FE9"/>
    <w:rsid w:val="00890547"/>
    <w:rsid w:val="00890E09"/>
    <w:rsid w:val="0089180C"/>
    <w:rsid w:val="00891A92"/>
    <w:rsid w:val="00891B49"/>
    <w:rsid w:val="00892459"/>
    <w:rsid w:val="008929AA"/>
    <w:rsid w:val="00892AA5"/>
    <w:rsid w:val="00893EE5"/>
    <w:rsid w:val="0089409F"/>
    <w:rsid w:val="00894389"/>
    <w:rsid w:val="00894798"/>
    <w:rsid w:val="00894888"/>
    <w:rsid w:val="0089499B"/>
    <w:rsid w:val="00894ACA"/>
    <w:rsid w:val="00894CC8"/>
    <w:rsid w:val="00894EC5"/>
    <w:rsid w:val="008950B2"/>
    <w:rsid w:val="00895DB2"/>
    <w:rsid w:val="00895DB9"/>
    <w:rsid w:val="00895F97"/>
    <w:rsid w:val="00896238"/>
    <w:rsid w:val="00896357"/>
    <w:rsid w:val="00896658"/>
    <w:rsid w:val="008967B5"/>
    <w:rsid w:val="00896CD0"/>
    <w:rsid w:val="00896CF3"/>
    <w:rsid w:val="00897533"/>
    <w:rsid w:val="008976BD"/>
    <w:rsid w:val="00897AA8"/>
    <w:rsid w:val="008A006F"/>
    <w:rsid w:val="008A0251"/>
    <w:rsid w:val="008A03AC"/>
    <w:rsid w:val="008A0A2C"/>
    <w:rsid w:val="008A1008"/>
    <w:rsid w:val="008A138E"/>
    <w:rsid w:val="008A13CC"/>
    <w:rsid w:val="008A259A"/>
    <w:rsid w:val="008A263E"/>
    <w:rsid w:val="008A2773"/>
    <w:rsid w:val="008A28E2"/>
    <w:rsid w:val="008A2B67"/>
    <w:rsid w:val="008A305C"/>
    <w:rsid w:val="008A345A"/>
    <w:rsid w:val="008A3764"/>
    <w:rsid w:val="008A3818"/>
    <w:rsid w:val="008A3DB9"/>
    <w:rsid w:val="008A556D"/>
    <w:rsid w:val="008A584E"/>
    <w:rsid w:val="008A5880"/>
    <w:rsid w:val="008A5FCF"/>
    <w:rsid w:val="008A617F"/>
    <w:rsid w:val="008A6A5C"/>
    <w:rsid w:val="008A7137"/>
    <w:rsid w:val="008A7316"/>
    <w:rsid w:val="008A794D"/>
    <w:rsid w:val="008B0089"/>
    <w:rsid w:val="008B0602"/>
    <w:rsid w:val="008B0625"/>
    <w:rsid w:val="008B06D3"/>
    <w:rsid w:val="008B0970"/>
    <w:rsid w:val="008B1D7D"/>
    <w:rsid w:val="008B25E0"/>
    <w:rsid w:val="008B29D1"/>
    <w:rsid w:val="008B29EC"/>
    <w:rsid w:val="008B2F25"/>
    <w:rsid w:val="008B30FE"/>
    <w:rsid w:val="008B36BF"/>
    <w:rsid w:val="008B4A1C"/>
    <w:rsid w:val="008B4E5A"/>
    <w:rsid w:val="008B500A"/>
    <w:rsid w:val="008B5F39"/>
    <w:rsid w:val="008B6ABB"/>
    <w:rsid w:val="008C090B"/>
    <w:rsid w:val="008C0BD7"/>
    <w:rsid w:val="008C1610"/>
    <w:rsid w:val="008C1CE6"/>
    <w:rsid w:val="008C25C5"/>
    <w:rsid w:val="008C2A2C"/>
    <w:rsid w:val="008C2B08"/>
    <w:rsid w:val="008C2CE3"/>
    <w:rsid w:val="008C2E59"/>
    <w:rsid w:val="008C2E72"/>
    <w:rsid w:val="008C2F1E"/>
    <w:rsid w:val="008C30E5"/>
    <w:rsid w:val="008C33C0"/>
    <w:rsid w:val="008C38A2"/>
    <w:rsid w:val="008C38E6"/>
    <w:rsid w:val="008C3B5B"/>
    <w:rsid w:val="008C409F"/>
    <w:rsid w:val="008C4831"/>
    <w:rsid w:val="008C4858"/>
    <w:rsid w:val="008C559B"/>
    <w:rsid w:val="008C5DDB"/>
    <w:rsid w:val="008C602D"/>
    <w:rsid w:val="008C61D2"/>
    <w:rsid w:val="008C69F4"/>
    <w:rsid w:val="008C6BCC"/>
    <w:rsid w:val="008C6C58"/>
    <w:rsid w:val="008C6DE7"/>
    <w:rsid w:val="008C7BF6"/>
    <w:rsid w:val="008C7CAD"/>
    <w:rsid w:val="008C7FC5"/>
    <w:rsid w:val="008CD411"/>
    <w:rsid w:val="008D04E6"/>
    <w:rsid w:val="008D05D7"/>
    <w:rsid w:val="008D098D"/>
    <w:rsid w:val="008D0F4E"/>
    <w:rsid w:val="008D135A"/>
    <w:rsid w:val="008D1AA8"/>
    <w:rsid w:val="008D2205"/>
    <w:rsid w:val="008D2331"/>
    <w:rsid w:val="008D26F8"/>
    <w:rsid w:val="008D29B1"/>
    <w:rsid w:val="008D323D"/>
    <w:rsid w:val="008D347F"/>
    <w:rsid w:val="008D35AD"/>
    <w:rsid w:val="008D36CD"/>
    <w:rsid w:val="008D4380"/>
    <w:rsid w:val="008D44C2"/>
    <w:rsid w:val="008D469E"/>
    <w:rsid w:val="008D48D1"/>
    <w:rsid w:val="008D53DB"/>
    <w:rsid w:val="008D5840"/>
    <w:rsid w:val="008D59FC"/>
    <w:rsid w:val="008D6755"/>
    <w:rsid w:val="008D6BE8"/>
    <w:rsid w:val="008D7198"/>
    <w:rsid w:val="008E0BA5"/>
    <w:rsid w:val="008E1276"/>
    <w:rsid w:val="008E1672"/>
    <w:rsid w:val="008E18C7"/>
    <w:rsid w:val="008E1CA1"/>
    <w:rsid w:val="008E2172"/>
    <w:rsid w:val="008E27E9"/>
    <w:rsid w:val="008E299A"/>
    <w:rsid w:val="008E30AE"/>
    <w:rsid w:val="008E3750"/>
    <w:rsid w:val="008E3880"/>
    <w:rsid w:val="008E42DE"/>
    <w:rsid w:val="008E4389"/>
    <w:rsid w:val="008E43E9"/>
    <w:rsid w:val="008E4A7A"/>
    <w:rsid w:val="008E4C09"/>
    <w:rsid w:val="008E4D99"/>
    <w:rsid w:val="008E4F39"/>
    <w:rsid w:val="008E50B3"/>
    <w:rsid w:val="008E5290"/>
    <w:rsid w:val="008E5344"/>
    <w:rsid w:val="008E6697"/>
    <w:rsid w:val="008E6841"/>
    <w:rsid w:val="008E6B2B"/>
    <w:rsid w:val="008E7B1A"/>
    <w:rsid w:val="008E7D51"/>
    <w:rsid w:val="008F0B4F"/>
    <w:rsid w:val="008F0EF4"/>
    <w:rsid w:val="008F0FC3"/>
    <w:rsid w:val="008F11E9"/>
    <w:rsid w:val="008F1723"/>
    <w:rsid w:val="008F1ED2"/>
    <w:rsid w:val="008F21FE"/>
    <w:rsid w:val="008F2735"/>
    <w:rsid w:val="008F2C49"/>
    <w:rsid w:val="008F3481"/>
    <w:rsid w:val="008F36F0"/>
    <w:rsid w:val="008F4431"/>
    <w:rsid w:val="008F4D75"/>
    <w:rsid w:val="008F5012"/>
    <w:rsid w:val="008F5493"/>
    <w:rsid w:val="008F59D7"/>
    <w:rsid w:val="008F5F92"/>
    <w:rsid w:val="008F6036"/>
    <w:rsid w:val="008F66BC"/>
    <w:rsid w:val="008F6C5D"/>
    <w:rsid w:val="008F7097"/>
    <w:rsid w:val="008F70DB"/>
    <w:rsid w:val="008F712A"/>
    <w:rsid w:val="008F7A5B"/>
    <w:rsid w:val="008F7AAD"/>
    <w:rsid w:val="008F7CFF"/>
    <w:rsid w:val="008F7ED1"/>
    <w:rsid w:val="008F7FB3"/>
    <w:rsid w:val="00900CF8"/>
    <w:rsid w:val="0090142B"/>
    <w:rsid w:val="009017A0"/>
    <w:rsid w:val="00901C8D"/>
    <w:rsid w:val="00901CBD"/>
    <w:rsid w:val="009020E7"/>
    <w:rsid w:val="00902213"/>
    <w:rsid w:val="009026A1"/>
    <w:rsid w:val="00902A7E"/>
    <w:rsid w:val="00902A92"/>
    <w:rsid w:val="00902B36"/>
    <w:rsid w:val="00902EE5"/>
    <w:rsid w:val="00903D79"/>
    <w:rsid w:val="00904227"/>
    <w:rsid w:val="00904A4D"/>
    <w:rsid w:val="00904B5D"/>
    <w:rsid w:val="00904E23"/>
    <w:rsid w:val="00905643"/>
    <w:rsid w:val="00905D51"/>
    <w:rsid w:val="00905EE9"/>
    <w:rsid w:val="009065F4"/>
    <w:rsid w:val="0090690B"/>
    <w:rsid w:val="00906D9A"/>
    <w:rsid w:val="00906DE0"/>
    <w:rsid w:val="009075A7"/>
    <w:rsid w:val="00907658"/>
    <w:rsid w:val="00907DFB"/>
    <w:rsid w:val="00907ED9"/>
    <w:rsid w:val="00910327"/>
    <w:rsid w:val="0091056B"/>
    <w:rsid w:val="00910624"/>
    <w:rsid w:val="00910FBA"/>
    <w:rsid w:val="0091119C"/>
    <w:rsid w:val="009111C5"/>
    <w:rsid w:val="00911321"/>
    <w:rsid w:val="00911827"/>
    <w:rsid w:val="00911A6E"/>
    <w:rsid w:val="00911D39"/>
    <w:rsid w:val="00912B9F"/>
    <w:rsid w:val="00912BDF"/>
    <w:rsid w:val="00912EF6"/>
    <w:rsid w:val="009130CD"/>
    <w:rsid w:val="00914067"/>
    <w:rsid w:val="0091469D"/>
    <w:rsid w:val="0091486A"/>
    <w:rsid w:val="00914E71"/>
    <w:rsid w:val="00915EB2"/>
    <w:rsid w:val="009161D3"/>
    <w:rsid w:val="0091647C"/>
    <w:rsid w:val="00916CEF"/>
    <w:rsid w:val="00917925"/>
    <w:rsid w:val="00917C0F"/>
    <w:rsid w:val="00920202"/>
    <w:rsid w:val="009202C5"/>
    <w:rsid w:val="0092040E"/>
    <w:rsid w:val="0092061F"/>
    <w:rsid w:val="00920A3B"/>
    <w:rsid w:val="00920A9B"/>
    <w:rsid w:val="00920C6C"/>
    <w:rsid w:val="00920CA2"/>
    <w:rsid w:val="00920D4A"/>
    <w:rsid w:val="009212B2"/>
    <w:rsid w:val="00921897"/>
    <w:rsid w:val="00921C6D"/>
    <w:rsid w:val="009227D9"/>
    <w:rsid w:val="00922A63"/>
    <w:rsid w:val="00922FE4"/>
    <w:rsid w:val="00923908"/>
    <w:rsid w:val="00923C44"/>
    <w:rsid w:val="00923E4D"/>
    <w:rsid w:val="00924AD1"/>
    <w:rsid w:val="00924AF7"/>
    <w:rsid w:val="009253C5"/>
    <w:rsid w:val="00925F00"/>
    <w:rsid w:val="009263C8"/>
    <w:rsid w:val="00926D08"/>
    <w:rsid w:val="009272E1"/>
    <w:rsid w:val="009276C0"/>
    <w:rsid w:val="00927791"/>
    <w:rsid w:val="00927B2F"/>
    <w:rsid w:val="009300D8"/>
    <w:rsid w:val="00930607"/>
    <w:rsid w:val="00930D0A"/>
    <w:rsid w:val="00931723"/>
    <w:rsid w:val="00931EF0"/>
    <w:rsid w:val="009329BA"/>
    <w:rsid w:val="00932EAC"/>
    <w:rsid w:val="00932FC8"/>
    <w:rsid w:val="0093304D"/>
    <w:rsid w:val="00933459"/>
    <w:rsid w:val="00933B65"/>
    <w:rsid w:val="00933FE8"/>
    <w:rsid w:val="00934E99"/>
    <w:rsid w:val="00935DB7"/>
    <w:rsid w:val="00936939"/>
    <w:rsid w:val="00936B3B"/>
    <w:rsid w:val="00936E81"/>
    <w:rsid w:val="00937803"/>
    <w:rsid w:val="009379B2"/>
    <w:rsid w:val="00937A12"/>
    <w:rsid w:val="00937ECD"/>
    <w:rsid w:val="009400E2"/>
    <w:rsid w:val="009402AF"/>
    <w:rsid w:val="0094053B"/>
    <w:rsid w:val="009407E1"/>
    <w:rsid w:val="00940CC0"/>
    <w:rsid w:val="00941108"/>
    <w:rsid w:val="00941707"/>
    <w:rsid w:val="00941830"/>
    <w:rsid w:val="00941B61"/>
    <w:rsid w:val="00942040"/>
    <w:rsid w:val="009427BD"/>
    <w:rsid w:val="00942BB0"/>
    <w:rsid w:val="00942C9F"/>
    <w:rsid w:val="009437B1"/>
    <w:rsid w:val="00943E6B"/>
    <w:rsid w:val="00943F98"/>
    <w:rsid w:val="0094444C"/>
    <w:rsid w:val="00945631"/>
    <w:rsid w:val="00945E35"/>
    <w:rsid w:val="00946178"/>
    <w:rsid w:val="00946551"/>
    <w:rsid w:val="00946B9D"/>
    <w:rsid w:val="00946C3E"/>
    <w:rsid w:val="009472E8"/>
    <w:rsid w:val="00947549"/>
    <w:rsid w:val="00947970"/>
    <w:rsid w:val="00947977"/>
    <w:rsid w:val="00947B8C"/>
    <w:rsid w:val="00947CF3"/>
    <w:rsid w:val="00950C1F"/>
    <w:rsid w:val="00950C3F"/>
    <w:rsid w:val="009514B4"/>
    <w:rsid w:val="00951E7F"/>
    <w:rsid w:val="00951EB6"/>
    <w:rsid w:val="009524AA"/>
    <w:rsid w:val="0095292A"/>
    <w:rsid w:val="00952981"/>
    <w:rsid w:val="00953F9B"/>
    <w:rsid w:val="009542F6"/>
    <w:rsid w:val="00954699"/>
    <w:rsid w:val="00954F03"/>
    <w:rsid w:val="009558AE"/>
    <w:rsid w:val="009565FF"/>
    <w:rsid w:val="00956819"/>
    <w:rsid w:val="009571A8"/>
    <w:rsid w:val="009576D2"/>
    <w:rsid w:val="0095793C"/>
    <w:rsid w:val="0096065F"/>
    <w:rsid w:val="0096111E"/>
    <w:rsid w:val="00961125"/>
    <w:rsid w:val="00961799"/>
    <w:rsid w:val="00961929"/>
    <w:rsid w:val="00961C64"/>
    <w:rsid w:val="00961CC6"/>
    <w:rsid w:val="00961CEE"/>
    <w:rsid w:val="00962343"/>
    <w:rsid w:val="009623D8"/>
    <w:rsid w:val="009624C6"/>
    <w:rsid w:val="00963362"/>
    <w:rsid w:val="00963481"/>
    <w:rsid w:val="009634B8"/>
    <w:rsid w:val="0096368B"/>
    <w:rsid w:val="00963BD1"/>
    <w:rsid w:val="00963C71"/>
    <w:rsid w:val="009642F7"/>
    <w:rsid w:val="00964559"/>
    <w:rsid w:val="0096499E"/>
    <w:rsid w:val="0096525A"/>
    <w:rsid w:val="00966001"/>
    <w:rsid w:val="009662EF"/>
    <w:rsid w:val="00966679"/>
    <w:rsid w:val="00966B1F"/>
    <w:rsid w:val="0096715A"/>
    <w:rsid w:val="00967956"/>
    <w:rsid w:val="00967F49"/>
    <w:rsid w:val="00970070"/>
    <w:rsid w:val="00970822"/>
    <w:rsid w:val="00970A7E"/>
    <w:rsid w:val="00970E04"/>
    <w:rsid w:val="0097116E"/>
    <w:rsid w:val="00971204"/>
    <w:rsid w:val="009714EB"/>
    <w:rsid w:val="00971B6C"/>
    <w:rsid w:val="00971BFF"/>
    <w:rsid w:val="00971D55"/>
    <w:rsid w:val="00971E11"/>
    <w:rsid w:val="00971E4A"/>
    <w:rsid w:val="00972138"/>
    <w:rsid w:val="0097265B"/>
    <w:rsid w:val="00972680"/>
    <w:rsid w:val="00972DB0"/>
    <w:rsid w:val="00972F80"/>
    <w:rsid w:val="0097325D"/>
    <w:rsid w:val="009737E3"/>
    <w:rsid w:val="009737F6"/>
    <w:rsid w:val="00973DE6"/>
    <w:rsid w:val="009741C7"/>
    <w:rsid w:val="00974518"/>
    <w:rsid w:val="00974546"/>
    <w:rsid w:val="009750D9"/>
    <w:rsid w:val="00975912"/>
    <w:rsid w:val="00975C6B"/>
    <w:rsid w:val="00976746"/>
    <w:rsid w:val="00976A9F"/>
    <w:rsid w:val="00976CF5"/>
    <w:rsid w:val="00976E99"/>
    <w:rsid w:val="00980FE0"/>
    <w:rsid w:val="00981484"/>
    <w:rsid w:val="009818B6"/>
    <w:rsid w:val="00981A66"/>
    <w:rsid w:val="00981CA7"/>
    <w:rsid w:val="00983102"/>
    <w:rsid w:val="009836CB"/>
    <w:rsid w:val="00983E93"/>
    <w:rsid w:val="009840F6"/>
    <w:rsid w:val="009841AE"/>
    <w:rsid w:val="0098455F"/>
    <w:rsid w:val="009848A6"/>
    <w:rsid w:val="00984BCA"/>
    <w:rsid w:val="009859B0"/>
    <w:rsid w:val="00985A40"/>
    <w:rsid w:val="00985F8B"/>
    <w:rsid w:val="00986488"/>
    <w:rsid w:val="0098648E"/>
    <w:rsid w:val="009866FD"/>
    <w:rsid w:val="00986E1C"/>
    <w:rsid w:val="009877C7"/>
    <w:rsid w:val="00987C58"/>
    <w:rsid w:val="00987F38"/>
    <w:rsid w:val="0099047C"/>
    <w:rsid w:val="0099087D"/>
    <w:rsid w:val="00990B70"/>
    <w:rsid w:val="00990C3B"/>
    <w:rsid w:val="00990F57"/>
    <w:rsid w:val="00991312"/>
    <w:rsid w:val="00991CBD"/>
    <w:rsid w:val="009921E6"/>
    <w:rsid w:val="009922FE"/>
    <w:rsid w:val="009928B7"/>
    <w:rsid w:val="00992D93"/>
    <w:rsid w:val="0099321A"/>
    <w:rsid w:val="00993CF5"/>
    <w:rsid w:val="00994614"/>
    <w:rsid w:val="009947E8"/>
    <w:rsid w:val="0099487A"/>
    <w:rsid w:val="00994D27"/>
    <w:rsid w:val="00995035"/>
    <w:rsid w:val="009953D4"/>
    <w:rsid w:val="00995458"/>
    <w:rsid w:val="009955B3"/>
    <w:rsid w:val="009960B7"/>
    <w:rsid w:val="00996735"/>
    <w:rsid w:val="009968A3"/>
    <w:rsid w:val="00996B35"/>
    <w:rsid w:val="00996F08"/>
    <w:rsid w:val="009972FE"/>
    <w:rsid w:val="009A0098"/>
    <w:rsid w:val="009A0410"/>
    <w:rsid w:val="009A0444"/>
    <w:rsid w:val="009A0601"/>
    <w:rsid w:val="009A0AD7"/>
    <w:rsid w:val="009A0F85"/>
    <w:rsid w:val="009A1EDE"/>
    <w:rsid w:val="009A2A9A"/>
    <w:rsid w:val="009A2BAD"/>
    <w:rsid w:val="009A2C78"/>
    <w:rsid w:val="009A307C"/>
    <w:rsid w:val="009A3D1D"/>
    <w:rsid w:val="009A4083"/>
    <w:rsid w:val="009A4C25"/>
    <w:rsid w:val="009A524C"/>
    <w:rsid w:val="009A6543"/>
    <w:rsid w:val="009A658E"/>
    <w:rsid w:val="009A65E3"/>
    <w:rsid w:val="009A6F18"/>
    <w:rsid w:val="009A75FF"/>
    <w:rsid w:val="009A76A3"/>
    <w:rsid w:val="009B064F"/>
    <w:rsid w:val="009B0F99"/>
    <w:rsid w:val="009B0FBD"/>
    <w:rsid w:val="009B10F0"/>
    <w:rsid w:val="009B1483"/>
    <w:rsid w:val="009B2116"/>
    <w:rsid w:val="009B281B"/>
    <w:rsid w:val="009B2AB2"/>
    <w:rsid w:val="009B2DD9"/>
    <w:rsid w:val="009B2E1C"/>
    <w:rsid w:val="009B3595"/>
    <w:rsid w:val="009B392D"/>
    <w:rsid w:val="009B3930"/>
    <w:rsid w:val="009B451C"/>
    <w:rsid w:val="009B45EA"/>
    <w:rsid w:val="009B494B"/>
    <w:rsid w:val="009B4AEB"/>
    <w:rsid w:val="009B4F10"/>
    <w:rsid w:val="009B5214"/>
    <w:rsid w:val="009B536C"/>
    <w:rsid w:val="009B5A79"/>
    <w:rsid w:val="009B5C19"/>
    <w:rsid w:val="009B6241"/>
    <w:rsid w:val="009B6496"/>
    <w:rsid w:val="009B6812"/>
    <w:rsid w:val="009B6C67"/>
    <w:rsid w:val="009B79B8"/>
    <w:rsid w:val="009B7C49"/>
    <w:rsid w:val="009B7EDD"/>
    <w:rsid w:val="009BA563"/>
    <w:rsid w:val="009C0000"/>
    <w:rsid w:val="009C01DA"/>
    <w:rsid w:val="009C0707"/>
    <w:rsid w:val="009C097C"/>
    <w:rsid w:val="009C0BD8"/>
    <w:rsid w:val="009C0C88"/>
    <w:rsid w:val="009C1528"/>
    <w:rsid w:val="009C1A46"/>
    <w:rsid w:val="009C1A4C"/>
    <w:rsid w:val="009C1A83"/>
    <w:rsid w:val="009C20B4"/>
    <w:rsid w:val="009C20CC"/>
    <w:rsid w:val="009C2BDF"/>
    <w:rsid w:val="009C32BC"/>
    <w:rsid w:val="009C3558"/>
    <w:rsid w:val="009C4F81"/>
    <w:rsid w:val="009C513C"/>
    <w:rsid w:val="009C562E"/>
    <w:rsid w:val="009C5E44"/>
    <w:rsid w:val="009C5EBB"/>
    <w:rsid w:val="009C6780"/>
    <w:rsid w:val="009C6FE5"/>
    <w:rsid w:val="009C7368"/>
    <w:rsid w:val="009C74C2"/>
    <w:rsid w:val="009C7531"/>
    <w:rsid w:val="009D029C"/>
    <w:rsid w:val="009D035D"/>
    <w:rsid w:val="009D0AD8"/>
    <w:rsid w:val="009D0EE1"/>
    <w:rsid w:val="009D1347"/>
    <w:rsid w:val="009D1692"/>
    <w:rsid w:val="009D220C"/>
    <w:rsid w:val="009D221F"/>
    <w:rsid w:val="009D2D75"/>
    <w:rsid w:val="009D30BF"/>
    <w:rsid w:val="009D37D4"/>
    <w:rsid w:val="009D38B2"/>
    <w:rsid w:val="009D3B29"/>
    <w:rsid w:val="009D3BD5"/>
    <w:rsid w:val="009D4161"/>
    <w:rsid w:val="009D4622"/>
    <w:rsid w:val="009D4A80"/>
    <w:rsid w:val="009D5352"/>
    <w:rsid w:val="009D60C5"/>
    <w:rsid w:val="009D64AB"/>
    <w:rsid w:val="009D668F"/>
    <w:rsid w:val="009D69B7"/>
    <w:rsid w:val="009D6BCA"/>
    <w:rsid w:val="009D6CD9"/>
    <w:rsid w:val="009E000A"/>
    <w:rsid w:val="009E0057"/>
    <w:rsid w:val="009E09F0"/>
    <w:rsid w:val="009E0E52"/>
    <w:rsid w:val="009E0F11"/>
    <w:rsid w:val="009E12E3"/>
    <w:rsid w:val="009E19E8"/>
    <w:rsid w:val="009E1CC8"/>
    <w:rsid w:val="009E1F02"/>
    <w:rsid w:val="009E24F3"/>
    <w:rsid w:val="009E2DF0"/>
    <w:rsid w:val="009E309D"/>
    <w:rsid w:val="009E31BD"/>
    <w:rsid w:val="009E377C"/>
    <w:rsid w:val="009E3863"/>
    <w:rsid w:val="009E411C"/>
    <w:rsid w:val="009E458A"/>
    <w:rsid w:val="009E4D70"/>
    <w:rsid w:val="009E4F4B"/>
    <w:rsid w:val="009E5086"/>
    <w:rsid w:val="009E5316"/>
    <w:rsid w:val="009E5D7C"/>
    <w:rsid w:val="009E5DFC"/>
    <w:rsid w:val="009E6702"/>
    <w:rsid w:val="009E6B1B"/>
    <w:rsid w:val="009F03A7"/>
    <w:rsid w:val="009F0583"/>
    <w:rsid w:val="009F1390"/>
    <w:rsid w:val="009F1789"/>
    <w:rsid w:val="009F1FF7"/>
    <w:rsid w:val="009F23F7"/>
    <w:rsid w:val="009F2E3B"/>
    <w:rsid w:val="009F34C8"/>
    <w:rsid w:val="009F357A"/>
    <w:rsid w:val="009F36D2"/>
    <w:rsid w:val="009F39E9"/>
    <w:rsid w:val="009F3A3A"/>
    <w:rsid w:val="009F3B6B"/>
    <w:rsid w:val="009F3D65"/>
    <w:rsid w:val="009F4038"/>
    <w:rsid w:val="009F4386"/>
    <w:rsid w:val="009F4504"/>
    <w:rsid w:val="009F4EC1"/>
    <w:rsid w:val="009F502C"/>
    <w:rsid w:val="009F52C5"/>
    <w:rsid w:val="009F5739"/>
    <w:rsid w:val="009F603B"/>
    <w:rsid w:val="009F6048"/>
    <w:rsid w:val="009F66D3"/>
    <w:rsid w:val="009F6987"/>
    <w:rsid w:val="009F6A8B"/>
    <w:rsid w:val="009F6C78"/>
    <w:rsid w:val="009F720F"/>
    <w:rsid w:val="009F74DA"/>
    <w:rsid w:val="009F75F9"/>
    <w:rsid w:val="009F7877"/>
    <w:rsid w:val="009F787D"/>
    <w:rsid w:val="009F7B13"/>
    <w:rsid w:val="009F7E48"/>
    <w:rsid w:val="00A005C0"/>
    <w:rsid w:val="00A005FA"/>
    <w:rsid w:val="00A00BAA"/>
    <w:rsid w:val="00A010E7"/>
    <w:rsid w:val="00A0119C"/>
    <w:rsid w:val="00A013A6"/>
    <w:rsid w:val="00A01A17"/>
    <w:rsid w:val="00A01A60"/>
    <w:rsid w:val="00A0237F"/>
    <w:rsid w:val="00A03C2E"/>
    <w:rsid w:val="00A03D43"/>
    <w:rsid w:val="00A03DFB"/>
    <w:rsid w:val="00A04005"/>
    <w:rsid w:val="00A0453D"/>
    <w:rsid w:val="00A0490D"/>
    <w:rsid w:val="00A05CFB"/>
    <w:rsid w:val="00A06096"/>
    <w:rsid w:val="00A069B6"/>
    <w:rsid w:val="00A06E6E"/>
    <w:rsid w:val="00A076F9"/>
    <w:rsid w:val="00A07997"/>
    <w:rsid w:val="00A07A54"/>
    <w:rsid w:val="00A07D55"/>
    <w:rsid w:val="00A07F87"/>
    <w:rsid w:val="00A100C3"/>
    <w:rsid w:val="00A10367"/>
    <w:rsid w:val="00A1102E"/>
    <w:rsid w:val="00A113F4"/>
    <w:rsid w:val="00A114CD"/>
    <w:rsid w:val="00A121DC"/>
    <w:rsid w:val="00A12527"/>
    <w:rsid w:val="00A1332A"/>
    <w:rsid w:val="00A13659"/>
    <w:rsid w:val="00A136C5"/>
    <w:rsid w:val="00A13997"/>
    <w:rsid w:val="00A13AB7"/>
    <w:rsid w:val="00A13F88"/>
    <w:rsid w:val="00A1465E"/>
    <w:rsid w:val="00A14BEC"/>
    <w:rsid w:val="00A14E9F"/>
    <w:rsid w:val="00A14F49"/>
    <w:rsid w:val="00A15454"/>
    <w:rsid w:val="00A158CD"/>
    <w:rsid w:val="00A15ABA"/>
    <w:rsid w:val="00A15C0C"/>
    <w:rsid w:val="00A15CED"/>
    <w:rsid w:val="00A1609D"/>
    <w:rsid w:val="00A1637F"/>
    <w:rsid w:val="00A16A4A"/>
    <w:rsid w:val="00A16BA1"/>
    <w:rsid w:val="00A17F5E"/>
    <w:rsid w:val="00A206ED"/>
    <w:rsid w:val="00A20806"/>
    <w:rsid w:val="00A20C7F"/>
    <w:rsid w:val="00A20E5A"/>
    <w:rsid w:val="00A21BAD"/>
    <w:rsid w:val="00A21D41"/>
    <w:rsid w:val="00A21E6A"/>
    <w:rsid w:val="00A21FBA"/>
    <w:rsid w:val="00A22DBA"/>
    <w:rsid w:val="00A2329D"/>
    <w:rsid w:val="00A23674"/>
    <w:rsid w:val="00A23D2A"/>
    <w:rsid w:val="00A2490E"/>
    <w:rsid w:val="00A252A1"/>
    <w:rsid w:val="00A25442"/>
    <w:rsid w:val="00A25539"/>
    <w:rsid w:val="00A25BFF"/>
    <w:rsid w:val="00A26411"/>
    <w:rsid w:val="00A26648"/>
    <w:rsid w:val="00A26999"/>
    <w:rsid w:val="00A26C6A"/>
    <w:rsid w:val="00A26F79"/>
    <w:rsid w:val="00A27522"/>
    <w:rsid w:val="00A2793F"/>
    <w:rsid w:val="00A27A0A"/>
    <w:rsid w:val="00A30388"/>
    <w:rsid w:val="00A30941"/>
    <w:rsid w:val="00A3136F"/>
    <w:rsid w:val="00A31EFB"/>
    <w:rsid w:val="00A31FD4"/>
    <w:rsid w:val="00A32431"/>
    <w:rsid w:val="00A32609"/>
    <w:rsid w:val="00A32AF8"/>
    <w:rsid w:val="00A3322D"/>
    <w:rsid w:val="00A33B9A"/>
    <w:rsid w:val="00A3426D"/>
    <w:rsid w:val="00A34330"/>
    <w:rsid w:val="00A344B7"/>
    <w:rsid w:val="00A34B4F"/>
    <w:rsid w:val="00A34C3F"/>
    <w:rsid w:val="00A34D0C"/>
    <w:rsid w:val="00A34D76"/>
    <w:rsid w:val="00A35125"/>
    <w:rsid w:val="00A35230"/>
    <w:rsid w:val="00A35E31"/>
    <w:rsid w:val="00A365D0"/>
    <w:rsid w:val="00A36BB0"/>
    <w:rsid w:val="00A37094"/>
    <w:rsid w:val="00A372AE"/>
    <w:rsid w:val="00A373F8"/>
    <w:rsid w:val="00A37434"/>
    <w:rsid w:val="00A402B8"/>
    <w:rsid w:val="00A40371"/>
    <w:rsid w:val="00A4043E"/>
    <w:rsid w:val="00A40663"/>
    <w:rsid w:val="00A4098A"/>
    <w:rsid w:val="00A40D7F"/>
    <w:rsid w:val="00A41251"/>
    <w:rsid w:val="00A41B10"/>
    <w:rsid w:val="00A4266B"/>
    <w:rsid w:val="00A42CB9"/>
    <w:rsid w:val="00A42E0E"/>
    <w:rsid w:val="00A43081"/>
    <w:rsid w:val="00A4365E"/>
    <w:rsid w:val="00A43732"/>
    <w:rsid w:val="00A437D9"/>
    <w:rsid w:val="00A43C16"/>
    <w:rsid w:val="00A4413A"/>
    <w:rsid w:val="00A443A6"/>
    <w:rsid w:val="00A4455E"/>
    <w:rsid w:val="00A44859"/>
    <w:rsid w:val="00A4485C"/>
    <w:rsid w:val="00A44B90"/>
    <w:rsid w:val="00A44C06"/>
    <w:rsid w:val="00A4581D"/>
    <w:rsid w:val="00A45A1A"/>
    <w:rsid w:val="00A45E4B"/>
    <w:rsid w:val="00A45E61"/>
    <w:rsid w:val="00A46369"/>
    <w:rsid w:val="00A466A2"/>
    <w:rsid w:val="00A4673E"/>
    <w:rsid w:val="00A46EED"/>
    <w:rsid w:val="00A46F32"/>
    <w:rsid w:val="00A472F1"/>
    <w:rsid w:val="00A47F32"/>
    <w:rsid w:val="00A50278"/>
    <w:rsid w:val="00A5093B"/>
    <w:rsid w:val="00A5099B"/>
    <w:rsid w:val="00A51149"/>
    <w:rsid w:val="00A525A6"/>
    <w:rsid w:val="00A52674"/>
    <w:rsid w:val="00A527FC"/>
    <w:rsid w:val="00A52888"/>
    <w:rsid w:val="00A528DB"/>
    <w:rsid w:val="00A52B7A"/>
    <w:rsid w:val="00A52E6F"/>
    <w:rsid w:val="00A53220"/>
    <w:rsid w:val="00A538E6"/>
    <w:rsid w:val="00A54514"/>
    <w:rsid w:val="00A558C4"/>
    <w:rsid w:val="00A55E24"/>
    <w:rsid w:val="00A56102"/>
    <w:rsid w:val="00A562A8"/>
    <w:rsid w:val="00A5665C"/>
    <w:rsid w:val="00A56800"/>
    <w:rsid w:val="00A568F5"/>
    <w:rsid w:val="00A56BE5"/>
    <w:rsid w:val="00A56D05"/>
    <w:rsid w:val="00A56D7E"/>
    <w:rsid w:val="00A571FE"/>
    <w:rsid w:val="00A57347"/>
    <w:rsid w:val="00A57404"/>
    <w:rsid w:val="00A575BD"/>
    <w:rsid w:val="00A5788A"/>
    <w:rsid w:val="00A57E5C"/>
    <w:rsid w:val="00A57E6D"/>
    <w:rsid w:val="00A60696"/>
    <w:rsid w:val="00A60EEC"/>
    <w:rsid w:val="00A616A3"/>
    <w:rsid w:val="00A61BA0"/>
    <w:rsid w:val="00A620CA"/>
    <w:rsid w:val="00A630BA"/>
    <w:rsid w:val="00A632BA"/>
    <w:rsid w:val="00A63B83"/>
    <w:rsid w:val="00A63EEB"/>
    <w:rsid w:val="00A63F89"/>
    <w:rsid w:val="00A643C6"/>
    <w:rsid w:val="00A647CD"/>
    <w:rsid w:val="00A64A8D"/>
    <w:rsid w:val="00A64D8D"/>
    <w:rsid w:val="00A65754"/>
    <w:rsid w:val="00A6583F"/>
    <w:rsid w:val="00A65BD9"/>
    <w:rsid w:val="00A6604B"/>
    <w:rsid w:val="00A66363"/>
    <w:rsid w:val="00A666F6"/>
    <w:rsid w:val="00A66718"/>
    <w:rsid w:val="00A671EF"/>
    <w:rsid w:val="00A70B31"/>
    <w:rsid w:val="00A716BA"/>
    <w:rsid w:val="00A71A28"/>
    <w:rsid w:val="00A72572"/>
    <w:rsid w:val="00A727B6"/>
    <w:rsid w:val="00A7326E"/>
    <w:rsid w:val="00A734D5"/>
    <w:rsid w:val="00A734E4"/>
    <w:rsid w:val="00A734FF"/>
    <w:rsid w:val="00A7377A"/>
    <w:rsid w:val="00A73A6D"/>
    <w:rsid w:val="00A73A74"/>
    <w:rsid w:val="00A73B1A"/>
    <w:rsid w:val="00A74EE7"/>
    <w:rsid w:val="00A7507F"/>
    <w:rsid w:val="00A759FE"/>
    <w:rsid w:val="00A75CF1"/>
    <w:rsid w:val="00A75FE1"/>
    <w:rsid w:val="00A76004"/>
    <w:rsid w:val="00A76D67"/>
    <w:rsid w:val="00A76ECB"/>
    <w:rsid w:val="00A7707E"/>
    <w:rsid w:val="00A77562"/>
    <w:rsid w:val="00A776B8"/>
    <w:rsid w:val="00A77951"/>
    <w:rsid w:val="00A80C1D"/>
    <w:rsid w:val="00A80F47"/>
    <w:rsid w:val="00A8156F"/>
    <w:rsid w:val="00A81720"/>
    <w:rsid w:val="00A81EB6"/>
    <w:rsid w:val="00A81FA9"/>
    <w:rsid w:val="00A8214C"/>
    <w:rsid w:val="00A822E7"/>
    <w:rsid w:val="00A8253A"/>
    <w:rsid w:val="00A82BD2"/>
    <w:rsid w:val="00A82DE9"/>
    <w:rsid w:val="00A83024"/>
    <w:rsid w:val="00A83671"/>
    <w:rsid w:val="00A837FE"/>
    <w:rsid w:val="00A83EC0"/>
    <w:rsid w:val="00A84183"/>
    <w:rsid w:val="00A84741"/>
    <w:rsid w:val="00A8478C"/>
    <w:rsid w:val="00A84F66"/>
    <w:rsid w:val="00A85357"/>
    <w:rsid w:val="00A856B8"/>
    <w:rsid w:val="00A861C6"/>
    <w:rsid w:val="00A86263"/>
    <w:rsid w:val="00A86423"/>
    <w:rsid w:val="00A86A99"/>
    <w:rsid w:val="00A86DEA"/>
    <w:rsid w:val="00A871E5"/>
    <w:rsid w:val="00A874A3"/>
    <w:rsid w:val="00A87C90"/>
    <w:rsid w:val="00A87D78"/>
    <w:rsid w:val="00A902DD"/>
    <w:rsid w:val="00A91617"/>
    <w:rsid w:val="00A91681"/>
    <w:rsid w:val="00A91AE8"/>
    <w:rsid w:val="00A929F0"/>
    <w:rsid w:val="00A93100"/>
    <w:rsid w:val="00A93405"/>
    <w:rsid w:val="00A9386B"/>
    <w:rsid w:val="00A93C1C"/>
    <w:rsid w:val="00A93D37"/>
    <w:rsid w:val="00A9458E"/>
    <w:rsid w:val="00A94656"/>
    <w:rsid w:val="00A94D81"/>
    <w:rsid w:val="00A951A9"/>
    <w:rsid w:val="00A95788"/>
    <w:rsid w:val="00A95F48"/>
    <w:rsid w:val="00A9613A"/>
    <w:rsid w:val="00A965BF"/>
    <w:rsid w:val="00A96DF8"/>
    <w:rsid w:val="00A96FA8"/>
    <w:rsid w:val="00A96FFF"/>
    <w:rsid w:val="00A9770A"/>
    <w:rsid w:val="00A9775D"/>
    <w:rsid w:val="00A97E2B"/>
    <w:rsid w:val="00AA02FD"/>
    <w:rsid w:val="00AA0869"/>
    <w:rsid w:val="00AA092F"/>
    <w:rsid w:val="00AA0A43"/>
    <w:rsid w:val="00AA0BD0"/>
    <w:rsid w:val="00AA0DD3"/>
    <w:rsid w:val="00AA0EDC"/>
    <w:rsid w:val="00AA1B42"/>
    <w:rsid w:val="00AA1C07"/>
    <w:rsid w:val="00AA1F21"/>
    <w:rsid w:val="00AA217A"/>
    <w:rsid w:val="00AA2501"/>
    <w:rsid w:val="00AA3688"/>
    <w:rsid w:val="00AA3878"/>
    <w:rsid w:val="00AA3F99"/>
    <w:rsid w:val="00AA4006"/>
    <w:rsid w:val="00AA4069"/>
    <w:rsid w:val="00AA4BA4"/>
    <w:rsid w:val="00AA5025"/>
    <w:rsid w:val="00AA5729"/>
    <w:rsid w:val="00AA5887"/>
    <w:rsid w:val="00AA6420"/>
    <w:rsid w:val="00AA6927"/>
    <w:rsid w:val="00AA6FD5"/>
    <w:rsid w:val="00AA702B"/>
    <w:rsid w:val="00AA7A7C"/>
    <w:rsid w:val="00AA7E69"/>
    <w:rsid w:val="00AB0268"/>
    <w:rsid w:val="00AB02C7"/>
    <w:rsid w:val="00AB0554"/>
    <w:rsid w:val="00AB19F8"/>
    <w:rsid w:val="00AB1BB6"/>
    <w:rsid w:val="00AB1C37"/>
    <w:rsid w:val="00AB2126"/>
    <w:rsid w:val="00AB2A61"/>
    <w:rsid w:val="00AB2AA6"/>
    <w:rsid w:val="00AB324A"/>
    <w:rsid w:val="00AB3A12"/>
    <w:rsid w:val="00AB3C1E"/>
    <w:rsid w:val="00AB3EED"/>
    <w:rsid w:val="00AB4459"/>
    <w:rsid w:val="00AB4C75"/>
    <w:rsid w:val="00AB4EB8"/>
    <w:rsid w:val="00AB5593"/>
    <w:rsid w:val="00AB55A9"/>
    <w:rsid w:val="00AB5692"/>
    <w:rsid w:val="00AB5A8D"/>
    <w:rsid w:val="00AB5C27"/>
    <w:rsid w:val="00AB5D6B"/>
    <w:rsid w:val="00AB630A"/>
    <w:rsid w:val="00AB6642"/>
    <w:rsid w:val="00AB6E91"/>
    <w:rsid w:val="00AB744E"/>
    <w:rsid w:val="00AC0104"/>
    <w:rsid w:val="00AC055F"/>
    <w:rsid w:val="00AC05A8"/>
    <w:rsid w:val="00AC061F"/>
    <w:rsid w:val="00AC0BC3"/>
    <w:rsid w:val="00AC232B"/>
    <w:rsid w:val="00AC26A9"/>
    <w:rsid w:val="00AC272C"/>
    <w:rsid w:val="00AC2745"/>
    <w:rsid w:val="00AC2C92"/>
    <w:rsid w:val="00AC2EFE"/>
    <w:rsid w:val="00AC350B"/>
    <w:rsid w:val="00AC3930"/>
    <w:rsid w:val="00AC3AB1"/>
    <w:rsid w:val="00AC4404"/>
    <w:rsid w:val="00AC46D5"/>
    <w:rsid w:val="00AC4982"/>
    <w:rsid w:val="00AC4E8D"/>
    <w:rsid w:val="00AC5552"/>
    <w:rsid w:val="00AC5E4D"/>
    <w:rsid w:val="00AC68C6"/>
    <w:rsid w:val="00AC6D6A"/>
    <w:rsid w:val="00AC6ECE"/>
    <w:rsid w:val="00AC7612"/>
    <w:rsid w:val="00AC79C1"/>
    <w:rsid w:val="00AC7CA4"/>
    <w:rsid w:val="00AD0868"/>
    <w:rsid w:val="00AD176B"/>
    <w:rsid w:val="00AD1B0E"/>
    <w:rsid w:val="00AD1CF9"/>
    <w:rsid w:val="00AD1EB9"/>
    <w:rsid w:val="00AD200B"/>
    <w:rsid w:val="00AD3C28"/>
    <w:rsid w:val="00AD3D5E"/>
    <w:rsid w:val="00AD3EE8"/>
    <w:rsid w:val="00AD493B"/>
    <w:rsid w:val="00AD4A64"/>
    <w:rsid w:val="00AD4D4E"/>
    <w:rsid w:val="00AD5180"/>
    <w:rsid w:val="00AD5184"/>
    <w:rsid w:val="00AD598F"/>
    <w:rsid w:val="00AD5C4D"/>
    <w:rsid w:val="00AD6798"/>
    <w:rsid w:val="00AD6D09"/>
    <w:rsid w:val="00AD72F3"/>
    <w:rsid w:val="00AD796E"/>
    <w:rsid w:val="00AD7B81"/>
    <w:rsid w:val="00AD7CCE"/>
    <w:rsid w:val="00AE044B"/>
    <w:rsid w:val="00AE07DA"/>
    <w:rsid w:val="00AE098E"/>
    <w:rsid w:val="00AE0BBA"/>
    <w:rsid w:val="00AE102D"/>
    <w:rsid w:val="00AE11AC"/>
    <w:rsid w:val="00AE14B6"/>
    <w:rsid w:val="00AE19FF"/>
    <w:rsid w:val="00AE1D91"/>
    <w:rsid w:val="00AE2291"/>
    <w:rsid w:val="00AE25C8"/>
    <w:rsid w:val="00AE2F78"/>
    <w:rsid w:val="00AE366B"/>
    <w:rsid w:val="00AE4003"/>
    <w:rsid w:val="00AE4113"/>
    <w:rsid w:val="00AE42E7"/>
    <w:rsid w:val="00AE4380"/>
    <w:rsid w:val="00AE46A6"/>
    <w:rsid w:val="00AE4A03"/>
    <w:rsid w:val="00AE4E3B"/>
    <w:rsid w:val="00AE4FAC"/>
    <w:rsid w:val="00AE5163"/>
    <w:rsid w:val="00AE5292"/>
    <w:rsid w:val="00AE53F0"/>
    <w:rsid w:val="00AE5525"/>
    <w:rsid w:val="00AE5A40"/>
    <w:rsid w:val="00AE5CA8"/>
    <w:rsid w:val="00AE630D"/>
    <w:rsid w:val="00AE6381"/>
    <w:rsid w:val="00AE64E4"/>
    <w:rsid w:val="00AE656F"/>
    <w:rsid w:val="00AE6854"/>
    <w:rsid w:val="00AE6962"/>
    <w:rsid w:val="00AE6A1C"/>
    <w:rsid w:val="00AE74A0"/>
    <w:rsid w:val="00AE76D9"/>
    <w:rsid w:val="00AE7D78"/>
    <w:rsid w:val="00AF1E9B"/>
    <w:rsid w:val="00AF23B0"/>
    <w:rsid w:val="00AF25AC"/>
    <w:rsid w:val="00AF30CD"/>
    <w:rsid w:val="00AF33DA"/>
    <w:rsid w:val="00AF350E"/>
    <w:rsid w:val="00AF41F6"/>
    <w:rsid w:val="00AF438E"/>
    <w:rsid w:val="00AF45CA"/>
    <w:rsid w:val="00AF5309"/>
    <w:rsid w:val="00AF5CEE"/>
    <w:rsid w:val="00AF647A"/>
    <w:rsid w:val="00AF6EEB"/>
    <w:rsid w:val="00AF704F"/>
    <w:rsid w:val="00AF7420"/>
    <w:rsid w:val="00AF7506"/>
    <w:rsid w:val="00AF7A13"/>
    <w:rsid w:val="00AF7C10"/>
    <w:rsid w:val="00B003C3"/>
    <w:rsid w:val="00B00535"/>
    <w:rsid w:val="00B007DD"/>
    <w:rsid w:val="00B0098A"/>
    <w:rsid w:val="00B00C1B"/>
    <w:rsid w:val="00B01016"/>
    <w:rsid w:val="00B0146E"/>
    <w:rsid w:val="00B014C7"/>
    <w:rsid w:val="00B01EB0"/>
    <w:rsid w:val="00B02160"/>
    <w:rsid w:val="00B027CB"/>
    <w:rsid w:val="00B0352B"/>
    <w:rsid w:val="00B03C85"/>
    <w:rsid w:val="00B03C99"/>
    <w:rsid w:val="00B04500"/>
    <w:rsid w:val="00B04C51"/>
    <w:rsid w:val="00B04CC8"/>
    <w:rsid w:val="00B04D57"/>
    <w:rsid w:val="00B0521C"/>
    <w:rsid w:val="00B05AD4"/>
    <w:rsid w:val="00B05BFE"/>
    <w:rsid w:val="00B05E3A"/>
    <w:rsid w:val="00B06692"/>
    <w:rsid w:val="00B06C0C"/>
    <w:rsid w:val="00B06E55"/>
    <w:rsid w:val="00B073E6"/>
    <w:rsid w:val="00B074F8"/>
    <w:rsid w:val="00B07B98"/>
    <w:rsid w:val="00B07D79"/>
    <w:rsid w:val="00B10060"/>
    <w:rsid w:val="00B102FD"/>
    <w:rsid w:val="00B104AB"/>
    <w:rsid w:val="00B1147C"/>
    <w:rsid w:val="00B11A3D"/>
    <w:rsid w:val="00B11CF7"/>
    <w:rsid w:val="00B11FC5"/>
    <w:rsid w:val="00B121B0"/>
    <w:rsid w:val="00B12A4A"/>
    <w:rsid w:val="00B1387E"/>
    <w:rsid w:val="00B13B87"/>
    <w:rsid w:val="00B14D7D"/>
    <w:rsid w:val="00B150DD"/>
    <w:rsid w:val="00B15292"/>
    <w:rsid w:val="00B15931"/>
    <w:rsid w:val="00B15A6F"/>
    <w:rsid w:val="00B15C00"/>
    <w:rsid w:val="00B15F72"/>
    <w:rsid w:val="00B1649C"/>
    <w:rsid w:val="00B1661C"/>
    <w:rsid w:val="00B16DB9"/>
    <w:rsid w:val="00B1705B"/>
    <w:rsid w:val="00B17FAB"/>
    <w:rsid w:val="00B202AB"/>
    <w:rsid w:val="00B20FD5"/>
    <w:rsid w:val="00B21BE7"/>
    <w:rsid w:val="00B2215A"/>
    <w:rsid w:val="00B22675"/>
    <w:rsid w:val="00B22C5F"/>
    <w:rsid w:val="00B22EB1"/>
    <w:rsid w:val="00B232EE"/>
    <w:rsid w:val="00B23687"/>
    <w:rsid w:val="00B2389A"/>
    <w:rsid w:val="00B2389F"/>
    <w:rsid w:val="00B23AD2"/>
    <w:rsid w:val="00B248DA"/>
    <w:rsid w:val="00B2518C"/>
    <w:rsid w:val="00B25710"/>
    <w:rsid w:val="00B26108"/>
    <w:rsid w:val="00B261EC"/>
    <w:rsid w:val="00B26250"/>
    <w:rsid w:val="00B26765"/>
    <w:rsid w:val="00B269A5"/>
    <w:rsid w:val="00B27740"/>
    <w:rsid w:val="00B27A75"/>
    <w:rsid w:val="00B27B03"/>
    <w:rsid w:val="00B27FB9"/>
    <w:rsid w:val="00B27FFD"/>
    <w:rsid w:val="00B30060"/>
    <w:rsid w:val="00B30573"/>
    <w:rsid w:val="00B30862"/>
    <w:rsid w:val="00B30A0C"/>
    <w:rsid w:val="00B30E3B"/>
    <w:rsid w:val="00B30FC3"/>
    <w:rsid w:val="00B31543"/>
    <w:rsid w:val="00B31B62"/>
    <w:rsid w:val="00B3208E"/>
    <w:rsid w:val="00B32909"/>
    <w:rsid w:val="00B33711"/>
    <w:rsid w:val="00B34246"/>
    <w:rsid w:val="00B34275"/>
    <w:rsid w:val="00B34561"/>
    <w:rsid w:val="00B34889"/>
    <w:rsid w:val="00B34E53"/>
    <w:rsid w:val="00B358D1"/>
    <w:rsid w:val="00B363F2"/>
    <w:rsid w:val="00B36DB5"/>
    <w:rsid w:val="00B36EC1"/>
    <w:rsid w:val="00B37550"/>
    <w:rsid w:val="00B3779E"/>
    <w:rsid w:val="00B37A47"/>
    <w:rsid w:val="00B37CCB"/>
    <w:rsid w:val="00B37CF5"/>
    <w:rsid w:val="00B402C6"/>
    <w:rsid w:val="00B40806"/>
    <w:rsid w:val="00B410A7"/>
    <w:rsid w:val="00B415EF"/>
    <w:rsid w:val="00B41A4C"/>
    <w:rsid w:val="00B41DC1"/>
    <w:rsid w:val="00B425CA"/>
    <w:rsid w:val="00B42F69"/>
    <w:rsid w:val="00B43414"/>
    <w:rsid w:val="00B43844"/>
    <w:rsid w:val="00B43977"/>
    <w:rsid w:val="00B43ABE"/>
    <w:rsid w:val="00B43C9C"/>
    <w:rsid w:val="00B44257"/>
    <w:rsid w:val="00B44AC4"/>
    <w:rsid w:val="00B44D3A"/>
    <w:rsid w:val="00B45157"/>
    <w:rsid w:val="00B46749"/>
    <w:rsid w:val="00B46D83"/>
    <w:rsid w:val="00B46DE7"/>
    <w:rsid w:val="00B46EC7"/>
    <w:rsid w:val="00B5037D"/>
    <w:rsid w:val="00B50A91"/>
    <w:rsid w:val="00B50B02"/>
    <w:rsid w:val="00B5160B"/>
    <w:rsid w:val="00B5161F"/>
    <w:rsid w:val="00B51761"/>
    <w:rsid w:val="00B51816"/>
    <w:rsid w:val="00B51871"/>
    <w:rsid w:val="00B5188B"/>
    <w:rsid w:val="00B52022"/>
    <w:rsid w:val="00B52049"/>
    <w:rsid w:val="00B52187"/>
    <w:rsid w:val="00B532FA"/>
    <w:rsid w:val="00B5456F"/>
    <w:rsid w:val="00B54691"/>
    <w:rsid w:val="00B555A4"/>
    <w:rsid w:val="00B563F4"/>
    <w:rsid w:val="00B56841"/>
    <w:rsid w:val="00B56B67"/>
    <w:rsid w:val="00B57533"/>
    <w:rsid w:val="00B576F9"/>
    <w:rsid w:val="00B60A18"/>
    <w:rsid w:val="00B60CCD"/>
    <w:rsid w:val="00B614BE"/>
    <w:rsid w:val="00B61C1B"/>
    <w:rsid w:val="00B61D4D"/>
    <w:rsid w:val="00B62695"/>
    <w:rsid w:val="00B62854"/>
    <w:rsid w:val="00B62EF1"/>
    <w:rsid w:val="00B632D3"/>
    <w:rsid w:val="00B633D4"/>
    <w:rsid w:val="00B63FAB"/>
    <w:rsid w:val="00B640CC"/>
    <w:rsid w:val="00B645B6"/>
    <w:rsid w:val="00B64753"/>
    <w:rsid w:val="00B64B2F"/>
    <w:rsid w:val="00B65633"/>
    <w:rsid w:val="00B65BE0"/>
    <w:rsid w:val="00B662FC"/>
    <w:rsid w:val="00B667BF"/>
    <w:rsid w:val="00B674D6"/>
    <w:rsid w:val="00B67568"/>
    <w:rsid w:val="00B677B8"/>
    <w:rsid w:val="00B6797D"/>
    <w:rsid w:val="00B67B04"/>
    <w:rsid w:val="00B67ECB"/>
    <w:rsid w:val="00B70033"/>
    <w:rsid w:val="00B70862"/>
    <w:rsid w:val="00B70AF6"/>
    <w:rsid w:val="00B70C55"/>
    <w:rsid w:val="00B70F76"/>
    <w:rsid w:val="00B71179"/>
    <w:rsid w:val="00B711D3"/>
    <w:rsid w:val="00B713AA"/>
    <w:rsid w:val="00B7182D"/>
    <w:rsid w:val="00B7245B"/>
    <w:rsid w:val="00B72A3C"/>
    <w:rsid w:val="00B733DD"/>
    <w:rsid w:val="00B73551"/>
    <w:rsid w:val="00B735B8"/>
    <w:rsid w:val="00B73608"/>
    <w:rsid w:val="00B73B7A"/>
    <w:rsid w:val="00B73F56"/>
    <w:rsid w:val="00B745AA"/>
    <w:rsid w:val="00B74858"/>
    <w:rsid w:val="00B75090"/>
    <w:rsid w:val="00B752EB"/>
    <w:rsid w:val="00B75665"/>
    <w:rsid w:val="00B75AA4"/>
    <w:rsid w:val="00B75AE2"/>
    <w:rsid w:val="00B7638F"/>
    <w:rsid w:val="00B766E0"/>
    <w:rsid w:val="00B76740"/>
    <w:rsid w:val="00B76854"/>
    <w:rsid w:val="00B76DBE"/>
    <w:rsid w:val="00B77202"/>
    <w:rsid w:val="00B77310"/>
    <w:rsid w:val="00B77BE4"/>
    <w:rsid w:val="00B803CB"/>
    <w:rsid w:val="00B80457"/>
    <w:rsid w:val="00B80B0F"/>
    <w:rsid w:val="00B812BE"/>
    <w:rsid w:val="00B813D5"/>
    <w:rsid w:val="00B81617"/>
    <w:rsid w:val="00B8258D"/>
    <w:rsid w:val="00B825B4"/>
    <w:rsid w:val="00B82831"/>
    <w:rsid w:val="00B82888"/>
    <w:rsid w:val="00B82899"/>
    <w:rsid w:val="00B835D5"/>
    <w:rsid w:val="00B8377B"/>
    <w:rsid w:val="00B83E65"/>
    <w:rsid w:val="00B83FB0"/>
    <w:rsid w:val="00B841E6"/>
    <w:rsid w:val="00B84462"/>
    <w:rsid w:val="00B84CB1"/>
    <w:rsid w:val="00B84E7E"/>
    <w:rsid w:val="00B85063"/>
    <w:rsid w:val="00B85C07"/>
    <w:rsid w:val="00B85D46"/>
    <w:rsid w:val="00B85E1A"/>
    <w:rsid w:val="00B85EDC"/>
    <w:rsid w:val="00B85F2E"/>
    <w:rsid w:val="00B863A8"/>
    <w:rsid w:val="00B8652F"/>
    <w:rsid w:val="00B86608"/>
    <w:rsid w:val="00B86990"/>
    <w:rsid w:val="00B87847"/>
    <w:rsid w:val="00B87AB8"/>
    <w:rsid w:val="00B90477"/>
    <w:rsid w:val="00B90B68"/>
    <w:rsid w:val="00B914D2"/>
    <w:rsid w:val="00B91783"/>
    <w:rsid w:val="00B9185D"/>
    <w:rsid w:val="00B91FDA"/>
    <w:rsid w:val="00B921B8"/>
    <w:rsid w:val="00B9225C"/>
    <w:rsid w:val="00B925D0"/>
    <w:rsid w:val="00B928CC"/>
    <w:rsid w:val="00B92AA5"/>
    <w:rsid w:val="00B92B7E"/>
    <w:rsid w:val="00B93904"/>
    <w:rsid w:val="00B93C1C"/>
    <w:rsid w:val="00B941FF"/>
    <w:rsid w:val="00B949AA"/>
    <w:rsid w:val="00B94C20"/>
    <w:rsid w:val="00B94E9B"/>
    <w:rsid w:val="00B94ED4"/>
    <w:rsid w:val="00B951BF"/>
    <w:rsid w:val="00B95318"/>
    <w:rsid w:val="00B955FE"/>
    <w:rsid w:val="00B95695"/>
    <w:rsid w:val="00B95739"/>
    <w:rsid w:val="00B95A9F"/>
    <w:rsid w:val="00B95EEF"/>
    <w:rsid w:val="00B96744"/>
    <w:rsid w:val="00B97B7B"/>
    <w:rsid w:val="00B97C6A"/>
    <w:rsid w:val="00B97EFF"/>
    <w:rsid w:val="00BA0846"/>
    <w:rsid w:val="00BA0967"/>
    <w:rsid w:val="00BA0B9F"/>
    <w:rsid w:val="00BA10A9"/>
    <w:rsid w:val="00BA1813"/>
    <w:rsid w:val="00BA19C4"/>
    <w:rsid w:val="00BA20C4"/>
    <w:rsid w:val="00BA2E0B"/>
    <w:rsid w:val="00BA30C7"/>
    <w:rsid w:val="00BA3287"/>
    <w:rsid w:val="00BA35E4"/>
    <w:rsid w:val="00BA3922"/>
    <w:rsid w:val="00BA4256"/>
    <w:rsid w:val="00BA50DF"/>
    <w:rsid w:val="00BA5170"/>
    <w:rsid w:val="00BA5176"/>
    <w:rsid w:val="00BA54F2"/>
    <w:rsid w:val="00BA5CE5"/>
    <w:rsid w:val="00BA6419"/>
    <w:rsid w:val="00BA6550"/>
    <w:rsid w:val="00BA6B6C"/>
    <w:rsid w:val="00BA6D72"/>
    <w:rsid w:val="00BA6F67"/>
    <w:rsid w:val="00BA7FEB"/>
    <w:rsid w:val="00BB0071"/>
    <w:rsid w:val="00BB0EC3"/>
    <w:rsid w:val="00BB10C7"/>
    <w:rsid w:val="00BB18C6"/>
    <w:rsid w:val="00BB21E8"/>
    <w:rsid w:val="00BB228F"/>
    <w:rsid w:val="00BB3642"/>
    <w:rsid w:val="00BB4A3B"/>
    <w:rsid w:val="00BB4BD0"/>
    <w:rsid w:val="00BB506E"/>
    <w:rsid w:val="00BB59F6"/>
    <w:rsid w:val="00BB5EF0"/>
    <w:rsid w:val="00BB65D5"/>
    <w:rsid w:val="00BB66AB"/>
    <w:rsid w:val="00BB7304"/>
    <w:rsid w:val="00BB74AD"/>
    <w:rsid w:val="00BB7525"/>
    <w:rsid w:val="00BB7BBA"/>
    <w:rsid w:val="00BC0220"/>
    <w:rsid w:val="00BC0570"/>
    <w:rsid w:val="00BC086E"/>
    <w:rsid w:val="00BC0AD6"/>
    <w:rsid w:val="00BC0B99"/>
    <w:rsid w:val="00BC122E"/>
    <w:rsid w:val="00BC1443"/>
    <w:rsid w:val="00BC1C16"/>
    <w:rsid w:val="00BC2251"/>
    <w:rsid w:val="00BC28AD"/>
    <w:rsid w:val="00BC3584"/>
    <w:rsid w:val="00BC38D5"/>
    <w:rsid w:val="00BC3AFB"/>
    <w:rsid w:val="00BC41C6"/>
    <w:rsid w:val="00BC4686"/>
    <w:rsid w:val="00BC5409"/>
    <w:rsid w:val="00BC565E"/>
    <w:rsid w:val="00BC5838"/>
    <w:rsid w:val="00BC596C"/>
    <w:rsid w:val="00BC59CC"/>
    <w:rsid w:val="00BC5ACF"/>
    <w:rsid w:val="00BC694F"/>
    <w:rsid w:val="00BC6DC2"/>
    <w:rsid w:val="00BD01F2"/>
    <w:rsid w:val="00BD0434"/>
    <w:rsid w:val="00BD0C7B"/>
    <w:rsid w:val="00BD0E2E"/>
    <w:rsid w:val="00BD1042"/>
    <w:rsid w:val="00BD13E7"/>
    <w:rsid w:val="00BD1684"/>
    <w:rsid w:val="00BD1DA4"/>
    <w:rsid w:val="00BD2100"/>
    <w:rsid w:val="00BD219A"/>
    <w:rsid w:val="00BD24D8"/>
    <w:rsid w:val="00BD3035"/>
    <w:rsid w:val="00BD4BE1"/>
    <w:rsid w:val="00BD542B"/>
    <w:rsid w:val="00BD5ADF"/>
    <w:rsid w:val="00BD5EF5"/>
    <w:rsid w:val="00BD60D3"/>
    <w:rsid w:val="00BD60E4"/>
    <w:rsid w:val="00BD6181"/>
    <w:rsid w:val="00BD6DEB"/>
    <w:rsid w:val="00BD7053"/>
    <w:rsid w:val="00BD7339"/>
    <w:rsid w:val="00BD7D47"/>
    <w:rsid w:val="00BE01C4"/>
    <w:rsid w:val="00BE0749"/>
    <w:rsid w:val="00BE1226"/>
    <w:rsid w:val="00BE188B"/>
    <w:rsid w:val="00BE214B"/>
    <w:rsid w:val="00BE2248"/>
    <w:rsid w:val="00BE283E"/>
    <w:rsid w:val="00BE2DF8"/>
    <w:rsid w:val="00BE3491"/>
    <w:rsid w:val="00BE442D"/>
    <w:rsid w:val="00BE444F"/>
    <w:rsid w:val="00BE4864"/>
    <w:rsid w:val="00BE4A77"/>
    <w:rsid w:val="00BE4B76"/>
    <w:rsid w:val="00BE4ED6"/>
    <w:rsid w:val="00BE54F3"/>
    <w:rsid w:val="00BE5884"/>
    <w:rsid w:val="00BE59ED"/>
    <w:rsid w:val="00BE5F67"/>
    <w:rsid w:val="00BE601C"/>
    <w:rsid w:val="00BE64B9"/>
    <w:rsid w:val="00BE6718"/>
    <w:rsid w:val="00BE673B"/>
    <w:rsid w:val="00BE6EAB"/>
    <w:rsid w:val="00BE772D"/>
    <w:rsid w:val="00BE77F8"/>
    <w:rsid w:val="00BE791F"/>
    <w:rsid w:val="00BE7920"/>
    <w:rsid w:val="00BE7C1D"/>
    <w:rsid w:val="00BF03F1"/>
    <w:rsid w:val="00BF04C4"/>
    <w:rsid w:val="00BF0BA2"/>
    <w:rsid w:val="00BF0E4A"/>
    <w:rsid w:val="00BF1133"/>
    <w:rsid w:val="00BF1D99"/>
    <w:rsid w:val="00BF1E46"/>
    <w:rsid w:val="00BF2233"/>
    <w:rsid w:val="00BF2A3A"/>
    <w:rsid w:val="00BF2CD1"/>
    <w:rsid w:val="00BF2D16"/>
    <w:rsid w:val="00BF32E7"/>
    <w:rsid w:val="00BF34B1"/>
    <w:rsid w:val="00BF34E6"/>
    <w:rsid w:val="00BF36DE"/>
    <w:rsid w:val="00BF4B6A"/>
    <w:rsid w:val="00BF5135"/>
    <w:rsid w:val="00BF51DA"/>
    <w:rsid w:val="00BF52A4"/>
    <w:rsid w:val="00BF6018"/>
    <w:rsid w:val="00BF618E"/>
    <w:rsid w:val="00BF6254"/>
    <w:rsid w:val="00BF6BB5"/>
    <w:rsid w:val="00BF77FE"/>
    <w:rsid w:val="00BF793F"/>
    <w:rsid w:val="00C00312"/>
    <w:rsid w:val="00C00329"/>
    <w:rsid w:val="00C00578"/>
    <w:rsid w:val="00C00828"/>
    <w:rsid w:val="00C0096B"/>
    <w:rsid w:val="00C009F5"/>
    <w:rsid w:val="00C00B83"/>
    <w:rsid w:val="00C01129"/>
    <w:rsid w:val="00C017D2"/>
    <w:rsid w:val="00C019DE"/>
    <w:rsid w:val="00C01DD9"/>
    <w:rsid w:val="00C02239"/>
    <w:rsid w:val="00C022E1"/>
    <w:rsid w:val="00C02CA8"/>
    <w:rsid w:val="00C031D7"/>
    <w:rsid w:val="00C0398D"/>
    <w:rsid w:val="00C03BDE"/>
    <w:rsid w:val="00C03C32"/>
    <w:rsid w:val="00C040D9"/>
    <w:rsid w:val="00C04718"/>
    <w:rsid w:val="00C04785"/>
    <w:rsid w:val="00C048ED"/>
    <w:rsid w:val="00C04BED"/>
    <w:rsid w:val="00C05454"/>
    <w:rsid w:val="00C0565A"/>
    <w:rsid w:val="00C057FF"/>
    <w:rsid w:val="00C05823"/>
    <w:rsid w:val="00C05C3D"/>
    <w:rsid w:val="00C05DAC"/>
    <w:rsid w:val="00C06320"/>
    <w:rsid w:val="00C06482"/>
    <w:rsid w:val="00C06EFD"/>
    <w:rsid w:val="00C071AC"/>
    <w:rsid w:val="00C10167"/>
    <w:rsid w:val="00C104F5"/>
    <w:rsid w:val="00C109A2"/>
    <w:rsid w:val="00C10DB4"/>
    <w:rsid w:val="00C11115"/>
    <w:rsid w:val="00C1147B"/>
    <w:rsid w:val="00C11707"/>
    <w:rsid w:val="00C11E4C"/>
    <w:rsid w:val="00C12581"/>
    <w:rsid w:val="00C13053"/>
    <w:rsid w:val="00C136FE"/>
    <w:rsid w:val="00C13FE3"/>
    <w:rsid w:val="00C14075"/>
    <w:rsid w:val="00C14954"/>
    <w:rsid w:val="00C150CE"/>
    <w:rsid w:val="00C1699B"/>
    <w:rsid w:val="00C16A76"/>
    <w:rsid w:val="00C16C4D"/>
    <w:rsid w:val="00C16EC3"/>
    <w:rsid w:val="00C17585"/>
    <w:rsid w:val="00C179B0"/>
    <w:rsid w:val="00C17E19"/>
    <w:rsid w:val="00C20245"/>
    <w:rsid w:val="00C204E1"/>
    <w:rsid w:val="00C20CA6"/>
    <w:rsid w:val="00C21374"/>
    <w:rsid w:val="00C21AD6"/>
    <w:rsid w:val="00C2257C"/>
    <w:rsid w:val="00C226F9"/>
    <w:rsid w:val="00C22EC0"/>
    <w:rsid w:val="00C23398"/>
    <w:rsid w:val="00C239A9"/>
    <w:rsid w:val="00C23B23"/>
    <w:rsid w:val="00C23F5A"/>
    <w:rsid w:val="00C2428B"/>
    <w:rsid w:val="00C24509"/>
    <w:rsid w:val="00C24D4B"/>
    <w:rsid w:val="00C25022"/>
    <w:rsid w:val="00C25EEC"/>
    <w:rsid w:val="00C25F2D"/>
    <w:rsid w:val="00C263CB"/>
    <w:rsid w:val="00C26C22"/>
    <w:rsid w:val="00C276B8"/>
    <w:rsid w:val="00C27B03"/>
    <w:rsid w:val="00C27C8E"/>
    <w:rsid w:val="00C301A0"/>
    <w:rsid w:val="00C3065F"/>
    <w:rsid w:val="00C3089B"/>
    <w:rsid w:val="00C30D74"/>
    <w:rsid w:val="00C318E1"/>
    <w:rsid w:val="00C31E38"/>
    <w:rsid w:val="00C31F9C"/>
    <w:rsid w:val="00C32344"/>
    <w:rsid w:val="00C32FA5"/>
    <w:rsid w:val="00C336EF"/>
    <w:rsid w:val="00C3376C"/>
    <w:rsid w:val="00C340D1"/>
    <w:rsid w:val="00C34B40"/>
    <w:rsid w:val="00C34E49"/>
    <w:rsid w:val="00C350EC"/>
    <w:rsid w:val="00C35248"/>
    <w:rsid w:val="00C352B3"/>
    <w:rsid w:val="00C352BF"/>
    <w:rsid w:val="00C35786"/>
    <w:rsid w:val="00C35836"/>
    <w:rsid w:val="00C35E3C"/>
    <w:rsid w:val="00C35E7E"/>
    <w:rsid w:val="00C3600E"/>
    <w:rsid w:val="00C36436"/>
    <w:rsid w:val="00C369C0"/>
    <w:rsid w:val="00C369DB"/>
    <w:rsid w:val="00C36AB1"/>
    <w:rsid w:val="00C36BFB"/>
    <w:rsid w:val="00C373BA"/>
    <w:rsid w:val="00C374F2"/>
    <w:rsid w:val="00C40333"/>
    <w:rsid w:val="00C411D6"/>
    <w:rsid w:val="00C41544"/>
    <w:rsid w:val="00C418C6"/>
    <w:rsid w:val="00C419B2"/>
    <w:rsid w:val="00C41CD3"/>
    <w:rsid w:val="00C42059"/>
    <w:rsid w:val="00C42CCB"/>
    <w:rsid w:val="00C42E1E"/>
    <w:rsid w:val="00C433DB"/>
    <w:rsid w:val="00C43438"/>
    <w:rsid w:val="00C43C47"/>
    <w:rsid w:val="00C44264"/>
    <w:rsid w:val="00C444A9"/>
    <w:rsid w:val="00C448AF"/>
    <w:rsid w:val="00C45EC1"/>
    <w:rsid w:val="00C45F52"/>
    <w:rsid w:val="00C45F7C"/>
    <w:rsid w:val="00C45F9D"/>
    <w:rsid w:val="00C46251"/>
    <w:rsid w:val="00C4640D"/>
    <w:rsid w:val="00C4653D"/>
    <w:rsid w:val="00C466C6"/>
    <w:rsid w:val="00C46CDB"/>
    <w:rsid w:val="00C46D1F"/>
    <w:rsid w:val="00C46D64"/>
    <w:rsid w:val="00C46E32"/>
    <w:rsid w:val="00C46E76"/>
    <w:rsid w:val="00C46EBD"/>
    <w:rsid w:val="00C47194"/>
    <w:rsid w:val="00C47200"/>
    <w:rsid w:val="00C4790F"/>
    <w:rsid w:val="00C47B4A"/>
    <w:rsid w:val="00C47FC0"/>
    <w:rsid w:val="00C5001B"/>
    <w:rsid w:val="00C50115"/>
    <w:rsid w:val="00C504EF"/>
    <w:rsid w:val="00C5179E"/>
    <w:rsid w:val="00C5189F"/>
    <w:rsid w:val="00C51DEE"/>
    <w:rsid w:val="00C523E1"/>
    <w:rsid w:val="00C525BA"/>
    <w:rsid w:val="00C528CC"/>
    <w:rsid w:val="00C53ABD"/>
    <w:rsid w:val="00C53AD3"/>
    <w:rsid w:val="00C53C94"/>
    <w:rsid w:val="00C53F17"/>
    <w:rsid w:val="00C54461"/>
    <w:rsid w:val="00C54510"/>
    <w:rsid w:val="00C54513"/>
    <w:rsid w:val="00C54D5E"/>
    <w:rsid w:val="00C54DEC"/>
    <w:rsid w:val="00C55014"/>
    <w:rsid w:val="00C562E5"/>
    <w:rsid w:val="00C56666"/>
    <w:rsid w:val="00C56BD2"/>
    <w:rsid w:val="00C57741"/>
    <w:rsid w:val="00C6074F"/>
    <w:rsid w:val="00C60762"/>
    <w:rsid w:val="00C616A5"/>
    <w:rsid w:val="00C61935"/>
    <w:rsid w:val="00C61B95"/>
    <w:rsid w:val="00C62120"/>
    <w:rsid w:val="00C6255A"/>
    <w:rsid w:val="00C62568"/>
    <w:rsid w:val="00C6296C"/>
    <w:rsid w:val="00C63570"/>
    <w:rsid w:val="00C63B11"/>
    <w:rsid w:val="00C63DB9"/>
    <w:rsid w:val="00C63F44"/>
    <w:rsid w:val="00C64143"/>
    <w:rsid w:val="00C64257"/>
    <w:rsid w:val="00C6434D"/>
    <w:rsid w:val="00C6435D"/>
    <w:rsid w:val="00C643F3"/>
    <w:rsid w:val="00C64D6B"/>
    <w:rsid w:val="00C650A5"/>
    <w:rsid w:val="00C652E5"/>
    <w:rsid w:val="00C65967"/>
    <w:rsid w:val="00C65FF5"/>
    <w:rsid w:val="00C66A4A"/>
    <w:rsid w:val="00C66E3A"/>
    <w:rsid w:val="00C67446"/>
    <w:rsid w:val="00C67610"/>
    <w:rsid w:val="00C700AA"/>
    <w:rsid w:val="00C70962"/>
    <w:rsid w:val="00C71309"/>
    <w:rsid w:val="00C7143E"/>
    <w:rsid w:val="00C71513"/>
    <w:rsid w:val="00C71674"/>
    <w:rsid w:val="00C71C3C"/>
    <w:rsid w:val="00C721B9"/>
    <w:rsid w:val="00C72311"/>
    <w:rsid w:val="00C72572"/>
    <w:rsid w:val="00C733F7"/>
    <w:rsid w:val="00C74170"/>
    <w:rsid w:val="00C750CC"/>
    <w:rsid w:val="00C751BF"/>
    <w:rsid w:val="00C7697F"/>
    <w:rsid w:val="00C7716A"/>
    <w:rsid w:val="00C7744E"/>
    <w:rsid w:val="00C77EE8"/>
    <w:rsid w:val="00C80290"/>
    <w:rsid w:val="00C81010"/>
    <w:rsid w:val="00C8136C"/>
    <w:rsid w:val="00C81619"/>
    <w:rsid w:val="00C82CC6"/>
    <w:rsid w:val="00C82FAC"/>
    <w:rsid w:val="00C82FFA"/>
    <w:rsid w:val="00C84032"/>
    <w:rsid w:val="00C848AA"/>
    <w:rsid w:val="00C84A1A"/>
    <w:rsid w:val="00C84A1B"/>
    <w:rsid w:val="00C852ED"/>
    <w:rsid w:val="00C85521"/>
    <w:rsid w:val="00C856C0"/>
    <w:rsid w:val="00C858D1"/>
    <w:rsid w:val="00C858F0"/>
    <w:rsid w:val="00C85961"/>
    <w:rsid w:val="00C85BE8"/>
    <w:rsid w:val="00C863EE"/>
    <w:rsid w:val="00C86415"/>
    <w:rsid w:val="00C8665A"/>
    <w:rsid w:val="00C86D79"/>
    <w:rsid w:val="00C8750B"/>
    <w:rsid w:val="00C87D4D"/>
    <w:rsid w:val="00C9025A"/>
    <w:rsid w:val="00C908D5"/>
    <w:rsid w:val="00C909E6"/>
    <w:rsid w:val="00C90E5A"/>
    <w:rsid w:val="00C9136A"/>
    <w:rsid w:val="00C91456"/>
    <w:rsid w:val="00C91484"/>
    <w:rsid w:val="00C9178C"/>
    <w:rsid w:val="00C920D1"/>
    <w:rsid w:val="00C92646"/>
    <w:rsid w:val="00C92BC0"/>
    <w:rsid w:val="00C92DDC"/>
    <w:rsid w:val="00C9316A"/>
    <w:rsid w:val="00C937E7"/>
    <w:rsid w:val="00C93B5E"/>
    <w:rsid w:val="00C94201"/>
    <w:rsid w:val="00C94906"/>
    <w:rsid w:val="00C95314"/>
    <w:rsid w:val="00C95650"/>
    <w:rsid w:val="00C95BE6"/>
    <w:rsid w:val="00C95D8D"/>
    <w:rsid w:val="00C9726B"/>
    <w:rsid w:val="00C97C7F"/>
    <w:rsid w:val="00C97F85"/>
    <w:rsid w:val="00CA07D0"/>
    <w:rsid w:val="00CA0877"/>
    <w:rsid w:val="00CA1F0D"/>
    <w:rsid w:val="00CA2283"/>
    <w:rsid w:val="00CA253A"/>
    <w:rsid w:val="00CA27B9"/>
    <w:rsid w:val="00CA2AEF"/>
    <w:rsid w:val="00CA2CA3"/>
    <w:rsid w:val="00CA2F67"/>
    <w:rsid w:val="00CA325F"/>
    <w:rsid w:val="00CA33B8"/>
    <w:rsid w:val="00CA34DD"/>
    <w:rsid w:val="00CA3BA4"/>
    <w:rsid w:val="00CA42AE"/>
    <w:rsid w:val="00CA54F0"/>
    <w:rsid w:val="00CA5A29"/>
    <w:rsid w:val="00CA6001"/>
    <w:rsid w:val="00CA678E"/>
    <w:rsid w:val="00CA6DD8"/>
    <w:rsid w:val="00CA7782"/>
    <w:rsid w:val="00CA7811"/>
    <w:rsid w:val="00CB06FE"/>
    <w:rsid w:val="00CB09DD"/>
    <w:rsid w:val="00CB09ED"/>
    <w:rsid w:val="00CB0AFE"/>
    <w:rsid w:val="00CB1582"/>
    <w:rsid w:val="00CB1ED2"/>
    <w:rsid w:val="00CB2050"/>
    <w:rsid w:val="00CB208B"/>
    <w:rsid w:val="00CB2283"/>
    <w:rsid w:val="00CB22B7"/>
    <w:rsid w:val="00CB27C4"/>
    <w:rsid w:val="00CB2EC7"/>
    <w:rsid w:val="00CB31DA"/>
    <w:rsid w:val="00CB32B4"/>
    <w:rsid w:val="00CB3F24"/>
    <w:rsid w:val="00CB465B"/>
    <w:rsid w:val="00CB47F9"/>
    <w:rsid w:val="00CB4B23"/>
    <w:rsid w:val="00CB4D55"/>
    <w:rsid w:val="00CB5032"/>
    <w:rsid w:val="00CB5054"/>
    <w:rsid w:val="00CB5739"/>
    <w:rsid w:val="00CB5999"/>
    <w:rsid w:val="00CB5C7E"/>
    <w:rsid w:val="00CB5E4A"/>
    <w:rsid w:val="00CB62E3"/>
    <w:rsid w:val="00CB6442"/>
    <w:rsid w:val="00CB7DF6"/>
    <w:rsid w:val="00CC0170"/>
    <w:rsid w:val="00CC08E4"/>
    <w:rsid w:val="00CC0B01"/>
    <w:rsid w:val="00CC0BB0"/>
    <w:rsid w:val="00CC1464"/>
    <w:rsid w:val="00CC1E3B"/>
    <w:rsid w:val="00CC303F"/>
    <w:rsid w:val="00CC3766"/>
    <w:rsid w:val="00CC3981"/>
    <w:rsid w:val="00CC3A1B"/>
    <w:rsid w:val="00CC3C96"/>
    <w:rsid w:val="00CC3D74"/>
    <w:rsid w:val="00CC466C"/>
    <w:rsid w:val="00CC54A3"/>
    <w:rsid w:val="00CC589F"/>
    <w:rsid w:val="00CC6038"/>
    <w:rsid w:val="00CC6ABD"/>
    <w:rsid w:val="00CC7714"/>
    <w:rsid w:val="00CC7799"/>
    <w:rsid w:val="00CC7A00"/>
    <w:rsid w:val="00CD02EF"/>
    <w:rsid w:val="00CD06B3"/>
    <w:rsid w:val="00CD077C"/>
    <w:rsid w:val="00CD0E41"/>
    <w:rsid w:val="00CD1794"/>
    <w:rsid w:val="00CD28DC"/>
    <w:rsid w:val="00CD2B5F"/>
    <w:rsid w:val="00CD2C36"/>
    <w:rsid w:val="00CD342A"/>
    <w:rsid w:val="00CD367A"/>
    <w:rsid w:val="00CD3901"/>
    <w:rsid w:val="00CD3940"/>
    <w:rsid w:val="00CD40A3"/>
    <w:rsid w:val="00CD4138"/>
    <w:rsid w:val="00CD45AE"/>
    <w:rsid w:val="00CD543F"/>
    <w:rsid w:val="00CD573A"/>
    <w:rsid w:val="00CD5A63"/>
    <w:rsid w:val="00CD67D5"/>
    <w:rsid w:val="00CD68A9"/>
    <w:rsid w:val="00CD6C22"/>
    <w:rsid w:val="00CD6E49"/>
    <w:rsid w:val="00CD7040"/>
    <w:rsid w:val="00CE0040"/>
    <w:rsid w:val="00CE0062"/>
    <w:rsid w:val="00CE026A"/>
    <w:rsid w:val="00CE0C78"/>
    <w:rsid w:val="00CE0C9B"/>
    <w:rsid w:val="00CE14DD"/>
    <w:rsid w:val="00CE167A"/>
    <w:rsid w:val="00CE207E"/>
    <w:rsid w:val="00CE23DC"/>
    <w:rsid w:val="00CE2D31"/>
    <w:rsid w:val="00CE2F14"/>
    <w:rsid w:val="00CE2F86"/>
    <w:rsid w:val="00CE3445"/>
    <w:rsid w:val="00CE3DA1"/>
    <w:rsid w:val="00CE4124"/>
    <w:rsid w:val="00CE46D5"/>
    <w:rsid w:val="00CE4AB7"/>
    <w:rsid w:val="00CE4ECD"/>
    <w:rsid w:val="00CE52B8"/>
    <w:rsid w:val="00CE532B"/>
    <w:rsid w:val="00CE537B"/>
    <w:rsid w:val="00CE5ACF"/>
    <w:rsid w:val="00CE5F49"/>
    <w:rsid w:val="00CE655A"/>
    <w:rsid w:val="00CE6A0B"/>
    <w:rsid w:val="00CE7223"/>
    <w:rsid w:val="00CE7474"/>
    <w:rsid w:val="00CE7BF6"/>
    <w:rsid w:val="00CF014A"/>
    <w:rsid w:val="00CF0950"/>
    <w:rsid w:val="00CF11D2"/>
    <w:rsid w:val="00CF206B"/>
    <w:rsid w:val="00CF218A"/>
    <w:rsid w:val="00CF27B1"/>
    <w:rsid w:val="00CF2AF6"/>
    <w:rsid w:val="00CF2CC4"/>
    <w:rsid w:val="00CF365E"/>
    <w:rsid w:val="00CF3AD5"/>
    <w:rsid w:val="00CF3B07"/>
    <w:rsid w:val="00CF3C8B"/>
    <w:rsid w:val="00CF3E40"/>
    <w:rsid w:val="00CF4C13"/>
    <w:rsid w:val="00CF4EA1"/>
    <w:rsid w:val="00CF4F7C"/>
    <w:rsid w:val="00CF5714"/>
    <w:rsid w:val="00CF62E0"/>
    <w:rsid w:val="00CF6384"/>
    <w:rsid w:val="00CF6902"/>
    <w:rsid w:val="00CF6A80"/>
    <w:rsid w:val="00CF6B61"/>
    <w:rsid w:val="00CF6B63"/>
    <w:rsid w:val="00CF6D9B"/>
    <w:rsid w:val="00CF70F9"/>
    <w:rsid w:val="00CF71C5"/>
    <w:rsid w:val="00CF7303"/>
    <w:rsid w:val="00CF7582"/>
    <w:rsid w:val="00CF7924"/>
    <w:rsid w:val="00CF7C13"/>
    <w:rsid w:val="00CF7F78"/>
    <w:rsid w:val="00CF7F79"/>
    <w:rsid w:val="00CF7FCB"/>
    <w:rsid w:val="00D01E84"/>
    <w:rsid w:val="00D02771"/>
    <w:rsid w:val="00D02B8F"/>
    <w:rsid w:val="00D02DCC"/>
    <w:rsid w:val="00D03671"/>
    <w:rsid w:val="00D03799"/>
    <w:rsid w:val="00D03EDB"/>
    <w:rsid w:val="00D0401F"/>
    <w:rsid w:val="00D050EB"/>
    <w:rsid w:val="00D057A2"/>
    <w:rsid w:val="00D05D74"/>
    <w:rsid w:val="00D05ECA"/>
    <w:rsid w:val="00D06145"/>
    <w:rsid w:val="00D06900"/>
    <w:rsid w:val="00D06E88"/>
    <w:rsid w:val="00D07CC1"/>
    <w:rsid w:val="00D100A1"/>
    <w:rsid w:val="00D1030E"/>
    <w:rsid w:val="00D10CDA"/>
    <w:rsid w:val="00D10E39"/>
    <w:rsid w:val="00D11902"/>
    <w:rsid w:val="00D11A18"/>
    <w:rsid w:val="00D11C65"/>
    <w:rsid w:val="00D11EA3"/>
    <w:rsid w:val="00D11F90"/>
    <w:rsid w:val="00D1206E"/>
    <w:rsid w:val="00D1217E"/>
    <w:rsid w:val="00D12582"/>
    <w:rsid w:val="00D12B03"/>
    <w:rsid w:val="00D12D10"/>
    <w:rsid w:val="00D12E5F"/>
    <w:rsid w:val="00D1339B"/>
    <w:rsid w:val="00D13527"/>
    <w:rsid w:val="00D14B6F"/>
    <w:rsid w:val="00D150BE"/>
    <w:rsid w:val="00D15C6B"/>
    <w:rsid w:val="00D15E4E"/>
    <w:rsid w:val="00D166EF"/>
    <w:rsid w:val="00D17426"/>
    <w:rsid w:val="00D17601"/>
    <w:rsid w:val="00D20D6E"/>
    <w:rsid w:val="00D21300"/>
    <w:rsid w:val="00D216F6"/>
    <w:rsid w:val="00D2172E"/>
    <w:rsid w:val="00D22101"/>
    <w:rsid w:val="00D22F7B"/>
    <w:rsid w:val="00D230DC"/>
    <w:rsid w:val="00D23823"/>
    <w:rsid w:val="00D25797"/>
    <w:rsid w:val="00D2583E"/>
    <w:rsid w:val="00D259C3"/>
    <w:rsid w:val="00D25E13"/>
    <w:rsid w:val="00D25EDF"/>
    <w:rsid w:val="00D2614C"/>
    <w:rsid w:val="00D261DF"/>
    <w:rsid w:val="00D26C9A"/>
    <w:rsid w:val="00D26D02"/>
    <w:rsid w:val="00D270FE"/>
    <w:rsid w:val="00D272A1"/>
    <w:rsid w:val="00D275AD"/>
    <w:rsid w:val="00D27AC5"/>
    <w:rsid w:val="00D27B56"/>
    <w:rsid w:val="00D27FF5"/>
    <w:rsid w:val="00D28953"/>
    <w:rsid w:val="00D303E8"/>
    <w:rsid w:val="00D30F73"/>
    <w:rsid w:val="00D31055"/>
    <w:rsid w:val="00D31BA6"/>
    <w:rsid w:val="00D31D77"/>
    <w:rsid w:val="00D31E60"/>
    <w:rsid w:val="00D31F59"/>
    <w:rsid w:val="00D32D53"/>
    <w:rsid w:val="00D32EA6"/>
    <w:rsid w:val="00D335D6"/>
    <w:rsid w:val="00D335E1"/>
    <w:rsid w:val="00D3470D"/>
    <w:rsid w:val="00D34F65"/>
    <w:rsid w:val="00D3545E"/>
    <w:rsid w:val="00D3569D"/>
    <w:rsid w:val="00D35728"/>
    <w:rsid w:val="00D35AFD"/>
    <w:rsid w:val="00D35B66"/>
    <w:rsid w:val="00D35FEA"/>
    <w:rsid w:val="00D366E4"/>
    <w:rsid w:val="00D36974"/>
    <w:rsid w:val="00D36BEA"/>
    <w:rsid w:val="00D36CF7"/>
    <w:rsid w:val="00D3747C"/>
    <w:rsid w:val="00D37733"/>
    <w:rsid w:val="00D40314"/>
    <w:rsid w:val="00D40453"/>
    <w:rsid w:val="00D40A2F"/>
    <w:rsid w:val="00D41828"/>
    <w:rsid w:val="00D4233F"/>
    <w:rsid w:val="00D423AC"/>
    <w:rsid w:val="00D43F3D"/>
    <w:rsid w:val="00D442DD"/>
    <w:rsid w:val="00D44B15"/>
    <w:rsid w:val="00D44DC6"/>
    <w:rsid w:val="00D44E37"/>
    <w:rsid w:val="00D44E8B"/>
    <w:rsid w:val="00D44F4C"/>
    <w:rsid w:val="00D452D7"/>
    <w:rsid w:val="00D456A6"/>
    <w:rsid w:val="00D46702"/>
    <w:rsid w:val="00D46DAF"/>
    <w:rsid w:val="00D476EA"/>
    <w:rsid w:val="00D47A72"/>
    <w:rsid w:val="00D505D7"/>
    <w:rsid w:val="00D5063C"/>
    <w:rsid w:val="00D51075"/>
    <w:rsid w:val="00D514E5"/>
    <w:rsid w:val="00D5163A"/>
    <w:rsid w:val="00D51AEE"/>
    <w:rsid w:val="00D52276"/>
    <w:rsid w:val="00D5252D"/>
    <w:rsid w:val="00D52891"/>
    <w:rsid w:val="00D534A6"/>
    <w:rsid w:val="00D53589"/>
    <w:rsid w:val="00D5379D"/>
    <w:rsid w:val="00D5381C"/>
    <w:rsid w:val="00D539D5"/>
    <w:rsid w:val="00D544D5"/>
    <w:rsid w:val="00D549B7"/>
    <w:rsid w:val="00D549C4"/>
    <w:rsid w:val="00D54FCF"/>
    <w:rsid w:val="00D5504B"/>
    <w:rsid w:val="00D55399"/>
    <w:rsid w:val="00D573CD"/>
    <w:rsid w:val="00D57897"/>
    <w:rsid w:val="00D57BBA"/>
    <w:rsid w:val="00D57CAC"/>
    <w:rsid w:val="00D602DE"/>
    <w:rsid w:val="00D6096A"/>
    <w:rsid w:val="00D60ABE"/>
    <w:rsid w:val="00D60BFF"/>
    <w:rsid w:val="00D60CE5"/>
    <w:rsid w:val="00D612CB"/>
    <w:rsid w:val="00D614BF"/>
    <w:rsid w:val="00D61811"/>
    <w:rsid w:val="00D61F52"/>
    <w:rsid w:val="00D62054"/>
    <w:rsid w:val="00D621BE"/>
    <w:rsid w:val="00D62CCA"/>
    <w:rsid w:val="00D63049"/>
    <w:rsid w:val="00D638D9"/>
    <w:rsid w:val="00D63E40"/>
    <w:rsid w:val="00D63F9F"/>
    <w:rsid w:val="00D63FDF"/>
    <w:rsid w:val="00D646D3"/>
    <w:rsid w:val="00D64981"/>
    <w:rsid w:val="00D651C4"/>
    <w:rsid w:val="00D65BF5"/>
    <w:rsid w:val="00D662F2"/>
    <w:rsid w:val="00D664AC"/>
    <w:rsid w:val="00D665F1"/>
    <w:rsid w:val="00D670A7"/>
    <w:rsid w:val="00D6711E"/>
    <w:rsid w:val="00D679CF"/>
    <w:rsid w:val="00D70334"/>
    <w:rsid w:val="00D71116"/>
    <w:rsid w:val="00D71A88"/>
    <w:rsid w:val="00D71F01"/>
    <w:rsid w:val="00D722D8"/>
    <w:rsid w:val="00D72662"/>
    <w:rsid w:val="00D728E4"/>
    <w:rsid w:val="00D730D4"/>
    <w:rsid w:val="00D73A08"/>
    <w:rsid w:val="00D73B08"/>
    <w:rsid w:val="00D74084"/>
    <w:rsid w:val="00D743CF"/>
    <w:rsid w:val="00D74561"/>
    <w:rsid w:val="00D748BA"/>
    <w:rsid w:val="00D751C3"/>
    <w:rsid w:val="00D767C6"/>
    <w:rsid w:val="00D76CD6"/>
    <w:rsid w:val="00D77160"/>
    <w:rsid w:val="00D77597"/>
    <w:rsid w:val="00D80010"/>
    <w:rsid w:val="00D80127"/>
    <w:rsid w:val="00D804BA"/>
    <w:rsid w:val="00D804E2"/>
    <w:rsid w:val="00D80583"/>
    <w:rsid w:val="00D805D1"/>
    <w:rsid w:val="00D805F4"/>
    <w:rsid w:val="00D8086F"/>
    <w:rsid w:val="00D80A3D"/>
    <w:rsid w:val="00D80E69"/>
    <w:rsid w:val="00D8111D"/>
    <w:rsid w:val="00D816FC"/>
    <w:rsid w:val="00D817D1"/>
    <w:rsid w:val="00D81FB3"/>
    <w:rsid w:val="00D823EF"/>
    <w:rsid w:val="00D828A3"/>
    <w:rsid w:val="00D82DA3"/>
    <w:rsid w:val="00D82FD7"/>
    <w:rsid w:val="00D83D7C"/>
    <w:rsid w:val="00D84570"/>
    <w:rsid w:val="00D84FA6"/>
    <w:rsid w:val="00D85BFE"/>
    <w:rsid w:val="00D85C5F"/>
    <w:rsid w:val="00D85ECC"/>
    <w:rsid w:val="00D85F0D"/>
    <w:rsid w:val="00D85F34"/>
    <w:rsid w:val="00D86475"/>
    <w:rsid w:val="00D864C7"/>
    <w:rsid w:val="00D8663A"/>
    <w:rsid w:val="00D86958"/>
    <w:rsid w:val="00D86EB7"/>
    <w:rsid w:val="00D875C4"/>
    <w:rsid w:val="00D9015F"/>
    <w:rsid w:val="00D9076E"/>
    <w:rsid w:val="00D90867"/>
    <w:rsid w:val="00D91335"/>
    <w:rsid w:val="00D914E9"/>
    <w:rsid w:val="00D9157A"/>
    <w:rsid w:val="00D91C6C"/>
    <w:rsid w:val="00D91E9F"/>
    <w:rsid w:val="00D92025"/>
    <w:rsid w:val="00D9204D"/>
    <w:rsid w:val="00D92B5E"/>
    <w:rsid w:val="00D92F79"/>
    <w:rsid w:val="00D93388"/>
    <w:rsid w:val="00D933A5"/>
    <w:rsid w:val="00D937C6"/>
    <w:rsid w:val="00D937C7"/>
    <w:rsid w:val="00D93CDE"/>
    <w:rsid w:val="00D93CFF"/>
    <w:rsid w:val="00D9407A"/>
    <w:rsid w:val="00D94976"/>
    <w:rsid w:val="00D95457"/>
    <w:rsid w:val="00D95628"/>
    <w:rsid w:val="00D95679"/>
    <w:rsid w:val="00D956EF"/>
    <w:rsid w:val="00D95E08"/>
    <w:rsid w:val="00D95F2D"/>
    <w:rsid w:val="00D969A1"/>
    <w:rsid w:val="00D97535"/>
    <w:rsid w:val="00D9758C"/>
    <w:rsid w:val="00D9789F"/>
    <w:rsid w:val="00D97A7B"/>
    <w:rsid w:val="00DA02A7"/>
    <w:rsid w:val="00DA0D5D"/>
    <w:rsid w:val="00DA1259"/>
    <w:rsid w:val="00DA1671"/>
    <w:rsid w:val="00DA1AAD"/>
    <w:rsid w:val="00DA1B55"/>
    <w:rsid w:val="00DA1E08"/>
    <w:rsid w:val="00DA3924"/>
    <w:rsid w:val="00DA3E87"/>
    <w:rsid w:val="00DA4427"/>
    <w:rsid w:val="00DA4A52"/>
    <w:rsid w:val="00DA4FBC"/>
    <w:rsid w:val="00DA55BE"/>
    <w:rsid w:val="00DA58CD"/>
    <w:rsid w:val="00DA6007"/>
    <w:rsid w:val="00DA61B9"/>
    <w:rsid w:val="00DA636F"/>
    <w:rsid w:val="00DA65B6"/>
    <w:rsid w:val="00DA69AA"/>
    <w:rsid w:val="00DA7457"/>
    <w:rsid w:val="00DA74F1"/>
    <w:rsid w:val="00DA770E"/>
    <w:rsid w:val="00DA7C1E"/>
    <w:rsid w:val="00DB05B5"/>
    <w:rsid w:val="00DB0E9E"/>
    <w:rsid w:val="00DB0F84"/>
    <w:rsid w:val="00DB1083"/>
    <w:rsid w:val="00DB16B2"/>
    <w:rsid w:val="00DB1B31"/>
    <w:rsid w:val="00DB1C9A"/>
    <w:rsid w:val="00DB1DE5"/>
    <w:rsid w:val="00DB1F5A"/>
    <w:rsid w:val="00DB1FB2"/>
    <w:rsid w:val="00DB2376"/>
    <w:rsid w:val="00DB2995"/>
    <w:rsid w:val="00DB2CE3"/>
    <w:rsid w:val="00DB2ED0"/>
    <w:rsid w:val="00DB321C"/>
    <w:rsid w:val="00DB32D6"/>
    <w:rsid w:val="00DB3607"/>
    <w:rsid w:val="00DB36B6"/>
    <w:rsid w:val="00DB38F0"/>
    <w:rsid w:val="00DB399E"/>
    <w:rsid w:val="00DB3A12"/>
    <w:rsid w:val="00DB3AB5"/>
    <w:rsid w:val="00DB3EE8"/>
    <w:rsid w:val="00DB45F0"/>
    <w:rsid w:val="00DB4701"/>
    <w:rsid w:val="00DB4E76"/>
    <w:rsid w:val="00DB4ECF"/>
    <w:rsid w:val="00DB519D"/>
    <w:rsid w:val="00DB59C0"/>
    <w:rsid w:val="00DB5DC2"/>
    <w:rsid w:val="00DB612A"/>
    <w:rsid w:val="00DB6567"/>
    <w:rsid w:val="00DB66A2"/>
    <w:rsid w:val="00DB6AE5"/>
    <w:rsid w:val="00DB73D4"/>
    <w:rsid w:val="00DB7750"/>
    <w:rsid w:val="00DB77DB"/>
    <w:rsid w:val="00DC007D"/>
    <w:rsid w:val="00DC0146"/>
    <w:rsid w:val="00DC03EE"/>
    <w:rsid w:val="00DC0A32"/>
    <w:rsid w:val="00DC0B71"/>
    <w:rsid w:val="00DC0F23"/>
    <w:rsid w:val="00DC12C5"/>
    <w:rsid w:val="00DC1457"/>
    <w:rsid w:val="00DC1814"/>
    <w:rsid w:val="00DC1C1B"/>
    <w:rsid w:val="00DC1C8F"/>
    <w:rsid w:val="00DC1DC7"/>
    <w:rsid w:val="00DC2527"/>
    <w:rsid w:val="00DC2DFC"/>
    <w:rsid w:val="00DC31D9"/>
    <w:rsid w:val="00DC36B8"/>
    <w:rsid w:val="00DC4CF0"/>
    <w:rsid w:val="00DC4F12"/>
    <w:rsid w:val="00DC5072"/>
    <w:rsid w:val="00DC53F2"/>
    <w:rsid w:val="00DC56B8"/>
    <w:rsid w:val="00DC6528"/>
    <w:rsid w:val="00DC6B01"/>
    <w:rsid w:val="00DC7797"/>
    <w:rsid w:val="00DC7C6D"/>
    <w:rsid w:val="00DC7E53"/>
    <w:rsid w:val="00DD004A"/>
    <w:rsid w:val="00DD078A"/>
    <w:rsid w:val="00DD136B"/>
    <w:rsid w:val="00DD1737"/>
    <w:rsid w:val="00DD1FC7"/>
    <w:rsid w:val="00DD2734"/>
    <w:rsid w:val="00DD2F8C"/>
    <w:rsid w:val="00DD34E1"/>
    <w:rsid w:val="00DD3763"/>
    <w:rsid w:val="00DD3A5B"/>
    <w:rsid w:val="00DD3ECB"/>
    <w:rsid w:val="00DD4290"/>
    <w:rsid w:val="00DD442E"/>
    <w:rsid w:val="00DD45E7"/>
    <w:rsid w:val="00DD4754"/>
    <w:rsid w:val="00DD5376"/>
    <w:rsid w:val="00DD54F8"/>
    <w:rsid w:val="00DD5723"/>
    <w:rsid w:val="00DD70C7"/>
    <w:rsid w:val="00DD71F6"/>
    <w:rsid w:val="00DD7556"/>
    <w:rsid w:val="00DD7667"/>
    <w:rsid w:val="00DD777C"/>
    <w:rsid w:val="00DD7BF1"/>
    <w:rsid w:val="00DD7D25"/>
    <w:rsid w:val="00DD7FFA"/>
    <w:rsid w:val="00DE08A8"/>
    <w:rsid w:val="00DE09BD"/>
    <w:rsid w:val="00DE0D2F"/>
    <w:rsid w:val="00DE0D75"/>
    <w:rsid w:val="00DE16B5"/>
    <w:rsid w:val="00DE16FA"/>
    <w:rsid w:val="00DE1940"/>
    <w:rsid w:val="00DE19EB"/>
    <w:rsid w:val="00DE2FF9"/>
    <w:rsid w:val="00DE3203"/>
    <w:rsid w:val="00DE339F"/>
    <w:rsid w:val="00DE34F6"/>
    <w:rsid w:val="00DE3E42"/>
    <w:rsid w:val="00DE4148"/>
    <w:rsid w:val="00DE4636"/>
    <w:rsid w:val="00DE4CCE"/>
    <w:rsid w:val="00DE4D55"/>
    <w:rsid w:val="00DE52FA"/>
    <w:rsid w:val="00DE53D9"/>
    <w:rsid w:val="00DE57CF"/>
    <w:rsid w:val="00DE5B0F"/>
    <w:rsid w:val="00DE5FED"/>
    <w:rsid w:val="00DE7596"/>
    <w:rsid w:val="00DE7A68"/>
    <w:rsid w:val="00DE7E0D"/>
    <w:rsid w:val="00DF0251"/>
    <w:rsid w:val="00DF0AE6"/>
    <w:rsid w:val="00DF0B2C"/>
    <w:rsid w:val="00DF0D0A"/>
    <w:rsid w:val="00DF0E18"/>
    <w:rsid w:val="00DF0FE3"/>
    <w:rsid w:val="00DF1792"/>
    <w:rsid w:val="00DF1AAB"/>
    <w:rsid w:val="00DF244A"/>
    <w:rsid w:val="00DF270F"/>
    <w:rsid w:val="00DF2CB1"/>
    <w:rsid w:val="00DF33A0"/>
    <w:rsid w:val="00DF38CC"/>
    <w:rsid w:val="00DF4A00"/>
    <w:rsid w:val="00DF4FDD"/>
    <w:rsid w:val="00DF5019"/>
    <w:rsid w:val="00DF56CF"/>
    <w:rsid w:val="00DF5CBF"/>
    <w:rsid w:val="00DF69B7"/>
    <w:rsid w:val="00DF69F9"/>
    <w:rsid w:val="00DF7993"/>
    <w:rsid w:val="00E00976"/>
    <w:rsid w:val="00E00C56"/>
    <w:rsid w:val="00E00CA8"/>
    <w:rsid w:val="00E00D50"/>
    <w:rsid w:val="00E01A3D"/>
    <w:rsid w:val="00E01D42"/>
    <w:rsid w:val="00E02579"/>
    <w:rsid w:val="00E025C5"/>
    <w:rsid w:val="00E02794"/>
    <w:rsid w:val="00E02B50"/>
    <w:rsid w:val="00E0376B"/>
    <w:rsid w:val="00E03AAB"/>
    <w:rsid w:val="00E042E9"/>
    <w:rsid w:val="00E043B3"/>
    <w:rsid w:val="00E04ABD"/>
    <w:rsid w:val="00E04B3F"/>
    <w:rsid w:val="00E04B43"/>
    <w:rsid w:val="00E04B59"/>
    <w:rsid w:val="00E05004"/>
    <w:rsid w:val="00E05039"/>
    <w:rsid w:val="00E0558D"/>
    <w:rsid w:val="00E05ED7"/>
    <w:rsid w:val="00E060C1"/>
    <w:rsid w:val="00E06B1E"/>
    <w:rsid w:val="00E06D7E"/>
    <w:rsid w:val="00E07669"/>
    <w:rsid w:val="00E07787"/>
    <w:rsid w:val="00E079E2"/>
    <w:rsid w:val="00E07FB5"/>
    <w:rsid w:val="00E10702"/>
    <w:rsid w:val="00E1072F"/>
    <w:rsid w:val="00E1094A"/>
    <w:rsid w:val="00E10AAF"/>
    <w:rsid w:val="00E11D49"/>
    <w:rsid w:val="00E11F7D"/>
    <w:rsid w:val="00E12269"/>
    <w:rsid w:val="00E122E6"/>
    <w:rsid w:val="00E12531"/>
    <w:rsid w:val="00E1264F"/>
    <w:rsid w:val="00E1392F"/>
    <w:rsid w:val="00E13D9F"/>
    <w:rsid w:val="00E1443E"/>
    <w:rsid w:val="00E147D5"/>
    <w:rsid w:val="00E14C0E"/>
    <w:rsid w:val="00E14D9F"/>
    <w:rsid w:val="00E14F19"/>
    <w:rsid w:val="00E16642"/>
    <w:rsid w:val="00E166A5"/>
    <w:rsid w:val="00E16977"/>
    <w:rsid w:val="00E1719B"/>
    <w:rsid w:val="00E175E0"/>
    <w:rsid w:val="00E1787C"/>
    <w:rsid w:val="00E179F4"/>
    <w:rsid w:val="00E21372"/>
    <w:rsid w:val="00E21654"/>
    <w:rsid w:val="00E21CAE"/>
    <w:rsid w:val="00E2249E"/>
    <w:rsid w:val="00E22537"/>
    <w:rsid w:val="00E22A12"/>
    <w:rsid w:val="00E22B76"/>
    <w:rsid w:val="00E22CDE"/>
    <w:rsid w:val="00E23373"/>
    <w:rsid w:val="00E234F1"/>
    <w:rsid w:val="00E23716"/>
    <w:rsid w:val="00E2373D"/>
    <w:rsid w:val="00E241ED"/>
    <w:rsid w:val="00E2439E"/>
    <w:rsid w:val="00E244CC"/>
    <w:rsid w:val="00E24A0F"/>
    <w:rsid w:val="00E24AAF"/>
    <w:rsid w:val="00E24E3A"/>
    <w:rsid w:val="00E24EEF"/>
    <w:rsid w:val="00E257F2"/>
    <w:rsid w:val="00E25AF8"/>
    <w:rsid w:val="00E25D80"/>
    <w:rsid w:val="00E26470"/>
    <w:rsid w:val="00E267F1"/>
    <w:rsid w:val="00E269CB"/>
    <w:rsid w:val="00E26C55"/>
    <w:rsid w:val="00E26F6C"/>
    <w:rsid w:val="00E275B7"/>
    <w:rsid w:val="00E27AE8"/>
    <w:rsid w:val="00E27D71"/>
    <w:rsid w:val="00E31574"/>
    <w:rsid w:val="00E31BD0"/>
    <w:rsid w:val="00E32C56"/>
    <w:rsid w:val="00E3354E"/>
    <w:rsid w:val="00E336C0"/>
    <w:rsid w:val="00E33A20"/>
    <w:rsid w:val="00E33DE8"/>
    <w:rsid w:val="00E34899"/>
    <w:rsid w:val="00E34CA3"/>
    <w:rsid w:val="00E35C4A"/>
    <w:rsid w:val="00E35F44"/>
    <w:rsid w:val="00E36EDF"/>
    <w:rsid w:val="00E37867"/>
    <w:rsid w:val="00E37A0F"/>
    <w:rsid w:val="00E37D40"/>
    <w:rsid w:val="00E37DA6"/>
    <w:rsid w:val="00E37FA3"/>
    <w:rsid w:val="00E37FE3"/>
    <w:rsid w:val="00E3B8F6"/>
    <w:rsid w:val="00E40225"/>
    <w:rsid w:val="00E40EB7"/>
    <w:rsid w:val="00E41216"/>
    <w:rsid w:val="00E4182E"/>
    <w:rsid w:val="00E4208A"/>
    <w:rsid w:val="00E43AAA"/>
    <w:rsid w:val="00E44B0A"/>
    <w:rsid w:val="00E44C62"/>
    <w:rsid w:val="00E44DAF"/>
    <w:rsid w:val="00E45117"/>
    <w:rsid w:val="00E45142"/>
    <w:rsid w:val="00E45636"/>
    <w:rsid w:val="00E457DA"/>
    <w:rsid w:val="00E45B59"/>
    <w:rsid w:val="00E4619E"/>
    <w:rsid w:val="00E4635C"/>
    <w:rsid w:val="00E4640B"/>
    <w:rsid w:val="00E468A3"/>
    <w:rsid w:val="00E46997"/>
    <w:rsid w:val="00E4701E"/>
    <w:rsid w:val="00E47069"/>
    <w:rsid w:val="00E477E1"/>
    <w:rsid w:val="00E47CA7"/>
    <w:rsid w:val="00E47F27"/>
    <w:rsid w:val="00E50617"/>
    <w:rsid w:val="00E5113A"/>
    <w:rsid w:val="00E51502"/>
    <w:rsid w:val="00E5158B"/>
    <w:rsid w:val="00E5190F"/>
    <w:rsid w:val="00E52476"/>
    <w:rsid w:val="00E52C30"/>
    <w:rsid w:val="00E5387C"/>
    <w:rsid w:val="00E53E1B"/>
    <w:rsid w:val="00E54213"/>
    <w:rsid w:val="00E54EF2"/>
    <w:rsid w:val="00E55DF1"/>
    <w:rsid w:val="00E56453"/>
    <w:rsid w:val="00E56DC1"/>
    <w:rsid w:val="00E572CA"/>
    <w:rsid w:val="00E5756C"/>
    <w:rsid w:val="00E602BA"/>
    <w:rsid w:val="00E60633"/>
    <w:rsid w:val="00E60800"/>
    <w:rsid w:val="00E60DC5"/>
    <w:rsid w:val="00E60DFE"/>
    <w:rsid w:val="00E60F8E"/>
    <w:rsid w:val="00E612E1"/>
    <w:rsid w:val="00E61D8F"/>
    <w:rsid w:val="00E61FE7"/>
    <w:rsid w:val="00E62D75"/>
    <w:rsid w:val="00E63271"/>
    <w:rsid w:val="00E63559"/>
    <w:rsid w:val="00E63644"/>
    <w:rsid w:val="00E64012"/>
    <w:rsid w:val="00E640B0"/>
    <w:rsid w:val="00E6502C"/>
    <w:rsid w:val="00E65220"/>
    <w:rsid w:val="00E65789"/>
    <w:rsid w:val="00E66750"/>
    <w:rsid w:val="00E668BB"/>
    <w:rsid w:val="00E6707D"/>
    <w:rsid w:val="00E67180"/>
    <w:rsid w:val="00E676E2"/>
    <w:rsid w:val="00E67861"/>
    <w:rsid w:val="00E700B2"/>
    <w:rsid w:val="00E701F7"/>
    <w:rsid w:val="00E70B7F"/>
    <w:rsid w:val="00E70D0A"/>
    <w:rsid w:val="00E70FEC"/>
    <w:rsid w:val="00E711CA"/>
    <w:rsid w:val="00E715D8"/>
    <w:rsid w:val="00E72428"/>
    <w:rsid w:val="00E72AF3"/>
    <w:rsid w:val="00E72B02"/>
    <w:rsid w:val="00E72C16"/>
    <w:rsid w:val="00E73984"/>
    <w:rsid w:val="00E73B14"/>
    <w:rsid w:val="00E73C75"/>
    <w:rsid w:val="00E74821"/>
    <w:rsid w:val="00E74C0D"/>
    <w:rsid w:val="00E74FA5"/>
    <w:rsid w:val="00E756A8"/>
    <w:rsid w:val="00E76032"/>
    <w:rsid w:val="00E768F2"/>
    <w:rsid w:val="00E76F13"/>
    <w:rsid w:val="00E77151"/>
    <w:rsid w:val="00E77820"/>
    <w:rsid w:val="00E779E7"/>
    <w:rsid w:val="00E77E9E"/>
    <w:rsid w:val="00E77F90"/>
    <w:rsid w:val="00E8005C"/>
    <w:rsid w:val="00E80CE8"/>
    <w:rsid w:val="00E8121B"/>
    <w:rsid w:val="00E8146D"/>
    <w:rsid w:val="00E8153B"/>
    <w:rsid w:val="00E81D9D"/>
    <w:rsid w:val="00E81DED"/>
    <w:rsid w:val="00E81F3F"/>
    <w:rsid w:val="00E822DF"/>
    <w:rsid w:val="00E82316"/>
    <w:rsid w:val="00E824A2"/>
    <w:rsid w:val="00E825B3"/>
    <w:rsid w:val="00E82EB1"/>
    <w:rsid w:val="00E83A5C"/>
    <w:rsid w:val="00E83EC8"/>
    <w:rsid w:val="00E849DE"/>
    <w:rsid w:val="00E85948"/>
    <w:rsid w:val="00E85BEE"/>
    <w:rsid w:val="00E85CDF"/>
    <w:rsid w:val="00E85D50"/>
    <w:rsid w:val="00E86536"/>
    <w:rsid w:val="00E8655E"/>
    <w:rsid w:val="00E86822"/>
    <w:rsid w:val="00E86F0B"/>
    <w:rsid w:val="00E87275"/>
    <w:rsid w:val="00E8785A"/>
    <w:rsid w:val="00E87990"/>
    <w:rsid w:val="00E906A1"/>
    <w:rsid w:val="00E90AFB"/>
    <w:rsid w:val="00E90B7C"/>
    <w:rsid w:val="00E9167E"/>
    <w:rsid w:val="00E91B1F"/>
    <w:rsid w:val="00E92072"/>
    <w:rsid w:val="00E922A4"/>
    <w:rsid w:val="00E9235D"/>
    <w:rsid w:val="00E9251F"/>
    <w:rsid w:val="00E925CE"/>
    <w:rsid w:val="00E933CB"/>
    <w:rsid w:val="00E93F3F"/>
    <w:rsid w:val="00E941FE"/>
    <w:rsid w:val="00E9443F"/>
    <w:rsid w:val="00E9477E"/>
    <w:rsid w:val="00E9520B"/>
    <w:rsid w:val="00E95EBA"/>
    <w:rsid w:val="00E963AA"/>
    <w:rsid w:val="00E967CB"/>
    <w:rsid w:val="00E967F1"/>
    <w:rsid w:val="00E967F8"/>
    <w:rsid w:val="00E96ACA"/>
    <w:rsid w:val="00E971A4"/>
    <w:rsid w:val="00EA0122"/>
    <w:rsid w:val="00EA0155"/>
    <w:rsid w:val="00EA02AD"/>
    <w:rsid w:val="00EA05D9"/>
    <w:rsid w:val="00EA1104"/>
    <w:rsid w:val="00EA115B"/>
    <w:rsid w:val="00EA232B"/>
    <w:rsid w:val="00EA241A"/>
    <w:rsid w:val="00EA25AC"/>
    <w:rsid w:val="00EA294C"/>
    <w:rsid w:val="00EA3526"/>
    <w:rsid w:val="00EA44AD"/>
    <w:rsid w:val="00EA4B35"/>
    <w:rsid w:val="00EA5257"/>
    <w:rsid w:val="00EA54A8"/>
    <w:rsid w:val="00EA59B6"/>
    <w:rsid w:val="00EA5C23"/>
    <w:rsid w:val="00EA6F4C"/>
    <w:rsid w:val="00EA7415"/>
    <w:rsid w:val="00EA77DF"/>
    <w:rsid w:val="00EA7CCA"/>
    <w:rsid w:val="00EB00ED"/>
    <w:rsid w:val="00EB0433"/>
    <w:rsid w:val="00EB067A"/>
    <w:rsid w:val="00EB0AAA"/>
    <w:rsid w:val="00EB1447"/>
    <w:rsid w:val="00EB1B8B"/>
    <w:rsid w:val="00EB1F19"/>
    <w:rsid w:val="00EB1FC2"/>
    <w:rsid w:val="00EB204D"/>
    <w:rsid w:val="00EB24EC"/>
    <w:rsid w:val="00EB27D6"/>
    <w:rsid w:val="00EB321F"/>
    <w:rsid w:val="00EB34BF"/>
    <w:rsid w:val="00EB36C4"/>
    <w:rsid w:val="00EB3C54"/>
    <w:rsid w:val="00EB3D78"/>
    <w:rsid w:val="00EB4951"/>
    <w:rsid w:val="00EB4B6A"/>
    <w:rsid w:val="00EB4C29"/>
    <w:rsid w:val="00EB4C2B"/>
    <w:rsid w:val="00EB4D57"/>
    <w:rsid w:val="00EB5240"/>
    <w:rsid w:val="00EB595B"/>
    <w:rsid w:val="00EB5A0D"/>
    <w:rsid w:val="00EB5C6C"/>
    <w:rsid w:val="00EB5EFB"/>
    <w:rsid w:val="00EB60EF"/>
    <w:rsid w:val="00EB62F8"/>
    <w:rsid w:val="00EB6859"/>
    <w:rsid w:val="00EB693C"/>
    <w:rsid w:val="00EB74E6"/>
    <w:rsid w:val="00EC05D8"/>
    <w:rsid w:val="00EC0799"/>
    <w:rsid w:val="00EC07FE"/>
    <w:rsid w:val="00EC098E"/>
    <w:rsid w:val="00EC0BCB"/>
    <w:rsid w:val="00EC0CBB"/>
    <w:rsid w:val="00EC0CCA"/>
    <w:rsid w:val="00EC0E71"/>
    <w:rsid w:val="00EC21DE"/>
    <w:rsid w:val="00EC3351"/>
    <w:rsid w:val="00EC42E2"/>
    <w:rsid w:val="00EC4E6B"/>
    <w:rsid w:val="00EC5210"/>
    <w:rsid w:val="00EC5382"/>
    <w:rsid w:val="00EC5C79"/>
    <w:rsid w:val="00EC5D79"/>
    <w:rsid w:val="00EC6A70"/>
    <w:rsid w:val="00EC7818"/>
    <w:rsid w:val="00ED0057"/>
    <w:rsid w:val="00ED04F1"/>
    <w:rsid w:val="00ED052F"/>
    <w:rsid w:val="00ED071F"/>
    <w:rsid w:val="00ED105D"/>
    <w:rsid w:val="00ED1E1D"/>
    <w:rsid w:val="00ED1E55"/>
    <w:rsid w:val="00ED22D3"/>
    <w:rsid w:val="00ED2A6E"/>
    <w:rsid w:val="00ED30A7"/>
    <w:rsid w:val="00ED3459"/>
    <w:rsid w:val="00ED34CE"/>
    <w:rsid w:val="00ED3BDB"/>
    <w:rsid w:val="00ED430C"/>
    <w:rsid w:val="00ED4677"/>
    <w:rsid w:val="00ED5D45"/>
    <w:rsid w:val="00ED613A"/>
    <w:rsid w:val="00ED6BF2"/>
    <w:rsid w:val="00ED6CFA"/>
    <w:rsid w:val="00ED6D53"/>
    <w:rsid w:val="00ED6F7F"/>
    <w:rsid w:val="00ED733B"/>
    <w:rsid w:val="00ED74D0"/>
    <w:rsid w:val="00ED7DBD"/>
    <w:rsid w:val="00EE00C4"/>
    <w:rsid w:val="00EE01B2"/>
    <w:rsid w:val="00EE01F7"/>
    <w:rsid w:val="00EE029C"/>
    <w:rsid w:val="00EE0482"/>
    <w:rsid w:val="00EE0505"/>
    <w:rsid w:val="00EE0BA8"/>
    <w:rsid w:val="00EE10FD"/>
    <w:rsid w:val="00EE13C1"/>
    <w:rsid w:val="00EE1855"/>
    <w:rsid w:val="00EE1E1F"/>
    <w:rsid w:val="00EE2657"/>
    <w:rsid w:val="00EE2B68"/>
    <w:rsid w:val="00EE2F22"/>
    <w:rsid w:val="00EE33EC"/>
    <w:rsid w:val="00EE3733"/>
    <w:rsid w:val="00EE37B6"/>
    <w:rsid w:val="00EE395E"/>
    <w:rsid w:val="00EE4410"/>
    <w:rsid w:val="00EE4E12"/>
    <w:rsid w:val="00EE5068"/>
    <w:rsid w:val="00EE5699"/>
    <w:rsid w:val="00EE5D36"/>
    <w:rsid w:val="00EE5EA3"/>
    <w:rsid w:val="00EE5F9D"/>
    <w:rsid w:val="00EE66C8"/>
    <w:rsid w:val="00EE6916"/>
    <w:rsid w:val="00EE6D70"/>
    <w:rsid w:val="00EE7248"/>
    <w:rsid w:val="00EF0268"/>
    <w:rsid w:val="00EF0F34"/>
    <w:rsid w:val="00EF0FEF"/>
    <w:rsid w:val="00EF1061"/>
    <w:rsid w:val="00EF1386"/>
    <w:rsid w:val="00EF14A9"/>
    <w:rsid w:val="00EF198C"/>
    <w:rsid w:val="00EF1E61"/>
    <w:rsid w:val="00EF2212"/>
    <w:rsid w:val="00EF2491"/>
    <w:rsid w:val="00EF256B"/>
    <w:rsid w:val="00EF2F40"/>
    <w:rsid w:val="00EF2FD7"/>
    <w:rsid w:val="00EF42AC"/>
    <w:rsid w:val="00EF4448"/>
    <w:rsid w:val="00EF4470"/>
    <w:rsid w:val="00EF4AE9"/>
    <w:rsid w:val="00EF4D8F"/>
    <w:rsid w:val="00EF5277"/>
    <w:rsid w:val="00EF5CAD"/>
    <w:rsid w:val="00EF611F"/>
    <w:rsid w:val="00EF642D"/>
    <w:rsid w:val="00EF6964"/>
    <w:rsid w:val="00EF6CC6"/>
    <w:rsid w:val="00EF76E1"/>
    <w:rsid w:val="00F000B9"/>
    <w:rsid w:val="00F01095"/>
    <w:rsid w:val="00F01B19"/>
    <w:rsid w:val="00F0205B"/>
    <w:rsid w:val="00F029AF"/>
    <w:rsid w:val="00F02EEA"/>
    <w:rsid w:val="00F03B02"/>
    <w:rsid w:val="00F03B9E"/>
    <w:rsid w:val="00F03E49"/>
    <w:rsid w:val="00F04099"/>
    <w:rsid w:val="00F04F90"/>
    <w:rsid w:val="00F055E3"/>
    <w:rsid w:val="00F057CB"/>
    <w:rsid w:val="00F058F2"/>
    <w:rsid w:val="00F05B66"/>
    <w:rsid w:val="00F068A8"/>
    <w:rsid w:val="00F06CF5"/>
    <w:rsid w:val="00F07A8B"/>
    <w:rsid w:val="00F101CD"/>
    <w:rsid w:val="00F1030E"/>
    <w:rsid w:val="00F10925"/>
    <w:rsid w:val="00F10C15"/>
    <w:rsid w:val="00F10EEE"/>
    <w:rsid w:val="00F11ABA"/>
    <w:rsid w:val="00F11ED6"/>
    <w:rsid w:val="00F1249E"/>
    <w:rsid w:val="00F12D74"/>
    <w:rsid w:val="00F12F6C"/>
    <w:rsid w:val="00F12F95"/>
    <w:rsid w:val="00F134A8"/>
    <w:rsid w:val="00F13BB4"/>
    <w:rsid w:val="00F13DAE"/>
    <w:rsid w:val="00F14439"/>
    <w:rsid w:val="00F1451B"/>
    <w:rsid w:val="00F145AC"/>
    <w:rsid w:val="00F1461A"/>
    <w:rsid w:val="00F14C59"/>
    <w:rsid w:val="00F15045"/>
    <w:rsid w:val="00F157D8"/>
    <w:rsid w:val="00F15BD9"/>
    <w:rsid w:val="00F16000"/>
    <w:rsid w:val="00F16B67"/>
    <w:rsid w:val="00F16D15"/>
    <w:rsid w:val="00F17F52"/>
    <w:rsid w:val="00F201AD"/>
    <w:rsid w:val="00F204B9"/>
    <w:rsid w:val="00F2095A"/>
    <w:rsid w:val="00F21209"/>
    <w:rsid w:val="00F21481"/>
    <w:rsid w:val="00F216EC"/>
    <w:rsid w:val="00F21A93"/>
    <w:rsid w:val="00F21B21"/>
    <w:rsid w:val="00F222BB"/>
    <w:rsid w:val="00F22C2B"/>
    <w:rsid w:val="00F23325"/>
    <w:rsid w:val="00F2358B"/>
    <w:rsid w:val="00F23A73"/>
    <w:rsid w:val="00F23A9E"/>
    <w:rsid w:val="00F23F35"/>
    <w:rsid w:val="00F2491A"/>
    <w:rsid w:val="00F24EF6"/>
    <w:rsid w:val="00F25371"/>
    <w:rsid w:val="00F254E4"/>
    <w:rsid w:val="00F25E05"/>
    <w:rsid w:val="00F25F29"/>
    <w:rsid w:val="00F26AAB"/>
    <w:rsid w:val="00F26EFC"/>
    <w:rsid w:val="00F26F5D"/>
    <w:rsid w:val="00F26F9E"/>
    <w:rsid w:val="00F2716D"/>
    <w:rsid w:val="00F275A2"/>
    <w:rsid w:val="00F27771"/>
    <w:rsid w:val="00F27A84"/>
    <w:rsid w:val="00F27E3A"/>
    <w:rsid w:val="00F27F66"/>
    <w:rsid w:val="00F30069"/>
    <w:rsid w:val="00F30CDF"/>
    <w:rsid w:val="00F30DD7"/>
    <w:rsid w:val="00F30F98"/>
    <w:rsid w:val="00F312A1"/>
    <w:rsid w:val="00F31460"/>
    <w:rsid w:val="00F31AF1"/>
    <w:rsid w:val="00F31E19"/>
    <w:rsid w:val="00F336E7"/>
    <w:rsid w:val="00F3381E"/>
    <w:rsid w:val="00F33AEA"/>
    <w:rsid w:val="00F34C92"/>
    <w:rsid w:val="00F359B6"/>
    <w:rsid w:val="00F35D19"/>
    <w:rsid w:val="00F372B8"/>
    <w:rsid w:val="00F377AE"/>
    <w:rsid w:val="00F40A0F"/>
    <w:rsid w:val="00F40E7B"/>
    <w:rsid w:val="00F411D1"/>
    <w:rsid w:val="00F41269"/>
    <w:rsid w:val="00F41319"/>
    <w:rsid w:val="00F4149D"/>
    <w:rsid w:val="00F41F93"/>
    <w:rsid w:val="00F42FC5"/>
    <w:rsid w:val="00F43EA8"/>
    <w:rsid w:val="00F4441B"/>
    <w:rsid w:val="00F4459A"/>
    <w:rsid w:val="00F44713"/>
    <w:rsid w:val="00F44A36"/>
    <w:rsid w:val="00F44B13"/>
    <w:rsid w:val="00F45BE7"/>
    <w:rsid w:val="00F45D0F"/>
    <w:rsid w:val="00F45DB8"/>
    <w:rsid w:val="00F463D7"/>
    <w:rsid w:val="00F46473"/>
    <w:rsid w:val="00F46B68"/>
    <w:rsid w:val="00F46E20"/>
    <w:rsid w:val="00F4749F"/>
    <w:rsid w:val="00F47872"/>
    <w:rsid w:val="00F4795A"/>
    <w:rsid w:val="00F479D3"/>
    <w:rsid w:val="00F47C03"/>
    <w:rsid w:val="00F5007C"/>
    <w:rsid w:val="00F50163"/>
    <w:rsid w:val="00F505DA"/>
    <w:rsid w:val="00F50FC7"/>
    <w:rsid w:val="00F510E2"/>
    <w:rsid w:val="00F51172"/>
    <w:rsid w:val="00F512F2"/>
    <w:rsid w:val="00F51557"/>
    <w:rsid w:val="00F515DE"/>
    <w:rsid w:val="00F515F1"/>
    <w:rsid w:val="00F51F04"/>
    <w:rsid w:val="00F5273A"/>
    <w:rsid w:val="00F52974"/>
    <w:rsid w:val="00F52D6B"/>
    <w:rsid w:val="00F52DF6"/>
    <w:rsid w:val="00F52E18"/>
    <w:rsid w:val="00F530A2"/>
    <w:rsid w:val="00F53272"/>
    <w:rsid w:val="00F534C4"/>
    <w:rsid w:val="00F535E2"/>
    <w:rsid w:val="00F544D5"/>
    <w:rsid w:val="00F54516"/>
    <w:rsid w:val="00F546FB"/>
    <w:rsid w:val="00F54FAA"/>
    <w:rsid w:val="00F55335"/>
    <w:rsid w:val="00F55CF7"/>
    <w:rsid w:val="00F562BC"/>
    <w:rsid w:val="00F57759"/>
    <w:rsid w:val="00F57D1C"/>
    <w:rsid w:val="00F6077A"/>
    <w:rsid w:val="00F6086A"/>
    <w:rsid w:val="00F60F8F"/>
    <w:rsid w:val="00F6169B"/>
    <w:rsid w:val="00F62269"/>
    <w:rsid w:val="00F622CB"/>
    <w:rsid w:val="00F62824"/>
    <w:rsid w:val="00F62B2A"/>
    <w:rsid w:val="00F62D7C"/>
    <w:rsid w:val="00F62F2D"/>
    <w:rsid w:val="00F63355"/>
    <w:rsid w:val="00F634C8"/>
    <w:rsid w:val="00F64536"/>
    <w:rsid w:val="00F649A9"/>
    <w:rsid w:val="00F66714"/>
    <w:rsid w:val="00F66E24"/>
    <w:rsid w:val="00F6705E"/>
    <w:rsid w:val="00F67119"/>
    <w:rsid w:val="00F67155"/>
    <w:rsid w:val="00F70119"/>
    <w:rsid w:val="00F701EA"/>
    <w:rsid w:val="00F70484"/>
    <w:rsid w:val="00F704D0"/>
    <w:rsid w:val="00F7058F"/>
    <w:rsid w:val="00F70684"/>
    <w:rsid w:val="00F70695"/>
    <w:rsid w:val="00F70963"/>
    <w:rsid w:val="00F70D21"/>
    <w:rsid w:val="00F70FEF"/>
    <w:rsid w:val="00F7130F"/>
    <w:rsid w:val="00F71336"/>
    <w:rsid w:val="00F71839"/>
    <w:rsid w:val="00F7187E"/>
    <w:rsid w:val="00F7277F"/>
    <w:rsid w:val="00F7284D"/>
    <w:rsid w:val="00F7290F"/>
    <w:rsid w:val="00F7295B"/>
    <w:rsid w:val="00F72DAF"/>
    <w:rsid w:val="00F73143"/>
    <w:rsid w:val="00F731A4"/>
    <w:rsid w:val="00F73271"/>
    <w:rsid w:val="00F73E53"/>
    <w:rsid w:val="00F73F06"/>
    <w:rsid w:val="00F73F8C"/>
    <w:rsid w:val="00F74031"/>
    <w:rsid w:val="00F743DB"/>
    <w:rsid w:val="00F745F5"/>
    <w:rsid w:val="00F74764"/>
    <w:rsid w:val="00F748E7"/>
    <w:rsid w:val="00F74F3A"/>
    <w:rsid w:val="00F75017"/>
    <w:rsid w:val="00F7532D"/>
    <w:rsid w:val="00F75C02"/>
    <w:rsid w:val="00F75E94"/>
    <w:rsid w:val="00F76A20"/>
    <w:rsid w:val="00F7782A"/>
    <w:rsid w:val="00F779CF"/>
    <w:rsid w:val="00F77A35"/>
    <w:rsid w:val="00F77ECB"/>
    <w:rsid w:val="00F800BD"/>
    <w:rsid w:val="00F800C3"/>
    <w:rsid w:val="00F80602"/>
    <w:rsid w:val="00F812AF"/>
    <w:rsid w:val="00F81936"/>
    <w:rsid w:val="00F819E7"/>
    <w:rsid w:val="00F81BF8"/>
    <w:rsid w:val="00F81E47"/>
    <w:rsid w:val="00F824EF"/>
    <w:rsid w:val="00F82AE9"/>
    <w:rsid w:val="00F82DA3"/>
    <w:rsid w:val="00F83F26"/>
    <w:rsid w:val="00F84408"/>
    <w:rsid w:val="00F84470"/>
    <w:rsid w:val="00F847AF"/>
    <w:rsid w:val="00F850A9"/>
    <w:rsid w:val="00F85592"/>
    <w:rsid w:val="00F856AA"/>
    <w:rsid w:val="00F85A65"/>
    <w:rsid w:val="00F85DF6"/>
    <w:rsid w:val="00F85F23"/>
    <w:rsid w:val="00F86158"/>
    <w:rsid w:val="00F86474"/>
    <w:rsid w:val="00F868B4"/>
    <w:rsid w:val="00F8730A"/>
    <w:rsid w:val="00F90151"/>
    <w:rsid w:val="00F9016F"/>
    <w:rsid w:val="00F90601"/>
    <w:rsid w:val="00F910B0"/>
    <w:rsid w:val="00F91F00"/>
    <w:rsid w:val="00F92215"/>
    <w:rsid w:val="00F925F9"/>
    <w:rsid w:val="00F92FC8"/>
    <w:rsid w:val="00F93031"/>
    <w:rsid w:val="00F93703"/>
    <w:rsid w:val="00F9492A"/>
    <w:rsid w:val="00F95262"/>
    <w:rsid w:val="00F95637"/>
    <w:rsid w:val="00F95A44"/>
    <w:rsid w:val="00F96042"/>
    <w:rsid w:val="00F96086"/>
    <w:rsid w:val="00F96E20"/>
    <w:rsid w:val="00F97215"/>
    <w:rsid w:val="00F9765E"/>
    <w:rsid w:val="00FA0798"/>
    <w:rsid w:val="00FA0861"/>
    <w:rsid w:val="00FA08CA"/>
    <w:rsid w:val="00FA0DCB"/>
    <w:rsid w:val="00FA272B"/>
    <w:rsid w:val="00FA2902"/>
    <w:rsid w:val="00FA2A6F"/>
    <w:rsid w:val="00FA2D0A"/>
    <w:rsid w:val="00FA3AC8"/>
    <w:rsid w:val="00FA5B0B"/>
    <w:rsid w:val="00FA5C24"/>
    <w:rsid w:val="00FA5F48"/>
    <w:rsid w:val="00FA64C4"/>
    <w:rsid w:val="00FA68FD"/>
    <w:rsid w:val="00FA6923"/>
    <w:rsid w:val="00FA6AC8"/>
    <w:rsid w:val="00FA6BF7"/>
    <w:rsid w:val="00FA74A0"/>
    <w:rsid w:val="00FA7666"/>
    <w:rsid w:val="00FA78F0"/>
    <w:rsid w:val="00FA78FD"/>
    <w:rsid w:val="00FA7D88"/>
    <w:rsid w:val="00FB022C"/>
    <w:rsid w:val="00FB030F"/>
    <w:rsid w:val="00FB06A5"/>
    <w:rsid w:val="00FB06BF"/>
    <w:rsid w:val="00FB0B2B"/>
    <w:rsid w:val="00FB0EBA"/>
    <w:rsid w:val="00FB0F66"/>
    <w:rsid w:val="00FB11BE"/>
    <w:rsid w:val="00FB1357"/>
    <w:rsid w:val="00FB1799"/>
    <w:rsid w:val="00FB1B56"/>
    <w:rsid w:val="00FB20DA"/>
    <w:rsid w:val="00FB25F9"/>
    <w:rsid w:val="00FB26C1"/>
    <w:rsid w:val="00FB27F1"/>
    <w:rsid w:val="00FB2B2B"/>
    <w:rsid w:val="00FB2EC3"/>
    <w:rsid w:val="00FB2FDD"/>
    <w:rsid w:val="00FB3397"/>
    <w:rsid w:val="00FB42C9"/>
    <w:rsid w:val="00FB445E"/>
    <w:rsid w:val="00FB46B2"/>
    <w:rsid w:val="00FB4C6F"/>
    <w:rsid w:val="00FB4CD9"/>
    <w:rsid w:val="00FB5332"/>
    <w:rsid w:val="00FB6388"/>
    <w:rsid w:val="00FB63DA"/>
    <w:rsid w:val="00FB6F50"/>
    <w:rsid w:val="00FB76C8"/>
    <w:rsid w:val="00FB78A6"/>
    <w:rsid w:val="00FC01FF"/>
    <w:rsid w:val="00FC05F9"/>
    <w:rsid w:val="00FC0851"/>
    <w:rsid w:val="00FC0AC2"/>
    <w:rsid w:val="00FC0DBF"/>
    <w:rsid w:val="00FC0EAC"/>
    <w:rsid w:val="00FC1351"/>
    <w:rsid w:val="00FC1AA7"/>
    <w:rsid w:val="00FC1B8D"/>
    <w:rsid w:val="00FC20FD"/>
    <w:rsid w:val="00FC2383"/>
    <w:rsid w:val="00FC2497"/>
    <w:rsid w:val="00FC263B"/>
    <w:rsid w:val="00FC2C4D"/>
    <w:rsid w:val="00FC2DF1"/>
    <w:rsid w:val="00FC2FAD"/>
    <w:rsid w:val="00FC30F1"/>
    <w:rsid w:val="00FC4301"/>
    <w:rsid w:val="00FC430E"/>
    <w:rsid w:val="00FC50C2"/>
    <w:rsid w:val="00FC5166"/>
    <w:rsid w:val="00FC5E76"/>
    <w:rsid w:val="00FC64F5"/>
    <w:rsid w:val="00FC657C"/>
    <w:rsid w:val="00FC65F3"/>
    <w:rsid w:val="00FC69CF"/>
    <w:rsid w:val="00FC6A25"/>
    <w:rsid w:val="00FC6C92"/>
    <w:rsid w:val="00FC70D5"/>
    <w:rsid w:val="00FC7214"/>
    <w:rsid w:val="00FC7A94"/>
    <w:rsid w:val="00FC7FB3"/>
    <w:rsid w:val="00FD03FC"/>
    <w:rsid w:val="00FD058F"/>
    <w:rsid w:val="00FD0B70"/>
    <w:rsid w:val="00FD0BF7"/>
    <w:rsid w:val="00FD0DD1"/>
    <w:rsid w:val="00FD0E0A"/>
    <w:rsid w:val="00FD11B8"/>
    <w:rsid w:val="00FD140C"/>
    <w:rsid w:val="00FD1440"/>
    <w:rsid w:val="00FD146D"/>
    <w:rsid w:val="00FD1489"/>
    <w:rsid w:val="00FD1494"/>
    <w:rsid w:val="00FD159D"/>
    <w:rsid w:val="00FD1638"/>
    <w:rsid w:val="00FD172D"/>
    <w:rsid w:val="00FD17D7"/>
    <w:rsid w:val="00FD28E1"/>
    <w:rsid w:val="00FD2A46"/>
    <w:rsid w:val="00FD2DA9"/>
    <w:rsid w:val="00FD3220"/>
    <w:rsid w:val="00FD35FA"/>
    <w:rsid w:val="00FD3EB4"/>
    <w:rsid w:val="00FD3FA4"/>
    <w:rsid w:val="00FD4443"/>
    <w:rsid w:val="00FD55B8"/>
    <w:rsid w:val="00FD59F1"/>
    <w:rsid w:val="00FD5B20"/>
    <w:rsid w:val="00FD66A4"/>
    <w:rsid w:val="00FD6FE2"/>
    <w:rsid w:val="00FD700D"/>
    <w:rsid w:val="00FD74CB"/>
    <w:rsid w:val="00FD7543"/>
    <w:rsid w:val="00FD7BF5"/>
    <w:rsid w:val="00FD7D5C"/>
    <w:rsid w:val="00FD7FD4"/>
    <w:rsid w:val="00FE026D"/>
    <w:rsid w:val="00FE0604"/>
    <w:rsid w:val="00FE091B"/>
    <w:rsid w:val="00FE1138"/>
    <w:rsid w:val="00FE1531"/>
    <w:rsid w:val="00FE185C"/>
    <w:rsid w:val="00FE1BD0"/>
    <w:rsid w:val="00FE2084"/>
    <w:rsid w:val="00FE272F"/>
    <w:rsid w:val="00FE336D"/>
    <w:rsid w:val="00FE3737"/>
    <w:rsid w:val="00FE3C5F"/>
    <w:rsid w:val="00FE3C61"/>
    <w:rsid w:val="00FE3F22"/>
    <w:rsid w:val="00FE401B"/>
    <w:rsid w:val="00FE4705"/>
    <w:rsid w:val="00FE486E"/>
    <w:rsid w:val="00FE4A09"/>
    <w:rsid w:val="00FE557C"/>
    <w:rsid w:val="00FE56D8"/>
    <w:rsid w:val="00FE5E4C"/>
    <w:rsid w:val="00FE6A78"/>
    <w:rsid w:val="00FE731E"/>
    <w:rsid w:val="00FE7484"/>
    <w:rsid w:val="00FE7C06"/>
    <w:rsid w:val="00FF0800"/>
    <w:rsid w:val="00FF0C76"/>
    <w:rsid w:val="00FF1745"/>
    <w:rsid w:val="00FF27C7"/>
    <w:rsid w:val="00FF2C0C"/>
    <w:rsid w:val="00FF33F2"/>
    <w:rsid w:val="00FF35E1"/>
    <w:rsid w:val="00FF3B03"/>
    <w:rsid w:val="00FF46C7"/>
    <w:rsid w:val="00FF4C3A"/>
    <w:rsid w:val="00FF503D"/>
    <w:rsid w:val="00FF53A3"/>
    <w:rsid w:val="00FF62F4"/>
    <w:rsid w:val="00FF6519"/>
    <w:rsid w:val="00FF6597"/>
    <w:rsid w:val="00FF6FC8"/>
    <w:rsid w:val="00FF745A"/>
    <w:rsid w:val="00FF7970"/>
    <w:rsid w:val="0116E36E"/>
    <w:rsid w:val="0119C9B6"/>
    <w:rsid w:val="011F5A40"/>
    <w:rsid w:val="012376E3"/>
    <w:rsid w:val="0142ECFB"/>
    <w:rsid w:val="0157E594"/>
    <w:rsid w:val="018FF28D"/>
    <w:rsid w:val="0199A159"/>
    <w:rsid w:val="01AF9677"/>
    <w:rsid w:val="01BA95FB"/>
    <w:rsid w:val="01BF004A"/>
    <w:rsid w:val="01CC898A"/>
    <w:rsid w:val="01D18C60"/>
    <w:rsid w:val="01D2BBCC"/>
    <w:rsid w:val="01DBCC6A"/>
    <w:rsid w:val="02190379"/>
    <w:rsid w:val="0223E0E1"/>
    <w:rsid w:val="0224A175"/>
    <w:rsid w:val="022735C8"/>
    <w:rsid w:val="02310DB1"/>
    <w:rsid w:val="02540287"/>
    <w:rsid w:val="02675562"/>
    <w:rsid w:val="028A55C8"/>
    <w:rsid w:val="02A19FBD"/>
    <w:rsid w:val="02B93137"/>
    <w:rsid w:val="02BC62BF"/>
    <w:rsid w:val="02CC20C2"/>
    <w:rsid w:val="02CD2289"/>
    <w:rsid w:val="02D0EDF7"/>
    <w:rsid w:val="02E820BA"/>
    <w:rsid w:val="02FB9B24"/>
    <w:rsid w:val="03350D35"/>
    <w:rsid w:val="034CF327"/>
    <w:rsid w:val="034F5782"/>
    <w:rsid w:val="0375F5A6"/>
    <w:rsid w:val="0379548F"/>
    <w:rsid w:val="03AE0459"/>
    <w:rsid w:val="03D7E3E7"/>
    <w:rsid w:val="03E7C2EF"/>
    <w:rsid w:val="03FE4E12"/>
    <w:rsid w:val="04036C75"/>
    <w:rsid w:val="04100596"/>
    <w:rsid w:val="04220F9D"/>
    <w:rsid w:val="0425C313"/>
    <w:rsid w:val="0439B74D"/>
    <w:rsid w:val="043CE42D"/>
    <w:rsid w:val="044200F9"/>
    <w:rsid w:val="044EC568"/>
    <w:rsid w:val="0465BEBB"/>
    <w:rsid w:val="04746CF8"/>
    <w:rsid w:val="047F920E"/>
    <w:rsid w:val="04AA5765"/>
    <w:rsid w:val="04B10A28"/>
    <w:rsid w:val="04B41118"/>
    <w:rsid w:val="04BE957D"/>
    <w:rsid w:val="04D0D663"/>
    <w:rsid w:val="0527B393"/>
    <w:rsid w:val="05396EEC"/>
    <w:rsid w:val="053D5547"/>
    <w:rsid w:val="05475FA8"/>
    <w:rsid w:val="055E9778"/>
    <w:rsid w:val="056CF49E"/>
    <w:rsid w:val="05706D2C"/>
    <w:rsid w:val="05769046"/>
    <w:rsid w:val="059FF660"/>
    <w:rsid w:val="05A67D12"/>
    <w:rsid w:val="05B5DDD0"/>
    <w:rsid w:val="05C621AA"/>
    <w:rsid w:val="05D7566E"/>
    <w:rsid w:val="05DDE3ED"/>
    <w:rsid w:val="05DEE3BC"/>
    <w:rsid w:val="05E0A047"/>
    <w:rsid w:val="05E633AE"/>
    <w:rsid w:val="05F29232"/>
    <w:rsid w:val="05F59718"/>
    <w:rsid w:val="060D5AD0"/>
    <w:rsid w:val="06196CB5"/>
    <w:rsid w:val="061D8C1D"/>
    <w:rsid w:val="06276268"/>
    <w:rsid w:val="0629FBCA"/>
    <w:rsid w:val="06446891"/>
    <w:rsid w:val="0646E231"/>
    <w:rsid w:val="065426DA"/>
    <w:rsid w:val="0658B055"/>
    <w:rsid w:val="0660CE12"/>
    <w:rsid w:val="067A70D4"/>
    <w:rsid w:val="06828FCF"/>
    <w:rsid w:val="06877DC4"/>
    <w:rsid w:val="0687DFBC"/>
    <w:rsid w:val="06946723"/>
    <w:rsid w:val="069CFDA1"/>
    <w:rsid w:val="06FD6A2A"/>
    <w:rsid w:val="071405DA"/>
    <w:rsid w:val="07233C03"/>
    <w:rsid w:val="0724AE2D"/>
    <w:rsid w:val="072BE563"/>
    <w:rsid w:val="074D6CA9"/>
    <w:rsid w:val="079134A8"/>
    <w:rsid w:val="0795379F"/>
    <w:rsid w:val="07C6BD8F"/>
    <w:rsid w:val="07D3565D"/>
    <w:rsid w:val="07D59CE7"/>
    <w:rsid w:val="07F25D77"/>
    <w:rsid w:val="080C511B"/>
    <w:rsid w:val="083D39C3"/>
    <w:rsid w:val="08449896"/>
    <w:rsid w:val="088403FF"/>
    <w:rsid w:val="088F201E"/>
    <w:rsid w:val="089A8EEE"/>
    <w:rsid w:val="08AF973D"/>
    <w:rsid w:val="08B45E45"/>
    <w:rsid w:val="08D45635"/>
    <w:rsid w:val="08F7FDAF"/>
    <w:rsid w:val="0920368A"/>
    <w:rsid w:val="0934A383"/>
    <w:rsid w:val="0950927C"/>
    <w:rsid w:val="095373E2"/>
    <w:rsid w:val="095B4686"/>
    <w:rsid w:val="095D973C"/>
    <w:rsid w:val="09617FD7"/>
    <w:rsid w:val="096CA1EA"/>
    <w:rsid w:val="099B5F5E"/>
    <w:rsid w:val="09A69F79"/>
    <w:rsid w:val="09AD7078"/>
    <w:rsid w:val="09E4F04E"/>
    <w:rsid w:val="09E6FA0F"/>
    <w:rsid w:val="0A055D1F"/>
    <w:rsid w:val="0A27F2BB"/>
    <w:rsid w:val="0A4B679E"/>
    <w:rsid w:val="0A4DCED7"/>
    <w:rsid w:val="0A5339DE"/>
    <w:rsid w:val="0A55CEE3"/>
    <w:rsid w:val="0A77E460"/>
    <w:rsid w:val="0A982D84"/>
    <w:rsid w:val="0A9BA6BA"/>
    <w:rsid w:val="0AB15510"/>
    <w:rsid w:val="0AC87060"/>
    <w:rsid w:val="0AE423E9"/>
    <w:rsid w:val="0AFE7352"/>
    <w:rsid w:val="0B043C59"/>
    <w:rsid w:val="0B04F657"/>
    <w:rsid w:val="0B207013"/>
    <w:rsid w:val="0B24B475"/>
    <w:rsid w:val="0B4E9427"/>
    <w:rsid w:val="0B725A67"/>
    <w:rsid w:val="0B97D23C"/>
    <w:rsid w:val="0BA2E624"/>
    <w:rsid w:val="0BA3D3A1"/>
    <w:rsid w:val="0BAC6D9C"/>
    <w:rsid w:val="0BCB4220"/>
    <w:rsid w:val="0BE7522E"/>
    <w:rsid w:val="0BEBFF07"/>
    <w:rsid w:val="0BEDB9F8"/>
    <w:rsid w:val="0BF28D0B"/>
    <w:rsid w:val="0C1A2A18"/>
    <w:rsid w:val="0C6CCB78"/>
    <w:rsid w:val="0C76DCFE"/>
    <w:rsid w:val="0C916795"/>
    <w:rsid w:val="0CA16B01"/>
    <w:rsid w:val="0CBC1C0D"/>
    <w:rsid w:val="0CC28EA4"/>
    <w:rsid w:val="0CCE4112"/>
    <w:rsid w:val="0CE10738"/>
    <w:rsid w:val="0CF993D5"/>
    <w:rsid w:val="0D14A0BF"/>
    <w:rsid w:val="0D202AAE"/>
    <w:rsid w:val="0D3785AC"/>
    <w:rsid w:val="0D52A3DB"/>
    <w:rsid w:val="0D5B51FE"/>
    <w:rsid w:val="0D6342A0"/>
    <w:rsid w:val="0D6F02F2"/>
    <w:rsid w:val="0D970941"/>
    <w:rsid w:val="0DB1ADE5"/>
    <w:rsid w:val="0DC0EFB5"/>
    <w:rsid w:val="0DC71F0D"/>
    <w:rsid w:val="0DD49A4E"/>
    <w:rsid w:val="0DE22D86"/>
    <w:rsid w:val="0DE8AF8D"/>
    <w:rsid w:val="0DE9EAE2"/>
    <w:rsid w:val="0DEC7A58"/>
    <w:rsid w:val="0E1E0D21"/>
    <w:rsid w:val="0E20C4D7"/>
    <w:rsid w:val="0E2F4C61"/>
    <w:rsid w:val="0E3445FD"/>
    <w:rsid w:val="0E361414"/>
    <w:rsid w:val="0E3C9719"/>
    <w:rsid w:val="0E416D32"/>
    <w:rsid w:val="0E42DF9D"/>
    <w:rsid w:val="0E57EC6E"/>
    <w:rsid w:val="0E5CED19"/>
    <w:rsid w:val="0E799DE7"/>
    <w:rsid w:val="0E7A8B4A"/>
    <w:rsid w:val="0E9063FB"/>
    <w:rsid w:val="0EA06D9D"/>
    <w:rsid w:val="0EF09D21"/>
    <w:rsid w:val="0EF4BEC3"/>
    <w:rsid w:val="0EFF2607"/>
    <w:rsid w:val="0F01D8D1"/>
    <w:rsid w:val="0F1305B3"/>
    <w:rsid w:val="0F169275"/>
    <w:rsid w:val="0F40CFC3"/>
    <w:rsid w:val="0F4C3052"/>
    <w:rsid w:val="0F602ACC"/>
    <w:rsid w:val="0F62A337"/>
    <w:rsid w:val="0F6C2F45"/>
    <w:rsid w:val="0F76212E"/>
    <w:rsid w:val="0F7F20F8"/>
    <w:rsid w:val="0F81BD6A"/>
    <w:rsid w:val="0F8852EE"/>
    <w:rsid w:val="0F998D47"/>
    <w:rsid w:val="0FA0D9BA"/>
    <w:rsid w:val="0FA51532"/>
    <w:rsid w:val="0FAAFCD3"/>
    <w:rsid w:val="0FD3384E"/>
    <w:rsid w:val="0FD89A19"/>
    <w:rsid w:val="0FDBA4E5"/>
    <w:rsid w:val="0FDD3D93"/>
    <w:rsid w:val="0FDDE903"/>
    <w:rsid w:val="0FE9DF5E"/>
    <w:rsid w:val="0FF636F9"/>
    <w:rsid w:val="1018BE73"/>
    <w:rsid w:val="104003BD"/>
    <w:rsid w:val="10558D35"/>
    <w:rsid w:val="10766F8C"/>
    <w:rsid w:val="1086597B"/>
    <w:rsid w:val="109C61B5"/>
    <w:rsid w:val="10A10600"/>
    <w:rsid w:val="10AA6432"/>
    <w:rsid w:val="10C0164C"/>
    <w:rsid w:val="10C1814D"/>
    <w:rsid w:val="10DA9A6A"/>
    <w:rsid w:val="10FFB5A6"/>
    <w:rsid w:val="11010B62"/>
    <w:rsid w:val="11096B68"/>
    <w:rsid w:val="113679F8"/>
    <w:rsid w:val="1160379D"/>
    <w:rsid w:val="11630121"/>
    <w:rsid w:val="1166F818"/>
    <w:rsid w:val="116C9970"/>
    <w:rsid w:val="1174221D"/>
    <w:rsid w:val="1175C452"/>
    <w:rsid w:val="1186DD33"/>
    <w:rsid w:val="118CCD6F"/>
    <w:rsid w:val="1190BE56"/>
    <w:rsid w:val="11A7509B"/>
    <w:rsid w:val="11ADB701"/>
    <w:rsid w:val="11B41D6A"/>
    <w:rsid w:val="11C84526"/>
    <w:rsid w:val="11CEC621"/>
    <w:rsid w:val="11DBC3A6"/>
    <w:rsid w:val="11FACB67"/>
    <w:rsid w:val="11FF72CF"/>
    <w:rsid w:val="12033555"/>
    <w:rsid w:val="125182BD"/>
    <w:rsid w:val="1261A888"/>
    <w:rsid w:val="1264ED88"/>
    <w:rsid w:val="12667DF6"/>
    <w:rsid w:val="1284775A"/>
    <w:rsid w:val="12A17565"/>
    <w:rsid w:val="12BC9FBB"/>
    <w:rsid w:val="12EF3630"/>
    <w:rsid w:val="12F068B7"/>
    <w:rsid w:val="12FCF455"/>
    <w:rsid w:val="1315B01F"/>
    <w:rsid w:val="13179442"/>
    <w:rsid w:val="131E29A3"/>
    <w:rsid w:val="13396482"/>
    <w:rsid w:val="133C01AA"/>
    <w:rsid w:val="1343DF6F"/>
    <w:rsid w:val="1361E331"/>
    <w:rsid w:val="1388FF7F"/>
    <w:rsid w:val="13892F85"/>
    <w:rsid w:val="138F56FE"/>
    <w:rsid w:val="13BB8886"/>
    <w:rsid w:val="13D163F3"/>
    <w:rsid w:val="13FE5729"/>
    <w:rsid w:val="141196E4"/>
    <w:rsid w:val="1446FC93"/>
    <w:rsid w:val="147CF6DF"/>
    <w:rsid w:val="14A74357"/>
    <w:rsid w:val="14B1E75E"/>
    <w:rsid w:val="14C06DC7"/>
    <w:rsid w:val="14C87AD7"/>
    <w:rsid w:val="14D136E6"/>
    <w:rsid w:val="14D890A6"/>
    <w:rsid w:val="14E18F7B"/>
    <w:rsid w:val="14EA4F2A"/>
    <w:rsid w:val="14FA3ED9"/>
    <w:rsid w:val="14FC4262"/>
    <w:rsid w:val="1526B0EC"/>
    <w:rsid w:val="154826B5"/>
    <w:rsid w:val="154E7682"/>
    <w:rsid w:val="155130C7"/>
    <w:rsid w:val="1562F064"/>
    <w:rsid w:val="156C519E"/>
    <w:rsid w:val="156E7A26"/>
    <w:rsid w:val="1586BFC3"/>
    <w:rsid w:val="15936500"/>
    <w:rsid w:val="159783C4"/>
    <w:rsid w:val="159B6334"/>
    <w:rsid w:val="15AFCEFF"/>
    <w:rsid w:val="15B0F84A"/>
    <w:rsid w:val="15B693E1"/>
    <w:rsid w:val="15BE35AB"/>
    <w:rsid w:val="15C1F2EA"/>
    <w:rsid w:val="15CC9A94"/>
    <w:rsid w:val="15CE6017"/>
    <w:rsid w:val="15F78C1B"/>
    <w:rsid w:val="161E62C2"/>
    <w:rsid w:val="161E7A1B"/>
    <w:rsid w:val="1663F76F"/>
    <w:rsid w:val="166C438D"/>
    <w:rsid w:val="1670EF0C"/>
    <w:rsid w:val="169B0FEA"/>
    <w:rsid w:val="16A0D906"/>
    <w:rsid w:val="16A6B8D9"/>
    <w:rsid w:val="16AAF557"/>
    <w:rsid w:val="16B680D9"/>
    <w:rsid w:val="16BA0163"/>
    <w:rsid w:val="16BE65B0"/>
    <w:rsid w:val="16EFEE63"/>
    <w:rsid w:val="16F968EF"/>
    <w:rsid w:val="1709B042"/>
    <w:rsid w:val="170D35DC"/>
    <w:rsid w:val="170E4EF8"/>
    <w:rsid w:val="171104D1"/>
    <w:rsid w:val="17142A7C"/>
    <w:rsid w:val="17224394"/>
    <w:rsid w:val="173DA169"/>
    <w:rsid w:val="173DC08D"/>
    <w:rsid w:val="17566968"/>
    <w:rsid w:val="17591E87"/>
    <w:rsid w:val="1779E501"/>
    <w:rsid w:val="17A118AD"/>
    <w:rsid w:val="17A2BE99"/>
    <w:rsid w:val="17C50931"/>
    <w:rsid w:val="17D26D2F"/>
    <w:rsid w:val="17D5D1D0"/>
    <w:rsid w:val="17E6F0DE"/>
    <w:rsid w:val="17ECC10D"/>
    <w:rsid w:val="1803CF5F"/>
    <w:rsid w:val="181D289C"/>
    <w:rsid w:val="1825DDEC"/>
    <w:rsid w:val="182AD6F8"/>
    <w:rsid w:val="182B84E5"/>
    <w:rsid w:val="184FD3E6"/>
    <w:rsid w:val="1862BDEE"/>
    <w:rsid w:val="1862F032"/>
    <w:rsid w:val="187B4613"/>
    <w:rsid w:val="189B5303"/>
    <w:rsid w:val="18B5BFC6"/>
    <w:rsid w:val="18B82D8A"/>
    <w:rsid w:val="18D26F95"/>
    <w:rsid w:val="18D8ABFE"/>
    <w:rsid w:val="18F4FC06"/>
    <w:rsid w:val="19013B8A"/>
    <w:rsid w:val="190454FB"/>
    <w:rsid w:val="190ABCEA"/>
    <w:rsid w:val="192025E7"/>
    <w:rsid w:val="194DB8B2"/>
    <w:rsid w:val="19560384"/>
    <w:rsid w:val="19654472"/>
    <w:rsid w:val="196E718B"/>
    <w:rsid w:val="1989E47C"/>
    <w:rsid w:val="19968295"/>
    <w:rsid w:val="199B6F10"/>
    <w:rsid w:val="19A1433E"/>
    <w:rsid w:val="19A58059"/>
    <w:rsid w:val="19B8F8FD"/>
    <w:rsid w:val="19B95807"/>
    <w:rsid w:val="19B97DFA"/>
    <w:rsid w:val="19C4F2A1"/>
    <w:rsid w:val="19E72736"/>
    <w:rsid w:val="19F30D46"/>
    <w:rsid w:val="1A1D0720"/>
    <w:rsid w:val="1A31125A"/>
    <w:rsid w:val="1A477B59"/>
    <w:rsid w:val="1A49F80A"/>
    <w:rsid w:val="1A4A0843"/>
    <w:rsid w:val="1A505CF7"/>
    <w:rsid w:val="1A641B30"/>
    <w:rsid w:val="1A70FBDA"/>
    <w:rsid w:val="1A815A49"/>
    <w:rsid w:val="1A81EAA0"/>
    <w:rsid w:val="1A9EC217"/>
    <w:rsid w:val="1AA074E2"/>
    <w:rsid w:val="1AA79803"/>
    <w:rsid w:val="1AA8CCC3"/>
    <w:rsid w:val="1AB7A21D"/>
    <w:rsid w:val="1ABEBC1C"/>
    <w:rsid w:val="1AC21C9F"/>
    <w:rsid w:val="1AE57934"/>
    <w:rsid w:val="1AE7B531"/>
    <w:rsid w:val="1B10B4A2"/>
    <w:rsid w:val="1B25B4DD"/>
    <w:rsid w:val="1B3F8907"/>
    <w:rsid w:val="1B54C95E"/>
    <w:rsid w:val="1B69A554"/>
    <w:rsid w:val="1B8CBDC9"/>
    <w:rsid w:val="1BACE6AF"/>
    <w:rsid w:val="1BCCCCD7"/>
    <w:rsid w:val="1BD208D7"/>
    <w:rsid w:val="1BD2F3C5"/>
    <w:rsid w:val="1BF97641"/>
    <w:rsid w:val="1C093CAB"/>
    <w:rsid w:val="1C16FE59"/>
    <w:rsid w:val="1C302538"/>
    <w:rsid w:val="1C6378AF"/>
    <w:rsid w:val="1C6389FB"/>
    <w:rsid w:val="1C689C0D"/>
    <w:rsid w:val="1C85EBE1"/>
    <w:rsid w:val="1C95C35F"/>
    <w:rsid w:val="1C97ED54"/>
    <w:rsid w:val="1CAA51A8"/>
    <w:rsid w:val="1CB11D7E"/>
    <w:rsid w:val="1CB6EA82"/>
    <w:rsid w:val="1CC51315"/>
    <w:rsid w:val="1CCC331F"/>
    <w:rsid w:val="1CD2316E"/>
    <w:rsid w:val="1CE5BD37"/>
    <w:rsid w:val="1CF099BF"/>
    <w:rsid w:val="1CF68501"/>
    <w:rsid w:val="1D0D6FF3"/>
    <w:rsid w:val="1D1317C5"/>
    <w:rsid w:val="1D15DDB4"/>
    <w:rsid w:val="1D1D3A18"/>
    <w:rsid w:val="1D4B3B01"/>
    <w:rsid w:val="1D4D7E75"/>
    <w:rsid w:val="1D4FB52A"/>
    <w:rsid w:val="1D6A5CF5"/>
    <w:rsid w:val="1D7B7AA0"/>
    <w:rsid w:val="1D9FA468"/>
    <w:rsid w:val="1DB55A86"/>
    <w:rsid w:val="1DBF542C"/>
    <w:rsid w:val="1DC410EE"/>
    <w:rsid w:val="1DD134AB"/>
    <w:rsid w:val="1DD6F544"/>
    <w:rsid w:val="1DE767C0"/>
    <w:rsid w:val="1DFA54E1"/>
    <w:rsid w:val="1DFDEAAC"/>
    <w:rsid w:val="1E0D6AFC"/>
    <w:rsid w:val="1E1B33A9"/>
    <w:rsid w:val="1E5058CD"/>
    <w:rsid w:val="1E5CD561"/>
    <w:rsid w:val="1E642804"/>
    <w:rsid w:val="1E818D98"/>
    <w:rsid w:val="1EABB42B"/>
    <w:rsid w:val="1ED9644B"/>
    <w:rsid w:val="1EE2683B"/>
    <w:rsid w:val="1EFCDCD2"/>
    <w:rsid w:val="1F344C9E"/>
    <w:rsid w:val="1F3A9CD7"/>
    <w:rsid w:val="1F3BE748"/>
    <w:rsid w:val="1F3C0EF7"/>
    <w:rsid w:val="1F41B119"/>
    <w:rsid w:val="1F543EDC"/>
    <w:rsid w:val="1F64737F"/>
    <w:rsid w:val="1F696981"/>
    <w:rsid w:val="1F718503"/>
    <w:rsid w:val="1F815A2E"/>
    <w:rsid w:val="1F8F7D67"/>
    <w:rsid w:val="1F9B4957"/>
    <w:rsid w:val="1FA228BB"/>
    <w:rsid w:val="1FA76E6F"/>
    <w:rsid w:val="1FA8C7C5"/>
    <w:rsid w:val="1FB44350"/>
    <w:rsid w:val="1FB85BC0"/>
    <w:rsid w:val="1FBDBD34"/>
    <w:rsid w:val="1FCCB71D"/>
    <w:rsid w:val="1FCE9E56"/>
    <w:rsid w:val="1FE9D953"/>
    <w:rsid w:val="1FFE0734"/>
    <w:rsid w:val="200EE35F"/>
    <w:rsid w:val="20185E9B"/>
    <w:rsid w:val="202CBF84"/>
    <w:rsid w:val="202E044C"/>
    <w:rsid w:val="20322F3D"/>
    <w:rsid w:val="203520DB"/>
    <w:rsid w:val="203913C2"/>
    <w:rsid w:val="208B4F3F"/>
    <w:rsid w:val="20A31D3D"/>
    <w:rsid w:val="20B20877"/>
    <w:rsid w:val="20CC59D1"/>
    <w:rsid w:val="20CCE764"/>
    <w:rsid w:val="20DE1300"/>
    <w:rsid w:val="20F9FBAA"/>
    <w:rsid w:val="210CA515"/>
    <w:rsid w:val="210D5564"/>
    <w:rsid w:val="211542EA"/>
    <w:rsid w:val="212168BD"/>
    <w:rsid w:val="2129A376"/>
    <w:rsid w:val="2145C75B"/>
    <w:rsid w:val="214C8388"/>
    <w:rsid w:val="214D03AE"/>
    <w:rsid w:val="2150922E"/>
    <w:rsid w:val="215D1D77"/>
    <w:rsid w:val="2163C751"/>
    <w:rsid w:val="21640F71"/>
    <w:rsid w:val="217C6719"/>
    <w:rsid w:val="218D29E2"/>
    <w:rsid w:val="21933BFC"/>
    <w:rsid w:val="21A2E79A"/>
    <w:rsid w:val="21C19B3F"/>
    <w:rsid w:val="21C83B20"/>
    <w:rsid w:val="21D24BB5"/>
    <w:rsid w:val="21E9AD5F"/>
    <w:rsid w:val="21F86018"/>
    <w:rsid w:val="21FFE064"/>
    <w:rsid w:val="22021803"/>
    <w:rsid w:val="2209FDF0"/>
    <w:rsid w:val="2212BDCA"/>
    <w:rsid w:val="221C1206"/>
    <w:rsid w:val="2268B7C5"/>
    <w:rsid w:val="2273B919"/>
    <w:rsid w:val="227E554C"/>
    <w:rsid w:val="227F6FD5"/>
    <w:rsid w:val="22AA4370"/>
    <w:rsid w:val="22B54204"/>
    <w:rsid w:val="22BB9E2D"/>
    <w:rsid w:val="22BE9BFF"/>
    <w:rsid w:val="22BF13C7"/>
    <w:rsid w:val="22C375A9"/>
    <w:rsid w:val="22D33B17"/>
    <w:rsid w:val="22E1E14F"/>
    <w:rsid w:val="22FE791E"/>
    <w:rsid w:val="233FDE2E"/>
    <w:rsid w:val="235EF70E"/>
    <w:rsid w:val="237E37AD"/>
    <w:rsid w:val="239F0282"/>
    <w:rsid w:val="23A904E0"/>
    <w:rsid w:val="23BFFDC1"/>
    <w:rsid w:val="23C3CF8B"/>
    <w:rsid w:val="23D3C4E4"/>
    <w:rsid w:val="23DF9F5B"/>
    <w:rsid w:val="23E2483C"/>
    <w:rsid w:val="23E29A9C"/>
    <w:rsid w:val="23F9B206"/>
    <w:rsid w:val="24045ECC"/>
    <w:rsid w:val="24136BF4"/>
    <w:rsid w:val="242BE0B9"/>
    <w:rsid w:val="244F18E4"/>
    <w:rsid w:val="245F40EC"/>
    <w:rsid w:val="246ACF1A"/>
    <w:rsid w:val="24790C4D"/>
    <w:rsid w:val="24796C51"/>
    <w:rsid w:val="247C979C"/>
    <w:rsid w:val="247F8D8B"/>
    <w:rsid w:val="24819139"/>
    <w:rsid w:val="24965FD2"/>
    <w:rsid w:val="24B987E2"/>
    <w:rsid w:val="2507C73C"/>
    <w:rsid w:val="251E7339"/>
    <w:rsid w:val="252D74D4"/>
    <w:rsid w:val="252E6185"/>
    <w:rsid w:val="253366DC"/>
    <w:rsid w:val="25341006"/>
    <w:rsid w:val="255507A0"/>
    <w:rsid w:val="25577C64"/>
    <w:rsid w:val="255886CB"/>
    <w:rsid w:val="256A63E4"/>
    <w:rsid w:val="256B04AB"/>
    <w:rsid w:val="256B6FA2"/>
    <w:rsid w:val="256FCEC1"/>
    <w:rsid w:val="2574D19C"/>
    <w:rsid w:val="2578DA7B"/>
    <w:rsid w:val="2579AAB0"/>
    <w:rsid w:val="258C791E"/>
    <w:rsid w:val="25988D7F"/>
    <w:rsid w:val="25C05AC9"/>
    <w:rsid w:val="25C5F758"/>
    <w:rsid w:val="25EB9C9F"/>
    <w:rsid w:val="2607ED01"/>
    <w:rsid w:val="26085562"/>
    <w:rsid w:val="260913F3"/>
    <w:rsid w:val="263043EF"/>
    <w:rsid w:val="26339204"/>
    <w:rsid w:val="2659D9E9"/>
    <w:rsid w:val="2678DB6B"/>
    <w:rsid w:val="268DAE00"/>
    <w:rsid w:val="269147AE"/>
    <w:rsid w:val="269C8AA1"/>
    <w:rsid w:val="26D3FE45"/>
    <w:rsid w:val="26EC4B30"/>
    <w:rsid w:val="26F25D72"/>
    <w:rsid w:val="27176DB4"/>
    <w:rsid w:val="271AE38B"/>
    <w:rsid w:val="2759F272"/>
    <w:rsid w:val="276B2BDE"/>
    <w:rsid w:val="278EF1E1"/>
    <w:rsid w:val="27BA0289"/>
    <w:rsid w:val="27C269FA"/>
    <w:rsid w:val="27DC2F21"/>
    <w:rsid w:val="280B1F95"/>
    <w:rsid w:val="2846ED04"/>
    <w:rsid w:val="286460DE"/>
    <w:rsid w:val="287D8317"/>
    <w:rsid w:val="28BED0EC"/>
    <w:rsid w:val="28DB9EE0"/>
    <w:rsid w:val="291C4843"/>
    <w:rsid w:val="29220864"/>
    <w:rsid w:val="29377F0D"/>
    <w:rsid w:val="293BE152"/>
    <w:rsid w:val="293D51CB"/>
    <w:rsid w:val="293D9ADB"/>
    <w:rsid w:val="294D14E8"/>
    <w:rsid w:val="295040FD"/>
    <w:rsid w:val="29713C65"/>
    <w:rsid w:val="2993F9D1"/>
    <w:rsid w:val="2996D80B"/>
    <w:rsid w:val="29AA2281"/>
    <w:rsid w:val="29BB6178"/>
    <w:rsid w:val="29D93589"/>
    <w:rsid w:val="29E988EA"/>
    <w:rsid w:val="29F8D822"/>
    <w:rsid w:val="2A1A9319"/>
    <w:rsid w:val="2A484940"/>
    <w:rsid w:val="2A485806"/>
    <w:rsid w:val="2A5E9C42"/>
    <w:rsid w:val="2A80574E"/>
    <w:rsid w:val="2AAE762E"/>
    <w:rsid w:val="2ACB8BFA"/>
    <w:rsid w:val="2AD3205D"/>
    <w:rsid w:val="2AFBB4F4"/>
    <w:rsid w:val="2B1DD508"/>
    <w:rsid w:val="2B23AD64"/>
    <w:rsid w:val="2B2AF9BE"/>
    <w:rsid w:val="2B5735DE"/>
    <w:rsid w:val="2B598171"/>
    <w:rsid w:val="2B59EA29"/>
    <w:rsid w:val="2B79E630"/>
    <w:rsid w:val="2BA9A3E9"/>
    <w:rsid w:val="2BAEAEAC"/>
    <w:rsid w:val="2BB62D02"/>
    <w:rsid w:val="2BCCEF18"/>
    <w:rsid w:val="2BF3F9E9"/>
    <w:rsid w:val="2C02017D"/>
    <w:rsid w:val="2C0D4074"/>
    <w:rsid w:val="2C1A9B5F"/>
    <w:rsid w:val="2C2EE3E8"/>
    <w:rsid w:val="2C516108"/>
    <w:rsid w:val="2C5B69FF"/>
    <w:rsid w:val="2C6EBC23"/>
    <w:rsid w:val="2C716C0E"/>
    <w:rsid w:val="2C7AD1A9"/>
    <w:rsid w:val="2C8D683D"/>
    <w:rsid w:val="2C8DC0C2"/>
    <w:rsid w:val="2CB3E5B5"/>
    <w:rsid w:val="2CD26AF4"/>
    <w:rsid w:val="2CE1F22D"/>
    <w:rsid w:val="2CE684F6"/>
    <w:rsid w:val="2D12D921"/>
    <w:rsid w:val="2D1DF493"/>
    <w:rsid w:val="2D1E035E"/>
    <w:rsid w:val="2D24B0DA"/>
    <w:rsid w:val="2D41FFB0"/>
    <w:rsid w:val="2D423492"/>
    <w:rsid w:val="2D6E77C8"/>
    <w:rsid w:val="2D792425"/>
    <w:rsid w:val="2DA14309"/>
    <w:rsid w:val="2DAB9BBC"/>
    <w:rsid w:val="2DB888DE"/>
    <w:rsid w:val="2DFCA3CF"/>
    <w:rsid w:val="2DFD74D9"/>
    <w:rsid w:val="2DFF4022"/>
    <w:rsid w:val="2E00ABE4"/>
    <w:rsid w:val="2E0D3C6F"/>
    <w:rsid w:val="2E2354E5"/>
    <w:rsid w:val="2E27DBF6"/>
    <w:rsid w:val="2E2883C2"/>
    <w:rsid w:val="2E3963EA"/>
    <w:rsid w:val="2E5F7DB9"/>
    <w:rsid w:val="2E6CC1AA"/>
    <w:rsid w:val="2E74A128"/>
    <w:rsid w:val="2E80204C"/>
    <w:rsid w:val="2E94E8D0"/>
    <w:rsid w:val="2E9B2FCB"/>
    <w:rsid w:val="2EA8D6BB"/>
    <w:rsid w:val="2EAE3B79"/>
    <w:rsid w:val="2EB2321C"/>
    <w:rsid w:val="2EC571FD"/>
    <w:rsid w:val="2EF7243F"/>
    <w:rsid w:val="2F01EB07"/>
    <w:rsid w:val="2F17CB2D"/>
    <w:rsid w:val="2F3ACD79"/>
    <w:rsid w:val="2F40E865"/>
    <w:rsid w:val="2F5F5E6A"/>
    <w:rsid w:val="2F66BC1E"/>
    <w:rsid w:val="2F7B70D3"/>
    <w:rsid w:val="2F7BEA6A"/>
    <w:rsid w:val="2F8F9653"/>
    <w:rsid w:val="2FA3DAE7"/>
    <w:rsid w:val="2FA4AD26"/>
    <w:rsid w:val="2FB115B3"/>
    <w:rsid w:val="2FBFBE4B"/>
    <w:rsid w:val="2FF4A4D0"/>
    <w:rsid w:val="2FF4BE3A"/>
    <w:rsid w:val="2FF772B2"/>
    <w:rsid w:val="302ABE07"/>
    <w:rsid w:val="302CF294"/>
    <w:rsid w:val="302CF4AF"/>
    <w:rsid w:val="303344DA"/>
    <w:rsid w:val="303A8BF1"/>
    <w:rsid w:val="3047CA09"/>
    <w:rsid w:val="305AF095"/>
    <w:rsid w:val="306ABCCE"/>
    <w:rsid w:val="307475B6"/>
    <w:rsid w:val="3092B906"/>
    <w:rsid w:val="3097E944"/>
    <w:rsid w:val="30B44A87"/>
    <w:rsid w:val="30B91971"/>
    <w:rsid w:val="30E6CCFC"/>
    <w:rsid w:val="30E96422"/>
    <w:rsid w:val="30EB1F53"/>
    <w:rsid w:val="31001509"/>
    <w:rsid w:val="312B66B4"/>
    <w:rsid w:val="31389A88"/>
    <w:rsid w:val="3145FDF6"/>
    <w:rsid w:val="315AD232"/>
    <w:rsid w:val="316E78D3"/>
    <w:rsid w:val="3177AA86"/>
    <w:rsid w:val="318365CA"/>
    <w:rsid w:val="318ABFDC"/>
    <w:rsid w:val="319B2C54"/>
    <w:rsid w:val="31AB3165"/>
    <w:rsid w:val="31B67A19"/>
    <w:rsid w:val="31BB2A1E"/>
    <w:rsid w:val="31C18F9B"/>
    <w:rsid w:val="31C63E0D"/>
    <w:rsid w:val="31D65C52"/>
    <w:rsid w:val="31DCC3C0"/>
    <w:rsid w:val="31E64D09"/>
    <w:rsid w:val="31F853BE"/>
    <w:rsid w:val="322426AC"/>
    <w:rsid w:val="327B1A05"/>
    <w:rsid w:val="3281FF41"/>
    <w:rsid w:val="3289582C"/>
    <w:rsid w:val="32A1F217"/>
    <w:rsid w:val="32A9D54B"/>
    <w:rsid w:val="32AA8970"/>
    <w:rsid w:val="32B8F9B0"/>
    <w:rsid w:val="32BC85E8"/>
    <w:rsid w:val="32F8612A"/>
    <w:rsid w:val="32FCA2CE"/>
    <w:rsid w:val="330AD2D7"/>
    <w:rsid w:val="331858AA"/>
    <w:rsid w:val="332A019F"/>
    <w:rsid w:val="3347E317"/>
    <w:rsid w:val="334B6AF9"/>
    <w:rsid w:val="33B66D69"/>
    <w:rsid w:val="33C45008"/>
    <w:rsid w:val="33CD61DB"/>
    <w:rsid w:val="33D4330B"/>
    <w:rsid w:val="33DA2D51"/>
    <w:rsid w:val="3416EA66"/>
    <w:rsid w:val="34278659"/>
    <w:rsid w:val="345BA81F"/>
    <w:rsid w:val="345CC34F"/>
    <w:rsid w:val="34711D64"/>
    <w:rsid w:val="3482A839"/>
    <w:rsid w:val="348CFB90"/>
    <w:rsid w:val="349A0197"/>
    <w:rsid w:val="34B0D6AC"/>
    <w:rsid w:val="3517DE22"/>
    <w:rsid w:val="351FC5C5"/>
    <w:rsid w:val="353F1D9E"/>
    <w:rsid w:val="3543B7B4"/>
    <w:rsid w:val="35569246"/>
    <w:rsid w:val="355E8E6B"/>
    <w:rsid w:val="35730A2B"/>
    <w:rsid w:val="358BB7C7"/>
    <w:rsid w:val="358DB15F"/>
    <w:rsid w:val="359089F8"/>
    <w:rsid w:val="3592445B"/>
    <w:rsid w:val="35969D80"/>
    <w:rsid w:val="359BE1E9"/>
    <w:rsid w:val="359D9FF5"/>
    <w:rsid w:val="35A926B6"/>
    <w:rsid w:val="35AA9031"/>
    <w:rsid w:val="35B2518E"/>
    <w:rsid w:val="35B60A82"/>
    <w:rsid w:val="35CF20FC"/>
    <w:rsid w:val="35DCB66A"/>
    <w:rsid w:val="35DEF209"/>
    <w:rsid w:val="35E42611"/>
    <w:rsid w:val="35FDAFE8"/>
    <w:rsid w:val="35FF1AA8"/>
    <w:rsid w:val="35FF96A4"/>
    <w:rsid w:val="36277CCD"/>
    <w:rsid w:val="3638825B"/>
    <w:rsid w:val="364CA70D"/>
    <w:rsid w:val="364E499C"/>
    <w:rsid w:val="364F7307"/>
    <w:rsid w:val="3659DC8C"/>
    <w:rsid w:val="365DFABE"/>
    <w:rsid w:val="3664E2B3"/>
    <w:rsid w:val="3666AAC4"/>
    <w:rsid w:val="366AE5BF"/>
    <w:rsid w:val="367AA5DA"/>
    <w:rsid w:val="367EA288"/>
    <w:rsid w:val="36979DAF"/>
    <w:rsid w:val="369EC324"/>
    <w:rsid w:val="36ADAADC"/>
    <w:rsid w:val="36B9DF0C"/>
    <w:rsid w:val="36BEE5B3"/>
    <w:rsid w:val="36C0228A"/>
    <w:rsid w:val="36CA4186"/>
    <w:rsid w:val="36CD5F1A"/>
    <w:rsid w:val="36E7687A"/>
    <w:rsid w:val="36E803CA"/>
    <w:rsid w:val="36F5A159"/>
    <w:rsid w:val="37001754"/>
    <w:rsid w:val="371A57C1"/>
    <w:rsid w:val="3726775B"/>
    <w:rsid w:val="3755508F"/>
    <w:rsid w:val="3763B73A"/>
    <w:rsid w:val="37764052"/>
    <w:rsid w:val="377B486A"/>
    <w:rsid w:val="377F2D30"/>
    <w:rsid w:val="378057EC"/>
    <w:rsid w:val="379348E1"/>
    <w:rsid w:val="37A34046"/>
    <w:rsid w:val="37AAFC0E"/>
    <w:rsid w:val="37BE0436"/>
    <w:rsid w:val="37CF28B8"/>
    <w:rsid w:val="37D68B60"/>
    <w:rsid w:val="37DEF93A"/>
    <w:rsid w:val="37E8776E"/>
    <w:rsid w:val="38514881"/>
    <w:rsid w:val="38636294"/>
    <w:rsid w:val="387C1C07"/>
    <w:rsid w:val="388ED10B"/>
    <w:rsid w:val="38923829"/>
    <w:rsid w:val="38AE38DD"/>
    <w:rsid w:val="38C40B36"/>
    <w:rsid w:val="38DB18C3"/>
    <w:rsid w:val="38E1D4CC"/>
    <w:rsid w:val="38F20863"/>
    <w:rsid w:val="38F47607"/>
    <w:rsid w:val="390EAF73"/>
    <w:rsid w:val="391A2815"/>
    <w:rsid w:val="39294568"/>
    <w:rsid w:val="392F1942"/>
    <w:rsid w:val="39438B91"/>
    <w:rsid w:val="3945B0C0"/>
    <w:rsid w:val="394C5467"/>
    <w:rsid w:val="3969FDD4"/>
    <w:rsid w:val="396D7FB0"/>
    <w:rsid w:val="3990DB51"/>
    <w:rsid w:val="39970012"/>
    <w:rsid w:val="399E20E3"/>
    <w:rsid w:val="39B11CC4"/>
    <w:rsid w:val="39B1AC56"/>
    <w:rsid w:val="39B5DEA5"/>
    <w:rsid w:val="39BFE624"/>
    <w:rsid w:val="39CB7249"/>
    <w:rsid w:val="39D07607"/>
    <w:rsid w:val="39D24547"/>
    <w:rsid w:val="39EAF6D7"/>
    <w:rsid w:val="39F21705"/>
    <w:rsid w:val="3A0EBF63"/>
    <w:rsid w:val="3A1023DF"/>
    <w:rsid w:val="3A162A93"/>
    <w:rsid w:val="3A20181C"/>
    <w:rsid w:val="3A30E868"/>
    <w:rsid w:val="3A35FCB6"/>
    <w:rsid w:val="3A3E5623"/>
    <w:rsid w:val="3A442B4F"/>
    <w:rsid w:val="3A4FD02C"/>
    <w:rsid w:val="3A533C99"/>
    <w:rsid w:val="3A5EC564"/>
    <w:rsid w:val="3A6E6E0E"/>
    <w:rsid w:val="3A6FD717"/>
    <w:rsid w:val="3A87966B"/>
    <w:rsid w:val="3A8B17CA"/>
    <w:rsid w:val="3AB6ACEE"/>
    <w:rsid w:val="3AC3F0E9"/>
    <w:rsid w:val="3AE0DD94"/>
    <w:rsid w:val="3AE51D92"/>
    <w:rsid w:val="3AFEFA45"/>
    <w:rsid w:val="3AFFC8D5"/>
    <w:rsid w:val="3B03F273"/>
    <w:rsid w:val="3B0CFC26"/>
    <w:rsid w:val="3B1910F7"/>
    <w:rsid w:val="3B2C02C2"/>
    <w:rsid w:val="3B5DA929"/>
    <w:rsid w:val="3B663F99"/>
    <w:rsid w:val="3B71AED1"/>
    <w:rsid w:val="3B7225C7"/>
    <w:rsid w:val="3B7A40D3"/>
    <w:rsid w:val="3B7C1BD5"/>
    <w:rsid w:val="3BA6E79E"/>
    <w:rsid w:val="3BCCB244"/>
    <w:rsid w:val="3BD0A9A1"/>
    <w:rsid w:val="3BF476AD"/>
    <w:rsid w:val="3BFE0217"/>
    <w:rsid w:val="3C002824"/>
    <w:rsid w:val="3C0657BF"/>
    <w:rsid w:val="3C10C174"/>
    <w:rsid w:val="3C3DAA05"/>
    <w:rsid w:val="3C417547"/>
    <w:rsid w:val="3C44EA56"/>
    <w:rsid w:val="3C5F557C"/>
    <w:rsid w:val="3C66BA04"/>
    <w:rsid w:val="3C6E195B"/>
    <w:rsid w:val="3C6FB51A"/>
    <w:rsid w:val="3C727979"/>
    <w:rsid w:val="3C7A6640"/>
    <w:rsid w:val="3C80EF7D"/>
    <w:rsid w:val="3C8F99FA"/>
    <w:rsid w:val="3C9E2B78"/>
    <w:rsid w:val="3CA87CE4"/>
    <w:rsid w:val="3CB12F34"/>
    <w:rsid w:val="3CC85DFA"/>
    <w:rsid w:val="3CCF6661"/>
    <w:rsid w:val="3CE0BFB6"/>
    <w:rsid w:val="3CF2C43E"/>
    <w:rsid w:val="3CFC219B"/>
    <w:rsid w:val="3D1199C4"/>
    <w:rsid w:val="3D48B3F1"/>
    <w:rsid w:val="3D565659"/>
    <w:rsid w:val="3D7070E8"/>
    <w:rsid w:val="3D8CC4D3"/>
    <w:rsid w:val="3DD8DB4F"/>
    <w:rsid w:val="3DF01F8E"/>
    <w:rsid w:val="3E01394A"/>
    <w:rsid w:val="3E204878"/>
    <w:rsid w:val="3E3D6EF7"/>
    <w:rsid w:val="3E6B36C2"/>
    <w:rsid w:val="3E867DDA"/>
    <w:rsid w:val="3E8D932D"/>
    <w:rsid w:val="3EA0BC53"/>
    <w:rsid w:val="3EA5600C"/>
    <w:rsid w:val="3EB182CB"/>
    <w:rsid w:val="3EB4EE02"/>
    <w:rsid w:val="3ECA5FD6"/>
    <w:rsid w:val="3ECB5BF5"/>
    <w:rsid w:val="3ED97A92"/>
    <w:rsid w:val="3EDC96CC"/>
    <w:rsid w:val="3EE48452"/>
    <w:rsid w:val="3F0ABFA7"/>
    <w:rsid w:val="3F1C1876"/>
    <w:rsid w:val="3F384457"/>
    <w:rsid w:val="3F486236"/>
    <w:rsid w:val="3F63B78B"/>
    <w:rsid w:val="3F77DF4E"/>
    <w:rsid w:val="3F806B61"/>
    <w:rsid w:val="3F812D90"/>
    <w:rsid w:val="3F82EF68"/>
    <w:rsid w:val="3F8C9A6F"/>
    <w:rsid w:val="3F8CC177"/>
    <w:rsid w:val="3FA3BBD1"/>
    <w:rsid w:val="3FAF2EA7"/>
    <w:rsid w:val="3FC72968"/>
    <w:rsid w:val="3FCF16EE"/>
    <w:rsid w:val="3FE275B8"/>
    <w:rsid w:val="3FE3038B"/>
    <w:rsid w:val="3FE7111E"/>
    <w:rsid w:val="3FEDB190"/>
    <w:rsid w:val="400A93FD"/>
    <w:rsid w:val="400DF25C"/>
    <w:rsid w:val="402F6AE6"/>
    <w:rsid w:val="4038CA63"/>
    <w:rsid w:val="403AF33C"/>
    <w:rsid w:val="40498CEF"/>
    <w:rsid w:val="4051F08A"/>
    <w:rsid w:val="4061E805"/>
    <w:rsid w:val="4062C4E2"/>
    <w:rsid w:val="40875449"/>
    <w:rsid w:val="409AB860"/>
    <w:rsid w:val="409B6A70"/>
    <w:rsid w:val="40A83010"/>
    <w:rsid w:val="40B008A3"/>
    <w:rsid w:val="40B79649"/>
    <w:rsid w:val="40B9D1D8"/>
    <w:rsid w:val="40C0129E"/>
    <w:rsid w:val="40D414B8"/>
    <w:rsid w:val="40D5BD1B"/>
    <w:rsid w:val="40E189B5"/>
    <w:rsid w:val="40E78252"/>
    <w:rsid w:val="40F41583"/>
    <w:rsid w:val="4107F5B0"/>
    <w:rsid w:val="4111E6DC"/>
    <w:rsid w:val="411C3BC2"/>
    <w:rsid w:val="413BA28F"/>
    <w:rsid w:val="414472AE"/>
    <w:rsid w:val="414F32F7"/>
    <w:rsid w:val="415C9EBA"/>
    <w:rsid w:val="416A9B9F"/>
    <w:rsid w:val="41765C1B"/>
    <w:rsid w:val="41A018F4"/>
    <w:rsid w:val="41AB7C21"/>
    <w:rsid w:val="41ACECAB"/>
    <w:rsid w:val="41AD8887"/>
    <w:rsid w:val="41CB9026"/>
    <w:rsid w:val="41DE1AFA"/>
    <w:rsid w:val="41E34B46"/>
    <w:rsid w:val="42009458"/>
    <w:rsid w:val="421FAF25"/>
    <w:rsid w:val="422C61B1"/>
    <w:rsid w:val="4239C15A"/>
    <w:rsid w:val="4245BFCF"/>
    <w:rsid w:val="426C947B"/>
    <w:rsid w:val="42747C08"/>
    <w:rsid w:val="428C4AC3"/>
    <w:rsid w:val="42A368DB"/>
    <w:rsid w:val="42A3C611"/>
    <w:rsid w:val="42C71AB2"/>
    <w:rsid w:val="42DC32F0"/>
    <w:rsid w:val="42E131B2"/>
    <w:rsid w:val="42E60A3D"/>
    <w:rsid w:val="42F2E527"/>
    <w:rsid w:val="4302E57A"/>
    <w:rsid w:val="431693D5"/>
    <w:rsid w:val="4317AC61"/>
    <w:rsid w:val="431A3386"/>
    <w:rsid w:val="43267F3A"/>
    <w:rsid w:val="433ED6AD"/>
    <w:rsid w:val="434018F5"/>
    <w:rsid w:val="434EECDA"/>
    <w:rsid w:val="4350002E"/>
    <w:rsid w:val="43530F25"/>
    <w:rsid w:val="436699ED"/>
    <w:rsid w:val="4374FD2F"/>
    <w:rsid w:val="438719D9"/>
    <w:rsid w:val="439D68BB"/>
    <w:rsid w:val="43A35161"/>
    <w:rsid w:val="43B57482"/>
    <w:rsid w:val="43B728B6"/>
    <w:rsid w:val="43BD4DE3"/>
    <w:rsid w:val="43D1A595"/>
    <w:rsid w:val="43DFE53D"/>
    <w:rsid w:val="43E87288"/>
    <w:rsid w:val="43F38DFB"/>
    <w:rsid w:val="4462EB13"/>
    <w:rsid w:val="44706D0E"/>
    <w:rsid w:val="4470D62F"/>
    <w:rsid w:val="44933882"/>
    <w:rsid w:val="44A339FF"/>
    <w:rsid w:val="44AC93ED"/>
    <w:rsid w:val="44AD6565"/>
    <w:rsid w:val="44B47079"/>
    <w:rsid w:val="44D9E3DF"/>
    <w:rsid w:val="44DEC7F0"/>
    <w:rsid w:val="44E06ABE"/>
    <w:rsid w:val="44E5EC72"/>
    <w:rsid w:val="44F98BD4"/>
    <w:rsid w:val="4516E95D"/>
    <w:rsid w:val="4529AA19"/>
    <w:rsid w:val="4541C75A"/>
    <w:rsid w:val="454E9CED"/>
    <w:rsid w:val="456718FF"/>
    <w:rsid w:val="456E5943"/>
    <w:rsid w:val="45795995"/>
    <w:rsid w:val="457C4618"/>
    <w:rsid w:val="4599C735"/>
    <w:rsid w:val="45A99E81"/>
    <w:rsid w:val="45C7F13D"/>
    <w:rsid w:val="45CA4912"/>
    <w:rsid w:val="45D9876F"/>
    <w:rsid w:val="45E2A8FB"/>
    <w:rsid w:val="45EF529D"/>
    <w:rsid w:val="45FAB68E"/>
    <w:rsid w:val="45FE5DA8"/>
    <w:rsid w:val="462F3980"/>
    <w:rsid w:val="463676A9"/>
    <w:rsid w:val="463CB85E"/>
    <w:rsid w:val="464D74C3"/>
    <w:rsid w:val="464DAA06"/>
    <w:rsid w:val="4663D2A4"/>
    <w:rsid w:val="467B9DF5"/>
    <w:rsid w:val="469C7EA9"/>
    <w:rsid w:val="469CAC0D"/>
    <w:rsid w:val="46B49575"/>
    <w:rsid w:val="46CE68F2"/>
    <w:rsid w:val="46D66DDA"/>
    <w:rsid w:val="46DE4E38"/>
    <w:rsid w:val="4709DF66"/>
    <w:rsid w:val="4711F374"/>
    <w:rsid w:val="474952EB"/>
    <w:rsid w:val="474F97A3"/>
    <w:rsid w:val="476471E2"/>
    <w:rsid w:val="476FEC33"/>
    <w:rsid w:val="4777B8AE"/>
    <w:rsid w:val="47A60A31"/>
    <w:rsid w:val="47B4A7FE"/>
    <w:rsid w:val="47CF2153"/>
    <w:rsid w:val="47D4542C"/>
    <w:rsid w:val="47DAB878"/>
    <w:rsid w:val="47DD03F1"/>
    <w:rsid w:val="4819CA39"/>
    <w:rsid w:val="482CA828"/>
    <w:rsid w:val="484A783B"/>
    <w:rsid w:val="484B06A0"/>
    <w:rsid w:val="488381C1"/>
    <w:rsid w:val="488E9F5F"/>
    <w:rsid w:val="4893E003"/>
    <w:rsid w:val="48A4DD15"/>
    <w:rsid w:val="48B9EA77"/>
    <w:rsid w:val="48C87235"/>
    <w:rsid w:val="48DF265A"/>
    <w:rsid w:val="48E5DBEE"/>
    <w:rsid w:val="48ED4447"/>
    <w:rsid w:val="48FE6C87"/>
    <w:rsid w:val="49046250"/>
    <w:rsid w:val="490803A0"/>
    <w:rsid w:val="490DB8C5"/>
    <w:rsid w:val="4911D16D"/>
    <w:rsid w:val="4914B7FB"/>
    <w:rsid w:val="491DD1BB"/>
    <w:rsid w:val="491E1F58"/>
    <w:rsid w:val="49218F7F"/>
    <w:rsid w:val="493A739C"/>
    <w:rsid w:val="493E3779"/>
    <w:rsid w:val="49487484"/>
    <w:rsid w:val="494F579D"/>
    <w:rsid w:val="496CF198"/>
    <w:rsid w:val="4992C888"/>
    <w:rsid w:val="49A6E682"/>
    <w:rsid w:val="49AE9078"/>
    <w:rsid w:val="49B9194F"/>
    <w:rsid w:val="49E57F95"/>
    <w:rsid w:val="49F2E514"/>
    <w:rsid w:val="49FCD7CE"/>
    <w:rsid w:val="49FE5CC4"/>
    <w:rsid w:val="49FEDDB5"/>
    <w:rsid w:val="4A1012C1"/>
    <w:rsid w:val="4A12790B"/>
    <w:rsid w:val="4A251FC1"/>
    <w:rsid w:val="4A4DC936"/>
    <w:rsid w:val="4A501BD8"/>
    <w:rsid w:val="4A581FDA"/>
    <w:rsid w:val="4A78D3A3"/>
    <w:rsid w:val="4A7AF6FE"/>
    <w:rsid w:val="4A8ED3BB"/>
    <w:rsid w:val="4AC49555"/>
    <w:rsid w:val="4AC82080"/>
    <w:rsid w:val="4ACEED16"/>
    <w:rsid w:val="4ADE89F0"/>
    <w:rsid w:val="4ADEE1BF"/>
    <w:rsid w:val="4AE9060A"/>
    <w:rsid w:val="4AF0A490"/>
    <w:rsid w:val="4AFEEEE4"/>
    <w:rsid w:val="4B053E25"/>
    <w:rsid w:val="4B177C19"/>
    <w:rsid w:val="4B1F495F"/>
    <w:rsid w:val="4B2AF1CE"/>
    <w:rsid w:val="4B2CA4E7"/>
    <w:rsid w:val="4B564BBB"/>
    <w:rsid w:val="4B5C16DE"/>
    <w:rsid w:val="4B7063F8"/>
    <w:rsid w:val="4B73C53B"/>
    <w:rsid w:val="4B75280F"/>
    <w:rsid w:val="4B85D78F"/>
    <w:rsid w:val="4B8ED2C6"/>
    <w:rsid w:val="4B9D3FBA"/>
    <w:rsid w:val="4B9E8DC0"/>
    <w:rsid w:val="4BB47175"/>
    <w:rsid w:val="4BC72C75"/>
    <w:rsid w:val="4BC9F941"/>
    <w:rsid w:val="4BCB8C41"/>
    <w:rsid w:val="4BDFEFF9"/>
    <w:rsid w:val="4BE3C0CF"/>
    <w:rsid w:val="4BEB755F"/>
    <w:rsid w:val="4BFBED76"/>
    <w:rsid w:val="4C04C345"/>
    <w:rsid w:val="4C103F42"/>
    <w:rsid w:val="4C14A404"/>
    <w:rsid w:val="4C16C71C"/>
    <w:rsid w:val="4C42D20B"/>
    <w:rsid w:val="4C4DD5EC"/>
    <w:rsid w:val="4C6065B6"/>
    <w:rsid w:val="4C61F49E"/>
    <w:rsid w:val="4C781F9F"/>
    <w:rsid w:val="4C8142E7"/>
    <w:rsid w:val="4C8DF617"/>
    <w:rsid w:val="4C9ABF45"/>
    <w:rsid w:val="4CEB6B5B"/>
    <w:rsid w:val="4D07063A"/>
    <w:rsid w:val="4D07515C"/>
    <w:rsid w:val="4D0D52CF"/>
    <w:rsid w:val="4D236E83"/>
    <w:rsid w:val="4D2CA06C"/>
    <w:rsid w:val="4D31C719"/>
    <w:rsid w:val="4D3420C9"/>
    <w:rsid w:val="4D3CA93A"/>
    <w:rsid w:val="4D3E19FE"/>
    <w:rsid w:val="4D5128B9"/>
    <w:rsid w:val="4D95B3E7"/>
    <w:rsid w:val="4D97BDD7"/>
    <w:rsid w:val="4DB5983A"/>
    <w:rsid w:val="4DBAB6D9"/>
    <w:rsid w:val="4DCA8C9E"/>
    <w:rsid w:val="4DE64F0F"/>
    <w:rsid w:val="4DE9792B"/>
    <w:rsid w:val="4E161C8B"/>
    <w:rsid w:val="4E168281"/>
    <w:rsid w:val="4E3209F3"/>
    <w:rsid w:val="4E44921C"/>
    <w:rsid w:val="4E47D6B8"/>
    <w:rsid w:val="4E534F1F"/>
    <w:rsid w:val="4E666BEB"/>
    <w:rsid w:val="4E6867E3"/>
    <w:rsid w:val="4E6E35E9"/>
    <w:rsid w:val="4E6FED10"/>
    <w:rsid w:val="4E76ADE0"/>
    <w:rsid w:val="4E870D49"/>
    <w:rsid w:val="4E8976DA"/>
    <w:rsid w:val="4E8E4155"/>
    <w:rsid w:val="4E91D4B8"/>
    <w:rsid w:val="4E944385"/>
    <w:rsid w:val="4EBA4104"/>
    <w:rsid w:val="4EE38FBD"/>
    <w:rsid w:val="4EF0BE7E"/>
    <w:rsid w:val="4F0C1E9E"/>
    <w:rsid w:val="4F0CF08F"/>
    <w:rsid w:val="4F159D27"/>
    <w:rsid w:val="4F240D19"/>
    <w:rsid w:val="4F2B85B7"/>
    <w:rsid w:val="4F2E01D2"/>
    <w:rsid w:val="4F318448"/>
    <w:rsid w:val="4F344CAB"/>
    <w:rsid w:val="4F4E7CA8"/>
    <w:rsid w:val="4F4FBE0F"/>
    <w:rsid w:val="4F53B2C3"/>
    <w:rsid w:val="4F698EA1"/>
    <w:rsid w:val="4F7E357A"/>
    <w:rsid w:val="4F80231D"/>
    <w:rsid w:val="4F8AB185"/>
    <w:rsid w:val="4F8C08FD"/>
    <w:rsid w:val="4F9A4F39"/>
    <w:rsid w:val="4FA76C7E"/>
    <w:rsid w:val="4FB252E2"/>
    <w:rsid w:val="4FC15422"/>
    <w:rsid w:val="4FC40A69"/>
    <w:rsid w:val="4FD70973"/>
    <w:rsid w:val="4FE0BC0D"/>
    <w:rsid w:val="4FF62D28"/>
    <w:rsid w:val="50018329"/>
    <w:rsid w:val="501A2AFD"/>
    <w:rsid w:val="5022AED4"/>
    <w:rsid w:val="502E721B"/>
    <w:rsid w:val="503D23BC"/>
    <w:rsid w:val="5040ABE4"/>
    <w:rsid w:val="5042FE07"/>
    <w:rsid w:val="504A5B6D"/>
    <w:rsid w:val="505EA5AA"/>
    <w:rsid w:val="506B9197"/>
    <w:rsid w:val="508C4923"/>
    <w:rsid w:val="509E845F"/>
    <w:rsid w:val="509F7B88"/>
    <w:rsid w:val="50A01BB0"/>
    <w:rsid w:val="50AAAC64"/>
    <w:rsid w:val="50C33E48"/>
    <w:rsid w:val="50CDDAFD"/>
    <w:rsid w:val="510B9661"/>
    <w:rsid w:val="51391E64"/>
    <w:rsid w:val="514B11B7"/>
    <w:rsid w:val="514C8D42"/>
    <w:rsid w:val="514E2343"/>
    <w:rsid w:val="51560AF9"/>
    <w:rsid w:val="51594993"/>
    <w:rsid w:val="517EF72B"/>
    <w:rsid w:val="518747C3"/>
    <w:rsid w:val="518DF2DD"/>
    <w:rsid w:val="5197F982"/>
    <w:rsid w:val="519D538A"/>
    <w:rsid w:val="51D4F0F7"/>
    <w:rsid w:val="51DACF8B"/>
    <w:rsid w:val="51E29264"/>
    <w:rsid w:val="51E40B48"/>
    <w:rsid w:val="51F4683C"/>
    <w:rsid w:val="51F560A1"/>
    <w:rsid w:val="52140922"/>
    <w:rsid w:val="521E8E71"/>
    <w:rsid w:val="52273811"/>
    <w:rsid w:val="522BA643"/>
    <w:rsid w:val="522C4376"/>
    <w:rsid w:val="52350EC1"/>
    <w:rsid w:val="5241B216"/>
    <w:rsid w:val="525A1218"/>
    <w:rsid w:val="5262C1D2"/>
    <w:rsid w:val="5273BC8C"/>
    <w:rsid w:val="52801814"/>
    <w:rsid w:val="528ED78B"/>
    <w:rsid w:val="528FAF7D"/>
    <w:rsid w:val="528FDD8F"/>
    <w:rsid w:val="529395E4"/>
    <w:rsid w:val="52A04923"/>
    <w:rsid w:val="52B67ED1"/>
    <w:rsid w:val="52CE62D4"/>
    <w:rsid w:val="52D1EFFB"/>
    <w:rsid w:val="52D3E058"/>
    <w:rsid w:val="52EC4CB0"/>
    <w:rsid w:val="52FDB28D"/>
    <w:rsid w:val="52FE9814"/>
    <w:rsid w:val="53044A95"/>
    <w:rsid w:val="533D4887"/>
    <w:rsid w:val="53629586"/>
    <w:rsid w:val="536CA888"/>
    <w:rsid w:val="5370C158"/>
    <w:rsid w:val="53851CF8"/>
    <w:rsid w:val="538E2813"/>
    <w:rsid w:val="53A2F900"/>
    <w:rsid w:val="53E3B962"/>
    <w:rsid w:val="53EA2A2D"/>
    <w:rsid w:val="53F8B8E1"/>
    <w:rsid w:val="53FC5A05"/>
    <w:rsid w:val="5408B0E7"/>
    <w:rsid w:val="540C532D"/>
    <w:rsid w:val="540C8C82"/>
    <w:rsid w:val="540D4676"/>
    <w:rsid w:val="5414DF49"/>
    <w:rsid w:val="54291DF4"/>
    <w:rsid w:val="542F6645"/>
    <w:rsid w:val="54492067"/>
    <w:rsid w:val="544FA239"/>
    <w:rsid w:val="5454A4F6"/>
    <w:rsid w:val="54594F73"/>
    <w:rsid w:val="5461BB3F"/>
    <w:rsid w:val="54631C33"/>
    <w:rsid w:val="547D458C"/>
    <w:rsid w:val="548106FB"/>
    <w:rsid w:val="5484C291"/>
    <w:rsid w:val="54AA16CF"/>
    <w:rsid w:val="54ABCD01"/>
    <w:rsid w:val="54ADFC86"/>
    <w:rsid w:val="54B7B8C2"/>
    <w:rsid w:val="54CAC1CB"/>
    <w:rsid w:val="54DB0452"/>
    <w:rsid w:val="54E09F7D"/>
    <w:rsid w:val="54FA72A8"/>
    <w:rsid w:val="551590E7"/>
    <w:rsid w:val="55196401"/>
    <w:rsid w:val="5526F71D"/>
    <w:rsid w:val="5542C0DF"/>
    <w:rsid w:val="55466122"/>
    <w:rsid w:val="5558AEC9"/>
    <w:rsid w:val="5563EFB5"/>
    <w:rsid w:val="5566E695"/>
    <w:rsid w:val="556E1474"/>
    <w:rsid w:val="5594EB34"/>
    <w:rsid w:val="55B29064"/>
    <w:rsid w:val="55B7B8EF"/>
    <w:rsid w:val="55BAA4B6"/>
    <w:rsid w:val="55BBE37D"/>
    <w:rsid w:val="55E54B54"/>
    <w:rsid w:val="55F13674"/>
    <w:rsid w:val="55F4E6C3"/>
    <w:rsid w:val="56014101"/>
    <w:rsid w:val="562065B6"/>
    <w:rsid w:val="5654C0D3"/>
    <w:rsid w:val="56638F9D"/>
    <w:rsid w:val="5672AD11"/>
    <w:rsid w:val="5677330A"/>
    <w:rsid w:val="569747A5"/>
    <w:rsid w:val="56A49819"/>
    <w:rsid w:val="56B14821"/>
    <w:rsid w:val="56B16148"/>
    <w:rsid w:val="56B67510"/>
    <w:rsid w:val="56C4A185"/>
    <w:rsid w:val="56CED193"/>
    <w:rsid w:val="56D34211"/>
    <w:rsid w:val="56DEF0D6"/>
    <w:rsid w:val="56E59BF9"/>
    <w:rsid w:val="56F726F9"/>
    <w:rsid w:val="56FD49C2"/>
    <w:rsid w:val="56FDA78F"/>
    <w:rsid w:val="56FF3438"/>
    <w:rsid w:val="57020B79"/>
    <w:rsid w:val="5724C40F"/>
    <w:rsid w:val="5735E5D2"/>
    <w:rsid w:val="57381E9C"/>
    <w:rsid w:val="5741F350"/>
    <w:rsid w:val="574AE93F"/>
    <w:rsid w:val="579893E8"/>
    <w:rsid w:val="579F4AA3"/>
    <w:rsid w:val="57A8524C"/>
    <w:rsid w:val="57B0C1E9"/>
    <w:rsid w:val="57B9103E"/>
    <w:rsid w:val="57BE833E"/>
    <w:rsid w:val="57D2A595"/>
    <w:rsid w:val="58041D8F"/>
    <w:rsid w:val="5818E567"/>
    <w:rsid w:val="582B5009"/>
    <w:rsid w:val="58341459"/>
    <w:rsid w:val="583507B6"/>
    <w:rsid w:val="58462A8C"/>
    <w:rsid w:val="5847F405"/>
    <w:rsid w:val="584AED66"/>
    <w:rsid w:val="585D8D77"/>
    <w:rsid w:val="58640827"/>
    <w:rsid w:val="588CD018"/>
    <w:rsid w:val="58904F8B"/>
    <w:rsid w:val="58BBAA58"/>
    <w:rsid w:val="5902D768"/>
    <w:rsid w:val="590D886B"/>
    <w:rsid w:val="592CCFC0"/>
    <w:rsid w:val="593F3B16"/>
    <w:rsid w:val="59462F5C"/>
    <w:rsid w:val="59505D67"/>
    <w:rsid w:val="595519A8"/>
    <w:rsid w:val="59588105"/>
    <w:rsid w:val="5971989D"/>
    <w:rsid w:val="5990F9CE"/>
    <w:rsid w:val="59B86D9C"/>
    <w:rsid w:val="59C9A055"/>
    <w:rsid w:val="59E002DC"/>
    <w:rsid w:val="59E22CF5"/>
    <w:rsid w:val="59E46E38"/>
    <w:rsid w:val="59FC11FB"/>
    <w:rsid w:val="5A2530B9"/>
    <w:rsid w:val="5A33DC06"/>
    <w:rsid w:val="5A35F6F3"/>
    <w:rsid w:val="5A40C51C"/>
    <w:rsid w:val="5A5EAD6A"/>
    <w:rsid w:val="5A6BFD32"/>
    <w:rsid w:val="5A91F5E1"/>
    <w:rsid w:val="5A921055"/>
    <w:rsid w:val="5ADC2F43"/>
    <w:rsid w:val="5AE34FB3"/>
    <w:rsid w:val="5AF54472"/>
    <w:rsid w:val="5AFCEACC"/>
    <w:rsid w:val="5B0C5FC9"/>
    <w:rsid w:val="5B194584"/>
    <w:rsid w:val="5B3BBEAE"/>
    <w:rsid w:val="5B3E46F2"/>
    <w:rsid w:val="5B60042F"/>
    <w:rsid w:val="5B84120B"/>
    <w:rsid w:val="5B8F3D09"/>
    <w:rsid w:val="5B9CE4F6"/>
    <w:rsid w:val="5B9FB9C7"/>
    <w:rsid w:val="5BA04282"/>
    <w:rsid w:val="5BC002C7"/>
    <w:rsid w:val="5BC7AF96"/>
    <w:rsid w:val="5BCBCBED"/>
    <w:rsid w:val="5BCC057C"/>
    <w:rsid w:val="5BF7D1C9"/>
    <w:rsid w:val="5C00E65C"/>
    <w:rsid w:val="5C0C261D"/>
    <w:rsid w:val="5C0C6642"/>
    <w:rsid w:val="5C0FCADA"/>
    <w:rsid w:val="5C2BC5D2"/>
    <w:rsid w:val="5C2E502B"/>
    <w:rsid w:val="5C4281D0"/>
    <w:rsid w:val="5C72F083"/>
    <w:rsid w:val="5C9DF276"/>
    <w:rsid w:val="5CA6D80E"/>
    <w:rsid w:val="5CBC3F25"/>
    <w:rsid w:val="5CC58EC0"/>
    <w:rsid w:val="5CC772C6"/>
    <w:rsid w:val="5CD0C2B6"/>
    <w:rsid w:val="5CD15DE4"/>
    <w:rsid w:val="5CD34C8F"/>
    <w:rsid w:val="5CDA1753"/>
    <w:rsid w:val="5D076BA4"/>
    <w:rsid w:val="5D09AB67"/>
    <w:rsid w:val="5D11C2EC"/>
    <w:rsid w:val="5D1802B1"/>
    <w:rsid w:val="5D315512"/>
    <w:rsid w:val="5D3AE679"/>
    <w:rsid w:val="5D42E167"/>
    <w:rsid w:val="5D5746C9"/>
    <w:rsid w:val="5D67D5DD"/>
    <w:rsid w:val="5D726D08"/>
    <w:rsid w:val="5D8A529C"/>
    <w:rsid w:val="5D983559"/>
    <w:rsid w:val="5DA3DB1C"/>
    <w:rsid w:val="5DBC49C9"/>
    <w:rsid w:val="5DC74C96"/>
    <w:rsid w:val="5DE8D7D1"/>
    <w:rsid w:val="5E03790B"/>
    <w:rsid w:val="5E044625"/>
    <w:rsid w:val="5E346298"/>
    <w:rsid w:val="5E350961"/>
    <w:rsid w:val="5E48165D"/>
    <w:rsid w:val="5E5AA9ED"/>
    <w:rsid w:val="5E60A2F6"/>
    <w:rsid w:val="5E7979E6"/>
    <w:rsid w:val="5EA4FB50"/>
    <w:rsid w:val="5EB7813B"/>
    <w:rsid w:val="5EC51928"/>
    <w:rsid w:val="5EF04432"/>
    <w:rsid w:val="5EF18F18"/>
    <w:rsid w:val="5EF2EC09"/>
    <w:rsid w:val="5EF3667C"/>
    <w:rsid w:val="5EF961A5"/>
    <w:rsid w:val="5F03B241"/>
    <w:rsid w:val="5F1CD71B"/>
    <w:rsid w:val="5F27F4D2"/>
    <w:rsid w:val="5F33AAF6"/>
    <w:rsid w:val="5F35FC34"/>
    <w:rsid w:val="5F47AF33"/>
    <w:rsid w:val="5F4CAF0E"/>
    <w:rsid w:val="5F66815A"/>
    <w:rsid w:val="5F78874E"/>
    <w:rsid w:val="5F9435B3"/>
    <w:rsid w:val="5F97F257"/>
    <w:rsid w:val="5F9CED50"/>
    <w:rsid w:val="5F9D1242"/>
    <w:rsid w:val="5FB06204"/>
    <w:rsid w:val="5FBBE812"/>
    <w:rsid w:val="5FC19A1E"/>
    <w:rsid w:val="5FC34669"/>
    <w:rsid w:val="5FD4FF28"/>
    <w:rsid w:val="5FDDB77A"/>
    <w:rsid w:val="5FF622F8"/>
    <w:rsid w:val="6006F2FF"/>
    <w:rsid w:val="603902FA"/>
    <w:rsid w:val="605B8096"/>
    <w:rsid w:val="60636E10"/>
    <w:rsid w:val="60637F54"/>
    <w:rsid w:val="60708664"/>
    <w:rsid w:val="6072873B"/>
    <w:rsid w:val="60995440"/>
    <w:rsid w:val="60A44736"/>
    <w:rsid w:val="60B8A77C"/>
    <w:rsid w:val="60DBDE3E"/>
    <w:rsid w:val="60DEAB0A"/>
    <w:rsid w:val="60EBFEED"/>
    <w:rsid w:val="60EE9961"/>
    <w:rsid w:val="60EECAA1"/>
    <w:rsid w:val="60FF71F3"/>
    <w:rsid w:val="61133E9B"/>
    <w:rsid w:val="612569F7"/>
    <w:rsid w:val="61384F77"/>
    <w:rsid w:val="614D6B7D"/>
    <w:rsid w:val="6155E746"/>
    <w:rsid w:val="61600C89"/>
    <w:rsid w:val="61630995"/>
    <w:rsid w:val="616C3493"/>
    <w:rsid w:val="617CE7F8"/>
    <w:rsid w:val="617F129B"/>
    <w:rsid w:val="61810BEE"/>
    <w:rsid w:val="61993A68"/>
    <w:rsid w:val="61A7D01F"/>
    <w:rsid w:val="61AD769D"/>
    <w:rsid w:val="61ADC91A"/>
    <w:rsid w:val="61BEABFD"/>
    <w:rsid w:val="61CEF72B"/>
    <w:rsid w:val="61D91BF7"/>
    <w:rsid w:val="61E8AF28"/>
    <w:rsid w:val="61EE1795"/>
    <w:rsid w:val="61F2F8BB"/>
    <w:rsid w:val="61F6F283"/>
    <w:rsid w:val="61FC1288"/>
    <w:rsid w:val="6205EF41"/>
    <w:rsid w:val="621E7BF3"/>
    <w:rsid w:val="6223608F"/>
    <w:rsid w:val="6252E446"/>
    <w:rsid w:val="625D2A4B"/>
    <w:rsid w:val="62689486"/>
    <w:rsid w:val="6275086D"/>
    <w:rsid w:val="62877FCD"/>
    <w:rsid w:val="628C9AE3"/>
    <w:rsid w:val="6290148B"/>
    <w:rsid w:val="629B4026"/>
    <w:rsid w:val="62BA770C"/>
    <w:rsid w:val="62E36A6F"/>
    <w:rsid w:val="62F45036"/>
    <w:rsid w:val="63013A39"/>
    <w:rsid w:val="63349672"/>
    <w:rsid w:val="6365F711"/>
    <w:rsid w:val="63688460"/>
    <w:rsid w:val="6376C700"/>
    <w:rsid w:val="63773F31"/>
    <w:rsid w:val="637CC036"/>
    <w:rsid w:val="638666ED"/>
    <w:rsid w:val="6388AE54"/>
    <w:rsid w:val="6388FA57"/>
    <w:rsid w:val="63917FDE"/>
    <w:rsid w:val="63AAA8EE"/>
    <w:rsid w:val="63BD5B5C"/>
    <w:rsid w:val="63D039BF"/>
    <w:rsid w:val="63D72364"/>
    <w:rsid w:val="63DBDE4A"/>
    <w:rsid w:val="63DC5C5B"/>
    <w:rsid w:val="63E3F8AF"/>
    <w:rsid w:val="63F0483E"/>
    <w:rsid w:val="64135743"/>
    <w:rsid w:val="6419B6CD"/>
    <w:rsid w:val="642833BF"/>
    <w:rsid w:val="646433DE"/>
    <w:rsid w:val="6489B7B0"/>
    <w:rsid w:val="64A87A19"/>
    <w:rsid w:val="64AD4BD6"/>
    <w:rsid w:val="64BED79F"/>
    <w:rsid w:val="64D4CE8A"/>
    <w:rsid w:val="64D6BC81"/>
    <w:rsid w:val="64EEBFF2"/>
    <w:rsid w:val="64F0F44A"/>
    <w:rsid w:val="64F96F04"/>
    <w:rsid w:val="64FA05FD"/>
    <w:rsid w:val="65166F83"/>
    <w:rsid w:val="652B78CA"/>
    <w:rsid w:val="653CFF5C"/>
    <w:rsid w:val="655F7D9C"/>
    <w:rsid w:val="65F49945"/>
    <w:rsid w:val="65FCDC88"/>
    <w:rsid w:val="660010CA"/>
    <w:rsid w:val="66013DB6"/>
    <w:rsid w:val="662393CD"/>
    <w:rsid w:val="66276718"/>
    <w:rsid w:val="662D3EBD"/>
    <w:rsid w:val="6630B5F3"/>
    <w:rsid w:val="663E4215"/>
    <w:rsid w:val="666F43BE"/>
    <w:rsid w:val="66A089B8"/>
    <w:rsid w:val="66A58428"/>
    <w:rsid w:val="66BB2902"/>
    <w:rsid w:val="66CCF47F"/>
    <w:rsid w:val="66D97E98"/>
    <w:rsid w:val="66E5586D"/>
    <w:rsid w:val="66E84D2D"/>
    <w:rsid w:val="67022BC4"/>
    <w:rsid w:val="67035399"/>
    <w:rsid w:val="670EC426"/>
    <w:rsid w:val="6711F224"/>
    <w:rsid w:val="672A16A4"/>
    <w:rsid w:val="672B1E33"/>
    <w:rsid w:val="6754A8EC"/>
    <w:rsid w:val="678AE6B0"/>
    <w:rsid w:val="67970B2E"/>
    <w:rsid w:val="679F2CE0"/>
    <w:rsid w:val="67AA3490"/>
    <w:rsid w:val="67D0B0C1"/>
    <w:rsid w:val="67E8C95F"/>
    <w:rsid w:val="67FFA171"/>
    <w:rsid w:val="68064645"/>
    <w:rsid w:val="6807BBE7"/>
    <w:rsid w:val="6816AA90"/>
    <w:rsid w:val="683232FF"/>
    <w:rsid w:val="685BBA7D"/>
    <w:rsid w:val="6864F101"/>
    <w:rsid w:val="686A72FE"/>
    <w:rsid w:val="686EF540"/>
    <w:rsid w:val="68943ADE"/>
    <w:rsid w:val="689C8621"/>
    <w:rsid w:val="68A50CAE"/>
    <w:rsid w:val="68A9661D"/>
    <w:rsid w:val="68D940CD"/>
    <w:rsid w:val="68E6CC6F"/>
    <w:rsid w:val="68E99704"/>
    <w:rsid w:val="68F4B61F"/>
    <w:rsid w:val="690D6AE8"/>
    <w:rsid w:val="693ACF6F"/>
    <w:rsid w:val="693EF889"/>
    <w:rsid w:val="69584684"/>
    <w:rsid w:val="695B1650"/>
    <w:rsid w:val="6971DD04"/>
    <w:rsid w:val="6994EE23"/>
    <w:rsid w:val="69C5C6A2"/>
    <w:rsid w:val="69D0E956"/>
    <w:rsid w:val="69DE49AC"/>
    <w:rsid w:val="69F52885"/>
    <w:rsid w:val="69F626A6"/>
    <w:rsid w:val="69F76EF9"/>
    <w:rsid w:val="6A04C0D7"/>
    <w:rsid w:val="6A4C7757"/>
    <w:rsid w:val="6A5F0065"/>
    <w:rsid w:val="6A6A00AD"/>
    <w:rsid w:val="6A7BBD67"/>
    <w:rsid w:val="6A824F03"/>
    <w:rsid w:val="6A86F390"/>
    <w:rsid w:val="6AA74EB1"/>
    <w:rsid w:val="6AC90485"/>
    <w:rsid w:val="6AD14046"/>
    <w:rsid w:val="6AD15CD7"/>
    <w:rsid w:val="6ADE188C"/>
    <w:rsid w:val="6AE05001"/>
    <w:rsid w:val="6AF3917F"/>
    <w:rsid w:val="6B055EBB"/>
    <w:rsid w:val="6B0CA099"/>
    <w:rsid w:val="6B111C51"/>
    <w:rsid w:val="6B12FC0A"/>
    <w:rsid w:val="6B137BF4"/>
    <w:rsid w:val="6B20EB72"/>
    <w:rsid w:val="6B2F7546"/>
    <w:rsid w:val="6B3518B9"/>
    <w:rsid w:val="6B470A4C"/>
    <w:rsid w:val="6B575468"/>
    <w:rsid w:val="6B57B9F1"/>
    <w:rsid w:val="6B58D52A"/>
    <w:rsid w:val="6B59CCBA"/>
    <w:rsid w:val="6B5F58ED"/>
    <w:rsid w:val="6B751810"/>
    <w:rsid w:val="6B906A88"/>
    <w:rsid w:val="6BA343A7"/>
    <w:rsid w:val="6BC5C139"/>
    <w:rsid w:val="6BC6604E"/>
    <w:rsid w:val="6BC90CEC"/>
    <w:rsid w:val="6BD48E1A"/>
    <w:rsid w:val="6C01C592"/>
    <w:rsid w:val="6C34F430"/>
    <w:rsid w:val="6C49D0AB"/>
    <w:rsid w:val="6C51A728"/>
    <w:rsid w:val="6C568725"/>
    <w:rsid w:val="6C56A42B"/>
    <w:rsid w:val="6C58E06A"/>
    <w:rsid w:val="6C63F7C8"/>
    <w:rsid w:val="6C6DD064"/>
    <w:rsid w:val="6C7D6D2E"/>
    <w:rsid w:val="6C7DCC74"/>
    <w:rsid w:val="6CA68685"/>
    <w:rsid w:val="6CB24368"/>
    <w:rsid w:val="6CC8B3C1"/>
    <w:rsid w:val="6CDAA72D"/>
    <w:rsid w:val="6D05ADE5"/>
    <w:rsid w:val="6D0C5DA8"/>
    <w:rsid w:val="6D3CDA5D"/>
    <w:rsid w:val="6D3EDC62"/>
    <w:rsid w:val="6D5C1E7C"/>
    <w:rsid w:val="6D5C9A1D"/>
    <w:rsid w:val="6D6E8911"/>
    <w:rsid w:val="6D8FDB63"/>
    <w:rsid w:val="6D929A4B"/>
    <w:rsid w:val="6DB47BDD"/>
    <w:rsid w:val="6DCAE12F"/>
    <w:rsid w:val="6DEBEDC2"/>
    <w:rsid w:val="6DED8F1B"/>
    <w:rsid w:val="6E3FF67B"/>
    <w:rsid w:val="6E50B765"/>
    <w:rsid w:val="6E6276EF"/>
    <w:rsid w:val="6E64860F"/>
    <w:rsid w:val="6E7DE408"/>
    <w:rsid w:val="6E8C307F"/>
    <w:rsid w:val="6E970862"/>
    <w:rsid w:val="6EA351FA"/>
    <w:rsid w:val="6EA9348C"/>
    <w:rsid w:val="6EABE58D"/>
    <w:rsid w:val="6EBF7CAE"/>
    <w:rsid w:val="6ED91EE6"/>
    <w:rsid w:val="6EECDAA4"/>
    <w:rsid w:val="6F0BBAC2"/>
    <w:rsid w:val="6F0D9957"/>
    <w:rsid w:val="6F217DFF"/>
    <w:rsid w:val="6F327188"/>
    <w:rsid w:val="6F414BCD"/>
    <w:rsid w:val="6F439219"/>
    <w:rsid w:val="6F6870DC"/>
    <w:rsid w:val="6F6B3683"/>
    <w:rsid w:val="6F7006DB"/>
    <w:rsid w:val="6F7F6360"/>
    <w:rsid w:val="6F905904"/>
    <w:rsid w:val="6F9EB499"/>
    <w:rsid w:val="6FC97242"/>
    <w:rsid w:val="6FCF9F70"/>
    <w:rsid w:val="6FD7F775"/>
    <w:rsid w:val="6FEDB518"/>
    <w:rsid w:val="701363F5"/>
    <w:rsid w:val="70230609"/>
    <w:rsid w:val="7033F0B4"/>
    <w:rsid w:val="70374A83"/>
    <w:rsid w:val="7066D2AB"/>
    <w:rsid w:val="70772236"/>
    <w:rsid w:val="708422EE"/>
    <w:rsid w:val="7087AE53"/>
    <w:rsid w:val="70A2E786"/>
    <w:rsid w:val="70A3D638"/>
    <w:rsid w:val="70A4C720"/>
    <w:rsid w:val="70A6D40D"/>
    <w:rsid w:val="70A92EAC"/>
    <w:rsid w:val="70D22436"/>
    <w:rsid w:val="70DA5027"/>
    <w:rsid w:val="70DBCF1F"/>
    <w:rsid w:val="70EC1C9F"/>
    <w:rsid w:val="70F495C8"/>
    <w:rsid w:val="70F5B319"/>
    <w:rsid w:val="70F72018"/>
    <w:rsid w:val="710BD73C"/>
    <w:rsid w:val="71106287"/>
    <w:rsid w:val="7114CCF5"/>
    <w:rsid w:val="7115C896"/>
    <w:rsid w:val="71169D52"/>
    <w:rsid w:val="712CC259"/>
    <w:rsid w:val="71314FEB"/>
    <w:rsid w:val="714C2BB1"/>
    <w:rsid w:val="7150DD69"/>
    <w:rsid w:val="7157658A"/>
    <w:rsid w:val="716C84FF"/>
    <w:rsid w:val="7176FA9C"/>
    <w:rsid w:val="717C3684"/>
    <w:rsid w:val="71A6C2F4"/>
    <w:rsid w:val="71AAF95E"/>
    <w:rsid w:val="71AD2FA6"/>
    <w:rsid w:val="71AF7837"/>
    <w:rsid w:val="71B7BE98"/>
    <w:rsid w:val="71BEBEAA"/>
    <w:rsid w:val="7223FD5F"/>
    <w:rsid w:val="726A463B"/>
    <w:rsid w:val="7282F5A1"/>
    <w:rsid w:val="7294C4D9"/>
    <w:rsid w:val="72959E90"/>
    <w:rsid w:val="729E41FD"/>
    <w:rsid w:val="72BE1392"/>
    <w:rsid w:val="72CD204C"/>
    <w:rsid w:val="72D5A8DD"/>
    <w:rsid w:val="72D615F9"/>
    <w:rsid w:val="72D8AB82"/>
    <w:rsid w:val="72EDC0C3"/>
    <w:rsid w:val="72FDD79F"/>
    <w:rsid w:val="7303DC54"/>
    <w:rsid w:val="730EBC5F"/>
    <w:rsid w:val="731A0D3E"/>
    <w:rsid w:val="731A176E"/>
    <w:rsid w:val="73217B6D"/>
    <w:rsid w:val="73235725"/>
    <w:rsid w:val="73251F69"/>
    <w:rsid w:val="732F322F"/>
    <w:rsid w:val="733896D0"/>
    <w:rsid w:val="7339C9C1"/>
    <w:rsid w:val="735682E5"/>
    <w:rsid w:val="73908A61"/>
    <w:rsid w:val="7394A133"/>
    <w:rsid w:val="739F4471"/>
    <w:rsid w:val="73B4091E"/>
    <w:rsid w:val="73C9AE09"/>
    <w:rsid w:val="73D2FEC4"/>
    <w:rsid w:val="73E92FBF"/>
    <w:rsid w:val="73ECB1A7"/>
    <w:rsid w:val="73EEBBC5"/>
    <w:rsid w:val="73F8C354"/>
    <w:rsid w:val="7409A040"/>
    <w:rsid w:val="741BE22C"/>
    <w:rsid w:val="7420C772"/>
    <w:rsid w:val="743CEAA7"/>
    <w:rsid w:val="74424D6E"/>
    <w:rsid w:val="745E9CEF"/>
    <w:rsid w:val="748052E3"/>
    <w:rsid w:val="7497B794"/>
    <w:rsid w:val="749AE65D"/>
    <w:rsid w:val="74A301A7"/>
    <w:rsid w:val="74B48FAB"/>
    <w:rsid w:val="74E8AA19"/>
    <w:rsid w:val="74F02B85"/>
    <w:rsid w:val="7526106C"/>
    <w:rsid w:val="752B1CE5"/>
    <w:rsid w:val="752EA523"/>
    <w:rsid w:val="75344FEB"/>
    <w:rsid w:val="755B9AE3"/>
    <w:rsid w:val="75648A9F"/>
    <w:rsid w:val="756EFADA"/>
    <w:rsid w:val="759FF53D"/>
    <w:rsid w:val="75B3A9CE"/>
    <w:rsid w:val="75BB899D"/>
    <w:rsid w:val="75CE69BA"/>
    <w:rsid w:val="75D1A6E5"/>
    <w:rsid w:val="75E53AD7"/>
    <w:rsid w:val="75E770C1"/>
    <w:rsid w:val="76056259"/>
    <w:rsid w:val="760AD8F1"/>
    <w:rsid w:val="760D0D9A"/>
    <w:rsid w:val="76386861"/>
    <w:rsid w:val="766B0A4E"/>
    <w:rsid w:val="7693A71A"/>
    <w:rsid w:val="76A4BF78"/>
    <w:rsid w:val="76B350F8"/>
    <w:rsid w:val="76BCE72F"/>
    <w:rsid w:val="76CC5799"/>
    <w:rsid w:val="76DA3451"/>
    <w:rsid w:val="76DBDDD6"/>
    <w:rsid w:val="7700AF2E"/>
    <w:rsid w:val="77110A5C"/>
    <w:rsid w:val="77196767"/>
    <w:rsid w:val="771F9ECF"/>
    <w:rsid w:val="77306416"/>
    <w:rsid w:val="7741C26A"/>
    <w:rsid w:val="7760B09D"/>
    <w:rsid w:val="77630033"/>
    <w:rsid w:val="7768635C"/>
    <w:rsid w:val="776EB9EA"/>
    <w:rsid w:val="778A634B"/>
    <w:rsid w:val="778CC4C7"/>
    <w:rsid w:val="77A45324"/>
    <w:rsid w:val="77AA275F"/>
    <w:rsid w:val="77B13C55"/>
    <w:rsid w:val="77C4CD29"/>
    <w:rsid w:val="77CA882F"/>
    <w:rsid w:val="77D3075D"/>
    <w:rsid w:val="77E11051"/>
    <w:rsid w:val="77E8A548"/>
    <w:rsid w:val="77ED7E61"/>
    <w:rsid w:val="782E17EE"/>
    <w:rsid w:val="782E63B3"/>
    <w:rsid w:val="784DA8F0"/>
    <w:rsid w:val="78543670"/>
    <w:rsid w:val="7870AD0C"/>
    <w:rsid w:val="7881FB9F"/>
    <w:rsid w:val="78933B92"/>
    <w:rsid w:val="78B83698"/>
    <w:rsid w:val="78B8E01D"/>
    <w:rsid w:val="78C7C051"/>
    <w:rsid w:val="78CF0CE5"/>
    <w:rsid w:val="78D227D1"/>
    <w:rsid w:val="78D4D589"/>
    <w:rsid w:val="78D8DD70"/>
    <w:rsid w:val="78FF3616"/>
    <w:rsid w:val="791C6CD8"/>
    <w:rsid w:val="792C3442"/>
    <w:rsid w:val="792D1069"/>
    <w:rsid w:val="792E5FA8"/>
    <w:rsid w:val="7936781B"/>
    <w:rsid w:val="793A5D7F"/>
    <w:rsid w:val="7953A16C"/>
    <w:rsid w:val="795FBEC4"/>
    <w:rsid w:val="7974E9CB"/>
    <w:rsid w:val="79852A29"/>
    <w:rsid w:val="798DFADA"/>
    <w:rsid w:val="79923E4A"/>
    <w:rsid w:val="799731B5"/>
    <w:rsid w:val="79980F5D"/>
    <w:rsid w:val="79A83E90"/>
    <w:rsid w:val="79AB30FC"/>
    <w:rsid w:val="79B63E66"/>
    <w:rsid w:val="79CC82F9"/>
    <w:rsid w:val="79DCDC5F"/>
    <w:rsid w:val="79E137AD"/>
    <w:rsid w:val="79E47AAE"/>
    <w:rsid w:val="79EBC1AB"/>
    <w:rsid w:val="79EC87DC"/>
    <w:rsid w:val="79ECC87D"/>
    <w:rsid w:val="7A03D5EB"/>
    <w:rsid w:val="7A1AED3E"/>
    <w:rsid w:val="7A20E5A6"/>
    <w:rsid w:val="7A28E9CC"/>
    <w:rsid w:val="7A3CB46C"/>
    <w:rsid w:val="7A4AEBA9"/>
    <w:rsid w:val="7A9AFBA9"/>
    <w:rsid w:val="7AB41ACE"/>
    <w:rsid w:val="7AC70612"/>
    <w:rsid w:val="7AD705CE"/>
    <w:rsid w:val="7AE39DF3"/>
    <w:rsid w:val="7B024F24"/>
    <w:rsid w:val="7B035D1E"/>
    <w:rsid w:val="7B118CEE"/>
    <w:rsid w:val="7B2E4E6D"/>
    <w:rsid w:val="7B2F6054"/>
    <w:rsid w:val="7B372348"/>
    <w:rsid w:val="7B7D080E"/>
    <w:rsid w:val="7B8B6E6A"/>
    <w:rsid w:val="7B8EB2FB"/>
    <w:rsid w:val="7B92051F"/>
    <w:rsid w:val="7B9A8A4A"/>
    <w:rsid w:val="7B9DC71D"/>
    <w:rsid w:val="7BB65BDC"/>
    <w:rsid w:val="7BC6CE9E"/>
    <w:rsid w:val="7BC779E2"/>
    <w:rsid w:val="7BCC6466"/>
    <w:rsid w:val="7BD1DE7D"/>
    <w:rsid w:val="7BD84BF2"/>
    <w:rsid w:val="7BDC5624"/>
    <w:rsid w:val="7BFDCDC3"/>
    <w:rsid w:val="7C06F302"/>
    <w:rsid w:val="7C0EFB89"/>
    <w:rsid w:val="7C2C00BF"/>
    <w:rsid w:val="7C31F9E5"/>
    <w:rsid w:val="7C32D4BE"/>
    <w:rsid w:val="7C38600E"/>
    <w:rsid w:val="7C5805A5"/>
    <w:rsid w:val="7C6035EA"/>
    <w:rsid w:val="7C652372"/>
    <w:rsid w:val="7C658A5D"/>
    <w:rsid w:val="7C7FB1B0"/>
    <w:rsid w:val="7CA5F842"/>
    <w:rsid w:val="7CB6759C"/>
    <w:rsid w:val="7CCED277"/>
    <w:rsid w:val="7CF92474"/>
    <w:rsid w:val="7CFBCFEB"/>
    <w:rsid w:val="7D028FA3"/>
    <w:rsid w:val="7D095D29"/>
    <w:rsid w:val="7D14AD87"/>
    <w:rsid w:val="7D8F1F05"/>
    <w:rsid w:val="7DA44D2C"/>
    <w:rsid w:val="7DC7D120"/>
    <w:rsid w:val="7DE761C6"/>
    <w:rsid w:val="7DEAB4C8"/>
    <w:rsid w:val="7E19F082"/>
    <w:rsid w:val="7E1E83C6"/>
    <w:rsid w:val="7E22BB78"/>
    <w:rsid w:val="7E66C05E"/>
    <w:rsid w:val="7E848ED2"/>
    <w:rsid w:val="7E8E7B93"/>
    <w:rsid w:val="7EA593C9"/>
    <w:rsid w:val="7EA951CD"/>
    <w:rsid w:val="7EA97D0C"/>
    <w:rsid w:val="7EB4A8D0"/>
    <w:rsid w:val="7ECC7194"/>
    <w:rsid w:val="7EDB6A5F"/>
    <w:rsid w:val="7EDD439A"/>
    <w:rsid w:val="7EE54703"/>
    <w:rsid w:val="7EFF24C4"/>
    <w:rsid w:val="7F032F8B"/>
    <w:rsid w:val="7F147D96"/>
    <w:rsid w:val="7F159876"/>
    <w:rsid w:val="7F1CC1C1"/>
    <w:rsid w:val="7F2475AD"/>
    <w:rsid w:val="7F294847"/>
    <w:rsid w:val="7F454A50"/>
    <w:rsid w:val="7F5C060F"/>
    <w:rsid w:val="7F5EB709"/>
    <w:rsid w:val="7F79D01E"/>
    <w:rsid w:val="7F89EB06"/>
    <w:rsid w:val="7F98861F"/>
    <w:rsid w:val="7F9CF794"/>
    <w:rsid w:val="7FA0C12E"/>
    <w:rsid w:val="7FA5D84A"/>
    <w:rsid w:val="7FA638A7"/>
    <w:rsid w:val="7FAC3937"/>
    <w:rsid w:val="7FE63036"/>
    <w:rsid w:val="7FE6C8BB"/>
    <w:rsid w:val="7FEFA4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CB26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zh-CN" w:bidi="he-IL"/>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29" w:qFormat="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val="es-ES" w:eastAsia="en-US" w:bidi="ar-SA"/>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9A6F1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9A6F1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pPr>
      <w:keepNext/>
      <w:spacing w:line="240" w:lineRule="auto"/>
      <w:outlineLvl w:val="3"/>
    </w:pPr>
    <w:rPr>
      <w:bCs/>
      <w:i/>
      <w:iCs/>
      <w:szCs w:val="22"/>
    </w:rPr>
  </w:style>
  <w:style w:type="paragraph" w:styleId="Heading5">
    <w:name w:val="heading 5"/>
    <w:basedOn w:val="Normal"/>
    <w:next w:val="Normal"/>
    <w:link w:val="Heading5Char"/>
    <w:semiHidden/>
    <w:unhideWhenUsed/>
    <w:qFormat/>
    <w:rsid w:val="009A6F18"/>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9A6F18"/>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9A6F18"/>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9A6F1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9A6F1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qFormat/>
    <w:rPr>
      <w:sz w:val="16"/>
      <w:szCs w:val="16"/>
    </w:rPr>
  </w:style>
  <w:style w:type="character" w:styleId="Hyperlink">
    <w:name w:val="Hyperlink"/>
    <w:qFormat/>
    <w:rPr>
      <w:color w:val="0000FF"/>
      <w:u w:val="single"/>
    </w:rPr>
  </w:style>
  <w:style w:type="character" w:styleId="FollowedHyperlink">
    <w:name w:val="FollowedHyperlink"/>
    <w:basedOn w:val="DefaultParagraphFont"/>
    <w:qFormat/>
    <w:rPr>
      <w:color w:val="954F72" w:themeColor="followedHyperlink"/>
      <w:u w:val="single"/>
    </w:rPr>
  </w:style>
  <w:style w:type="character" w:styleId="PageNumber">
    <w:name w:val="page number"/>
    <w:basedOn w:val="DefaultParagraphFont"/>
    <w:qFormat/>
  </w:style>
  <w:style w:type="character" w:styleId="Strong">
    <w:name w:val="Strong"/>
    <w:basedOn w:val="DefaultParagraphFont"/>
    <w:uiPriority w:val="22"/>
    <w:qFormat/>
    <w:rPr>
      <w:b/>
      <w:bCs/>
    </w:rPr>
  </w:style>
  <w:style w:type="paragraph" w:styleId="Caption">
    <w:name w:val="caption"/>
    <w:next w:val="C-BodyText"/>
    <w:qFormat/>
    <w:pPr>
      <w:keepNext/>
      <w:spacing w:before="120" w:after="120" w:line="280" w:lineRule="atLeast"/>
      <w:ind w:left="1440" w:hanging="1440"/>
    </w:pPr>
    <w:rPr>
      <w:rFonts w:ascii="Times New Roman Bold" w:eastAsia="Times New Roman" w:hAnsi="Times New Roman Bold"/>
      <w:b/>
      <w:bCs/>
      <w:sz w:val="22"/>
      <w:szCs w:val="24"/>
      <w:lang w:val="es-ES" w:eastAsia="en-US" w:bidi="ar-SA"/>
    </w:rPr>
  </w:style>
  <w:style w:type="paragraph" w:customStyle="1" w:styleId="C-BodyText">
    <w:name w:val="C-Body Text"/>
    <w:link w:val="C-BodyTextChar"/>
    <w:qFormat/>
    <w:pPr>
      <w:spacing w:before="120" w:after="120" w:line="280" w:lineRule="atLeast"/>
    </w:pPr>
    <w:rPr>
      <w:sz w:val="24"/>
      <w:lang w:val="es-ES" w:eastAsia="en-GB" w:bidi="ar-SA"/>
    </w:r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qFormat/>
    <w:rPr>
      <w:sz w:val="20"/>
    </w:rPr>
  </w:style>
  <w:style w:type="paragraph" w:styleId="BalloonText">
    <w:name w:val="Balloon Text"/>
    <w:basedOn w:val="Normal"/>
    <w:semiHidden/>
    <w:qFormat/>
    <w:rPr>
      <w:rFonts w:ascii="Tahoma" w:hAnsi="Tahoma" w:cs="Tahoma"/>
      <w:sz w:val="16"/>
      <w:szCs w:val="16"/>
    </w:rPr>
  </w:style>
  <w:style w:type="paragraph" w:styleId="Header">
    <w:name w:val="header"/>
    <w:basedOn w:val="Normal"/>
    <w:qFormat/>
    <w:pPr>
      <w:tabs>
        <w:tab w:val="center" w:pos="4153"/>
        <w:tab w:val="right" w:pos="8306"/>
      </w:tabs>
    </w:pPr>
    <w:rPr>
      <w:rFonts w:ascii="Arial" w:hAnsi="Arial"/>
      <w:sz w:val="20"/>
    </w:rPr>
  </w:style>
  <w:style w:type="paragraph" w:styleId="NormalWeb">
    <w:name w:val="Normal (Web)"/>
    <w:basedOn w:val="Normal"/>
    <w:uiPriority w:val="99"/>
    <w:unhideWhenUsed/>
    <w:qFormat/>
    <w:pPr>
      <w:tabs>
        <w:tab w:val="clear" w:pos="567"/>
      </w:tabs>
      <w:spacing w:before="100" w:beforeAutospacing="1" w:after="100" w:afterAutospacing="1" w:line="240" w:lineRule="auto"/>
    </w:pPr>
    <w:rPr>
      <w:sz w:val="24"/>
      <w:szCs w:val="24"/>
      <w:lang w:eastAsia="en-GB"/>
    </w:rPr>
  </w:style>
  <w:style w:type="paragraph" w:styleId="Footer">
    <w:name w:val="footer"/>
    <w:basedOn w:val="Normal"/>
    <w:qFormat/>
    <w:pPr>
      <w:tabs>
        <w:tab w:val="center" w:pos="4536"/>
        <w:tab w:val="right" w:pos="8306"/>
      </w:tabs>
    </w:pPr>
    <w:rPr>
      <w:rFonts w:ascii="Arial" w:hAnsi="Arial"/>
      <w:sz w:val="16"/>
    </w:rPr>
  </w:style>
  <w:style w:type="paragraph" w:styleId="BodyText">
    <w:name w:val="Body Text"/>
    <w:basedOn w:val="Normal"/>
    <w:link w:val="BodyTextChar"/>
    <w:qFormat/>
    <w:pPr>
      <w:tabs>
        <w:tab w:val="clear" w:pos="567"/>
      </w:tabs>
      <w:spacing w:line="240" w:lineRule="auto"/>
    </w:pPr>
    <w:rPr>
      <w:i/>
      <w:color w:val="008000"/>
    </w:rPr>
  </w:style>
  <w:style w:type="table" w:styleId="TableGrid">
    <w:name w:val="Table Grid"/>
    <w:basedOn w:val="TableNormal"/>
    <w:qFormat/>
    <w:rPr>
      <w:rFonts w:eastAsia="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erStyle">
    <w:name w:val="MemoHeaderStyle"/>
    <w:basedOn w:val="Normal"/>
    <w:next w:val="Normal"/>
    <w:qFormat/>
    <w:pPr>
      <w:spacing w:line="120" w:lineRule="atLeast"/>
      <w:ind w:left="1418"/>
      <w:jc w:val="both"/>
    </w:pPr>
    <w:rPr>
      <w:rFonts w:ascii="Arial" w:hAnsi="Arial"/>
      <w:b/>
      <w:smallCaps/>
    </w:rPr>
  </w:style>
  <w:style w:type="paragraph" w:customStyle="1" w:styleId="EMEAEnBodyText">
    <w:name w:val="EMEA En Body Text"/>
    <w:basedOn w:val="Normal"/>
    <w:qFormat/>
    <w:pPr>
      <w:tabs>
        <w:tab w:val="clear" w:pos="567"/>
      </w:tabs>
      <w:spacing w:before="120" w:after="120" w:line="240" w:lineRule="auto"/>
      <w:jc w:val="both"/>
    </w:pPr>
  </w:style>
  <w:style w:type="paragraph" w:customStyle="1" w:styleId="BodytextAgency">
    <w:name w:val="Body text (Agency)"/>
    <w:basedOn w:val="Normal"/>
    <w:link w:val="BodytextAgencyChar"/>
    <w:uiPriority w:val="99"/>
    <w:qFormat/>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uiPriority w:val="99"/>
    <w:qFormat/>
    <w:rPr>
      <w:rFonts w:ascii="Verdana" w:eastAsia="Verdana" w:hAnsi="Verdana" w:cs="Verdana"/>
      <w:sz w:val="18"/>
      <w:szCs w:val="18"/>
      <w:lang w:val="es-ES" w:eastAsia="en-GB" w:bidi="ar-SA"/>
    </w:rPr>
  </w:style>
  <w:style w:type="paragraph" w:customStyle="1" w:styleId="DraftingNotesAgency">
    <w:name w:val="Drafting Notes (Agency)"/>
    <w:basedOn w:val="Normal"/>
    <w:next w:val="BodytextAgency"/>
    <w:link w:val="DraftingNotesAgencyChar"/>
    <w:qFormat/>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qFormat/>
    <w:rPr>
      <w:rFonts w:ascii="Courier New" w:eastAsia="Verdana" w:hAnsi="Courier New"/>
      <w:i/>
      <w:color w:val="339966"/>
      <w:sz w:val="22"/>
      <w:szCs w:val="18"/>
      <w:lang w:val="es-ES" w:eastAsia="en-GB" w:bidi="ar-SA"/>
    </w:rPr>
  </w:style>
  <w:style w:type="paragraph" w:customStyle="1" w:styleId="NormalAgency">
    <w:name w:val="Normal (Agency)"/>
    <w:link w:val="NormalAgencyChar"/>
    <w:qFormat/>
    <w:rPr>
      <w:rFonts w:ascii="Verdana" w:eastAsia="Verdana" w:hAnsi="Verdana" w:cs="Verdana"/>
      <w:sz w:val="18"/>
      <w:szCs w:val="18"/>
      <w:lang w:val="es-ES" w:eastAsia="en-GB" w:bidi="ar-SA"/>
    </w:rPr>
  </w:style>
  <w:style w:type="table" w:customStyle="1" w:styleId="TablegridAgencyblack">
    <w:name w:val="Table grid (Agency) black"/>
    <w:basedOn w:val="TableNormal"/>
    <w:semiHidden/>
    <w:qFormat/>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qFormat/>
    <w:pPr>
      <w:keepNext/>
    </w:pPr>
    <w:rPr>
      <w:rFonts w:eastAsia="Times New Roman"/>
      <w:b/>
    </w:rPr>
  </w:style>
  <w:style w:type="paragraph" w:customStyle="1" w:styleId="TabletextrowsAgency">
    <w:name w:val="Table text rows (Agency)"/>
    <w:basedOn w:val="Normal"/>
    <w:qFormat/>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qFormat/>
    <w:rPr>
      <w:rFonts w:ascii="Verdana" w:eastAsia="Verdana" w:hAnsi="Verdana" w:cs="Verdana"/>
      <w:sz w:val="18"/>
      <w:szCs w:val="18"/>
      <w:lang w:val="es-ES" w:eastAsia="en-GB" w:bidi="ar-SA"/>
    </w:rPr>
  </w:style>
  <w:style w:type="character" w:customStyle="1" w:styleId="CommentTextChar">
    <w:name w:val="Comment Text Char"/>
    <w:link w:val="CommentText"/>
    <w:qFormat/>
    <w:rPr>
      <w:rFonts w:eastAsia="Times New Roman"/>
      <w:lang w:eastAsia="en-US"/>
    </w:rPr>
  </w:style>
  <w:style w:type="character" w:customStyle="1" w:styleId="CommentSubjectChar">
    <w:name w:val="Comment Subject Char"/>
    <w:link w:val="CommentSubject"/>
    <w:qFormat/>
    <w:rPr>
      <w:rFonts w:eastAsia="Times New Roman"/>
      <w:b/>
      <w:bCs/>
      <w:lang w:eastAsia="en-US"/>
    </w:rPr>
  </w:style>
  <w:style w:type="paragraph" w:customStyle="1" w:styleId="Revision1">
    <w:name w:val="Revision1"/>
    <w:hidden/>
    <w:uiPriority w:val="99"/>
    <w:semiHidden/>
    <w:qFormat/>
    <w:rPr>
      <w:rFonts w:eastAsia="Times New Roman"/>
      <w:sz w:val="22"/>
      <w:lang w:val="es-ES" w:eastAsia="en-US" w:bidi="ar-SA"/>
    </w:rPr>
  </w:style>
  <w:style w:type="character" w:customStyle="1" w:styleId="normaltextrun">
    <w:name w:val="normaltextrun"/>
    <w:basedOn w:val="DefaultParagraphFont"/>
    <w:qFormat/>
  </w:style>
  <w:style w:type="character" w:customStyle="1" w:styleId="Heading4Char">
    <w:name w:val="Heading 4 Char"/>
    <w:basedOn w:val="DefaultParagraphFont"/>
    <w:link w:val="Heading4"/>
    <w:qFormat/>
    <w:rPr>
      <w:rFonts w:eastAsia="Times New Roman"/>
      <w:bCs/>
      <w:i/>
      <w:iCs/>
      <w:sz w:val="22"/>
      <w:szCs w:val="22"/>
      <w:lang w:eastAsia="en-US"/>
    </w:rPr>
  </w:style>
  <w:style w:type="character" w:customStyle="1" w:styleId="eop">
    <w:name w:val="eop"/>
    <w:basedOn w:val="DefaultParagraphFont"/>
    <w:qFormat/>
  </w:style>
  <w:style w:type="paragraph" w:customStyle="1" w:styleId="paragraph">
    <w:name w:val="paragraph"/>
    <w:basedOn w:val="Normal"/>
    <w:qFormat/>
    <w:pPr>
      <w:tabs>
        <w:tab w:val="clear" w:pos="567"/>
      </w:tabs>
      <w:spacing w:before="100" w:beforeAutospacing="1" w:after="100" w:afterAutospacing="1" w:line="240" w:lineRule="auto"/>
    </w:pPr>
    <w:rPr>
      <w:sz w:val="24"/>
      <w:szCs w:val="24"/>
      <w:lang w:eastAsia="en-GB"/>
    </w:rPr>
  </w:style>
  <w:style w:type="paragraph" w:customStyle="1" w:styleId="C-Footnote">
    <w:name w:val="C-Footnote"/>
    <w:basedOn w:val="Normal"/>
    <w:uiPriority w:val="1"/>
    <w:qFormat/>
    <w:pPr>
      <w:spacing w:line="240" w:lineRule="auto"/>
      <w:ind w:hanging="144"/>
    </w:pPr>
    <w:rPr>
      <w:rFonts w:cs="Arial"/>
      <w:sz w:val="20"/>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uiPriority w:val="34"/>
    <w:qFormat/>
    <w:pPr>
      <w:tabs>
        <w:tab w:val="clear" w:pos="567"/>
      </w:tabs>
      <w:spacing w:line="260" w:lineRule="atLeast"/>
      <w:ind w:left="720"/>
    </w:pPr>
  </w:style>
  <w:style w:type="paragraph" w:customStyle="1" w:styleId="TextAr11">
    <w:name w:val="Text:Ar11"/>
    <w:basedOn w:val="Normal"/>
    <w:link w:val="TextAr11Char"/>
    <w:uiPriority w:val="99"/>
    <w:qFormat/>
    <w:pPr>
      <w:tabs>
        <w:tab w:val="clear" w:pos="567"/>
      </w:tabs>
      <w:spacing w:after="170" w:line="260" w:lineRule="atLeast"/>
      <w:jc w:val="both"/>
    </w:pPr>
  </w:style>
  <w:style w:type="character" w:customStyle="1" w:styleId="TextAr11Char">
    <w:name w:val="Text:Ar11 Char"/>
    <w:link w:val="TextAr11"/>
    <w:uiPriority w:val="99"/>
    <w:qFormat/>
    <w:rPr>
      <w:rFonts w:eastAsia="Times New Roman"/>
      <w:sz w:val="22"/>
      <w:lang w:val="es-ES" w:eastAsia="en-US"/>
    </w:rPr>
  </w:style>
  <w:style w:type="character" w:customStyle="1" w:styleId="C-BodyTextChar">
    <w:name w:val="C-Body Text Char"/>
    <w:link w:val="C-BodyText"/>
    <w:qFormat/>
    <w:locked/>
    <w:rPr>
      <w:sz w:val="24"/>
    </w:rPr>
  </w:style>
  <w:style w:type="paragraph" w:customStyle="1" w:styleId="Default">
    <w:name w:val="Default"/>
    <w:qFormat/>
    <w:pPr>
      <w:autoSpaceDE w:val="0"/>
      <w:autoSpaceDN w:val="0"/>
      <w:adjustRightInd w:val="0"/>
    </w:pPr>
    <w:rPr>
      <w:color w:val="000000"/>
      <w:sz w:val="24"/>
      <w:szCs w:val="24"/>
      <w:lang w:val="es-ES" w:eastAsia="en-GB" w:bidi="ar-SA"/>
    </w:rPr>
  </w:style>
  <w:style w:type="character" w:customStyle="1" w:styleId="UnresolvedMention2">
    <w:name w:val="Unresolved Mention2"/>
    <w:basedOn w:val="DefaultParagraphFont"/>
    <w:unhideWhenUsed/>
    <w:qFormat/>
    <w:rPr>
      <w:color w:val="605E5C"/>
      <w:shd w:val="clear" w:color="auto" w:fill="E1DFDD"/>
    </w:rPr>
  </w:style>
  <w:style w:type="paragraph" w:customStyle="1" w:styleId="pf0">
    <w:name w:val="pf0"/>
    <w:basedOn w:val="Normal"/>
    <w:qFormat/>
    <w:pPr>
      <w:tabs>
        <w:tab w:val="clear" w:pos="567"/>
      </w:tabs>
      <w:spacing w:before="100" w:beforeAutospacing="1" w:after="100" w:afterAutospacing="1" w:line="240" w:lineRule="auto"/>
      <w:jc w:val="both"/>
    </w:pPr>
    <w:rPr>
      <w:rFonts w:ascii="Calibri" w:eastAsiaTheme="minorHAnsi" w:hAnsi="Calibri" w:cs="Calibri"/>
      <w:szCs w:val="22"/>
      <w:lang w:eastAsia="en-GB"/>
    </w:rPr>
  </w:style>
  <w:style w:type="character" w:customStyle="1" w:styleId="cf01">
    <w:name w:val="cf01"/>
    <w:basedOn w:val="DefaultParagraphFont"/>
    <w:qFormat/>
    <w:rPr>
      <w:rFonts w:ascii="Segoe UI" w:hAnsi="Segoe UI" w:cs="Segoe UI" w:hint="default"/>
    </w:rPr>
  </w:style>
  <w:style w:type="character" w:customStyle="1" w:styleId="cf11">
    <w:name w:val="cf11"/>
    <w:basedOn w:val="DefaultParagraphFont"/>
    <w:qFormat/>
    <w:rPr>
      <w:rFonts w:ascii="Segoe UI" w:hAnsi="Segoe UI" w:cs="Segoe UI" w:hint="default"/>
      <w:sz w:val="18"/>
      <w:szCs w:val="18"/>
      <w:shd w:val="clear" w:color="auto" w:fill="FF0000"/>
    </w:rPr>
  </w:style>
  <w:style w:type="paragraph" w:customStyle="1" w:styleId="TextAr11CarCar">
    <w:name w:val="Text:Ar11 Car Car"/>
    <w:basedOn w:val="Normal"/>
    <w:qFormat/>
    <w:pPr>
      <w:tabs>
        <w:tab w:val="clear" w:pos="567"/>
      </w:tabs>
      <w:spacing w:after="170" w:line="260" w:lineRule="atLeast"/>
      <w:jc w:val="both"/>
    </w:pPr>
    <w:rPr>
      <w:sz w:val="24"/>
    </w:rPr>
  </w:style>
  <w:style w:type="paragraph" w:customStyle="1" w:styleId="No-numheading5Agency">
    <w:name w:val="No-num heading 5 (Agency)"/>
    <w:basedOn w:val="Normal"/>
    <w:next w:val="BodytextAgency"/>
    <w:link w:val="No-numheading5AgencyChar"/>
    <w:qFormat/>
    <w:pPr>
      <w:keepNext/>
      <w:tabs>
        <w:tab w:val="clear" w:pos="567"/>
      </w:tabs>
      <w:spacing w:before="280" w:after="220" w:line="240" w:lineRule="auto"/>
      <w:outlineLvl w:val="4"/>
    </w:pPr>
    <w:rPr>
      <w:rFonts w:ascii="Verdana" w:eastAsia="Verdana" w:hAnsi="Verdana" w:cs="Arial"/>
      <w:b/>
      <w:bCs/>
      <w:kern w:val="32"/>
      <w:sz w:val="18"/>
      <w:szCs w:val="18"/>
      <w:lang w:eastAsia="en-GB"/>
    </w:rPr>
  </w:style>
  <w:style w:type="character" w:customStyle="1" w:styleId="No-numheading5AgencyChar">
    <w:name w:val="No-num heading 5 (Agency) Char"/>
    <w:link w:val="No-numheading5Agency"/>
    <w:qFormat/>
    <w:locked/>
    <w:rPr>
      <w:rFonts w:ascii="Verdana" w:eastAsia="Verdana" w:hAnsi="Verdana" w:cs="Arial"/>
      <w:b/>
      <w:bCs/>
      <w:kern w:val="32"/>
      <w:sz w:val="18"/>
      <w:szCs w:val="18"/>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eastAsia="Times New Roman"/>
      <w:i/>
      <w:iCs/>
      <w:color w:val="404040" w:themeColor="text1" w:themeTint="BF"/>
      <w:sz w:val="22"/>
      <w:lang w:eastAsia="en-US"/>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qFormat/>
    <w:rPr>
      <w:color w:val="605E5C"/>
      <w:shd w:val="clear" w:color="auto" w:fill="E1DFDD"/>
    </w:rPr>
  </w:style>
  <w:style w:type="character" w:customStyle="1" w:styleId="DNEx1">
    <w:name w:val="DNEx1"/>
    <w:basedOn w:val="DefaultParagraphFont"/>
    <w:uiPriority w:val="1"/>
    <w:qFormat/>
    <w:rPr>
      <w:sz w:val="32"/>
      <w:szCs w:val="22"/>
    </w:rPr>
  </w:style>
  <w:style w:type="character" w:customStyle="1" w:styleId="DNEx2">
    <w:name w:val="DNEx2"/>
    <w:basedOn w:val="DefaultParagraphFont"/>
    <w:uiPriority w:val="1"/>
    <w:qFormat/>
    <w:rPr>
      <w:b/>
      <w:szCs w:val="22"/>
    </w:rPr>
  </w:style>
  <w:style w:type="paragraph" w:customStyle="1" w:styleId="Style1">
    <w:name w:val="Style1"/>
    <w:basedOn w:val="Normal"/>
    <w:qFormat/>
    <w:pPr>
      <w:numPr>
        <w:numId w:val="1"/>
      </w:numPr>
      <w:spacing w:line="240" w:lineRule="auto"/>
      <w:ind w:right="1416"/>
    </w:pPr>
    <w:rPr>
      <w:b/>
      <w:szCs w:val="22"/>
    </w:rPr>
  </w:style>
  <w:style w:type="paragraph" w:customStyle="1" w:styleId="Style2">
    <w:name w:val="Style2"/>
    <w:basedOn w:val="Normal"/>
    <w:qFormat/>
    <w:pPr>
      <w:keepNext/>
      <w:numPr>
        <w:numId w:val="2"/>
      </w:numPr>
      <w:spacing w:line="240" w:lineRule="auto"/>
    </w:pPr>
    <w:rPr>
      <w:b/>
      <w:szCs w:val="22"/>
    </w:rPr>
  </w:style>
  <w:style w:type="paragraph" w:customStyle="1" w:styleId="Style3">
    <w:name w:val="Style3"/>
    <w:basedOn w:val="Normal"/>
    <w:qFormat/>
    <w:pPr>
      <w:numPr>
        <w:numId w:val="3"/>
      </w:numPr>
      <w:spacing w:line="240" w:lineRule="auto"/>
      <w:jc w:val="center"/>
      <w:outlineLvl w:val="0"/>
    </w:pPr>
    <w:rPr>
      <w:b/>
      <w:szCs w:val="22"/>
    </w:rPr>
  </w:style>
  <w:style w:type="character" w:customStyle="1" w:styleId="DNEx4">
    <w:name w:val="DNEx4"/>
    <w:basedOn w:val="DefaultParagraphFont"/>
    <w:uiPriority w:val="1"/>
    <w:qFormat/>
  </w:style>
  <w:style w:type="paragraph" w:customStyle="1" w:styleId="Style4">
    <w:name w:val="Style4"/>
    <w:basedOn w:val="BodytextAgency"/>
    <w:qFormat/>
    <w:pPr>
      <w:spacing w:after="0" w:line="240" w:lineRule="auto"/>
    </w:pPr>
    <w:rPr>
      <w:rFonts w:ascii="Times New Roman" w:hAnsi="Times New Roman" w:cs="Times New Roman"/>
      <w:sz w:val="22"/>
      <w:szCs w:val="22"/>
    </w:rPr>
  </w:style>
  <w:style w:type="paragraph" w:customStyle="1" w:styleId="DNEx5">
    <w:name w:val="DNEx5"/>
    <w:basedOn w:val="Normal"/>
    <w:qFormat/>
    <w:pPr>
      <w:spacing w:line="240" w:lineRule="auto"/>
    </w:pPr>
    <w:rPr>
      <w:szCs w:val="22"/>
    </w:rPr>
  </w:style>
  <w:style w:type="paragraph" w:styleId="Revision">
    <w:name w:val="Revision"/>
    <w:hidden/>
    <w:uiPriority w:val="99"/>
    <w:unhideWhenUsed/>
    <w:rsid w:val="005C47DE"/>
    <w:rPr>
      <w:rFonts w:eastAsia="Times New Roman"/>
      <w:sz w:val="22"/>
      <w:lang w:val="es-ES" w:eastAsia="en-US" w:bidi="ar-SA"/>
    </w:rPr>
  </w:style>
  <w:style w:type="character" w:customStyle="1" w:styleId="UnresolvedMention5">
    <w:name w:val="Unresolved Mention5"/>
    <w:basedOn w:val="DefaultParagraphFont"/>
    <w:uiPriority w:val="99"/>
    <w:semiHidden/>
    <w:unhideWhenUsed/>
    <w:rsid w:val="00EB4D57"/>
    <w:rPr>
      <w:color w:val="605E5C"/>
      <w:shd w:val="clear" w:color="auto" w:fill="E1DFDD"/>
    </w:rPr>
  </w:style>
  <w:style w:type="character" w:customStyle="1" w:styleId="ema-glossary-term">
    <w:name w:val="ema-glossary-term"/>
    <w:basedOn w:val="DefaultParagraphFont"/>
    <w:rsid w:val="002E4B35"/>
  </w:style>
  <w:style w:type="paragraph" w:customStyle="1" w:styleId="AnnexI">
    <w:name w:val="Annex I"/>
    <w:basedOn w:val="Normal"/>
    <w:qFormat/>
    <w:rsid w:val="007A462B"/>
    <w:pPr>
      <w:suppressAutoHyphens/>
      <w:spacing w:line="240" w:lineRule="auto"/>
      <w:ind w:left="567" w:hanging="567"/>
    </w:pPr>
    <w:rPr>
      <w:b/>
    </w:rPr>
  </w:style>
  <w:style w:type="paragraph" w:customStyle="1" w:styleId="AnnexII">
    <w:name w:val="Annex II"/>
    <w:basedOn w:val="Style2"/>
    <w:qFormat/>
    <w:rsid w:val="007A462B"/>
  </w:style>
  <w:style w:type="paragraph" w:customStyle="1" w:styleId="AnnexIII">
    <w:name w:val="Annex III"/>
    <w:basedOn w:val="Style3"/>
    <w:qFormat/>
    <w:rsid w:val="007A462B"/>
  </w:style>
  <w:style w:type="paragraph" w:customStyle="1" w:styleId="TitleA">
    <w:name w:val="Title A"/>
    <w:basedOn w:val="Normal"/>
    <w:qFormat/>
    <w:rsid w:val="003D46BA"/>
    <w:pPr>
      <w:spacing w:line="240" w:lineRule="auto"/>
      <w:jc w:val="center"/>
      <w:outlineLvl w:val="0"/>
    </w:pPr>
    <w:rPr>
      <w:b/>
    </w:rPr>
  </w:style>
  <w:style w:type="paragraph" w:customStyle="1" w:styleId="TitleB">
    <w:name w:val="Title B"/>
    <w:basedOn w:val="Normal"/>
    <w:qFormat/>
    <w:rsid w:val="000E290C"/>
    <w:pPr>
      <w:ind w:left="567" w:hanging="567"/>
    </w:pPr>
    <w:rPr>
      <w:b/>
    </w:rPr>
  </w:style>
  <w:style w:type="paragraph" w:styleId="Bibliography">
    <w:name w:val="Bibliography"/>
    <w:basedOn w:val="Normal"/>
    <w:next w:val="Normal"/>
    <w:uiPriority w:val="37"/>
    <w:semiHidden/>
    <w:unhideWhenUsed/>
    <w:rsid w:val="009A6F18"/>
  </w:style>
  <w:style w:type="paragraph" w:styleId="BlockText">
    <w:name w:val="Block Text"/>
    <w:basedOn w:val="Normal"/>
    <w:rsid w:val="009A6F1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9A6F18"/>
    <w:pPr>
      <w:spacing w:after="120" w:line="480" w:lineRule="auto"/>
    </w:pPr>
  </w:style>
  <w:style w:type="character" w:customStyle="1" w:styleId="BodyText2Char">
    <w:name w:val="Body Text 2 Char"/>
    <w:basedOn w:val="DefaultParagraphFont"/>
    <w:link w:val="BodyText2"/>
    <w:rsid w:val="009A6F18"/>
    <w:rPr>
      <w:rFonts w:eastAsia="Times New Roman"/>
      <w:sz w:val="22"/>
      <w:lang w:val="es-ES" w:eastAsia="en-US" w:bidi="ar-SA"/>
    </w:rPr>
  </w:style>
  <w:style w:type="paragraph" w:styleId="BodyText3">
    <w:name w:val="Body Text 3"/>
    <w:basedOn w:val="Normal"/>
    <w:link w:val="BodyText3Char"/>
    <w:rsid w:val="009A6F18"/>
    <w:pPr>
      <w:spacing w:after="120"/>
    </w:pPr>
    <w:rPr>
      <w:sz w:val="16"/>
      <w:szCs w:val="16"/>
    </w:rPr>
  </w:style>
  <w:style w:type="character" w:customStyle="1" w:styleId="BodyText3Char">
    <w:name w:val="Body Text 3 Char"/>
    <w:basedOn w:val="DefaultParagraphFont"/>
    <w:link w:val="BodyText3"/>
    <w:rsid w:val="009A6F18"/>
    <w:rPr>
      <w:rFonts w:eastAsia="Times New Roman"/>
      <w:sz w:val="16"/>
      <w:szCs w:val="16"/>
      <w:lang w:val="es-ES" w:eastAsia="en-US" w:bidi="ar-SA"/>
    </w:rPr>
  </w:style>
  <w:style w:type="paragraph" w:styleId="BodyTextFirstIndent">
    <w:name w:val="Body Text First Indent"/>
    <w:basedOn w:val="BodyText"/>
    <w:link w:val="BodyTextFirstIndentChar"/>
    <w:rsid w:val="009A6F18"/>
    <w:pPr>
      <w:tabs>
        <w:tab w:val="left" w:pos="567"/>
      </w:tabs>
      <w:spacing w:line="260" w:lineRule="exact"/>
      <w:ind w:firstLine="360"/>
    </w:pPr>
    <w:rPr>
      <w:i w:val="0"/>
      <w:color w:val="auto"/>
    </w:rPr>
  </w:style>
  <w:style w:type="character" w:customStyle="1" w:styleId="BodyTextChar">
    <w:name w:val="Body Text Char"/>
    <w:basedOn w:val="DefaultParagraphFont"/>
    <w:link w:val="BodyText"/>
    <w:rsid w:val="009A6F18"/>
    <w:rPr>
      <w:rFonts w:eastAsia="Times New Roman"/>
      <w:i/>
      <w:color w:val="008000"/>
      <w:sz w:val="22"/>
      <w:lang w:val="es-ES" w:eastAsia="en-US" w:bidi="ar-SA"/>
    </w:rPr>
  </w:style>
  <w:style w:type="character" w:customStyle="1" w:styleId="BodyTextFirstIndentChar">
    <w:name w:val="Body Text First Indent Char"/>
    <w:basedOn w:val="BodyTextChar"/>
    <w:link w:val="BodyTextFirstIndent"/>
    <w:rsid w:val="009A6F18"/>
    <w:rPr>
      <w:rFonts w:eastAsia="Times New Roman"/>
      <w:i w:val="0"/>
      <w:color w:val="008000"/>
      <w:sz w:val="22"/>
      <w:lang w:val="es-ES" w:eastAsia="en-US" w:bidi="ar-SA"/>
    </w:rPr>
  </w:style>
  <w:style w:type="paragraph" w:styleId="BodyTextIndent">
    <w:name w:val="Body Text Indent"/>
    <w:basedOn w:val="Normal"/>
    <w:link w:val="BodyTextIndentChar"/>
    <w:rsid w:val="009A6F18"/>
    <w:pPr>
      <w:spacing w:after="120"/>
      <w:ind w:left="283"/>
    </w:pPr>
  </w:style>
  <w:style w:type="character" w:customStyle="1" w:styleId="BodyTextIndentChar">
    <w:name w:val="Body Text Indent Char"/>
    <w:basedOn w:val="DefaultParagraphFont"/>
    <w:link w:val="BodyTextIndent"/>
    <w:rsid w:val="009A6F18"/>
    <w:rPr>
      <w:rFonts w:eastAsia="Times New Roman"/>
      <w:sz w:val="22"/>
      <w:lang w:val="es-ES" w:eastAsia="en-US" w:bidi="ar-SA"/>
    </w:rPr>
  </w:style>
  <w:style w:type="paragraph" w:styleId="BodyTextFirstIndent2">
    <w:name w:val="Body Text First Indent 2"/>
    <w:basedOn w:val="BodyTextIndent"/>
    <w:link w:val="BodyTextFirstIndent2Char"/>
    <w:rsid w:val="009A6F18"/>
    <w:pPr>
      <w:spacing w:after="0"/>
      <w:ind w:left="360" w:firstLine="360"/>
    </w:pPr>
  </w:style>
  <w:style w:type="character" w:customStyle="1" w:styleId="BodyTextFirstIndent2Char">
    <w:name w:val="Body Text First Indent 2 Char"/>
    <w:basedOn w:val="BodyTextIndentChar"/>
    <w:link w:val="BodyTextFirstIndent2"/>
    <w:rsid w:val="009A6F18"/>
    <w:rPr>
      <w:rFonts w:eastAsia="Times New Roman"/>
      <w:sz w:val="22"/>
      <w:lang w:val="es-ES" w:eastAsia="en-US" w:bidi="ar-SA"/>
    </w:rPr>
  </w:style>
  <w:style w:type="paragraph" w:styleId="BodyTextIndent2">
    <w:name w:val="Body Text Indent 2"/>
    <w:basedOn w:val="Normal"/>
    <w:link w:val="BodyTextIndent2Char"/>
    <w:rsid w:val="009A6F18"/>
    <w:pPr>
      <w:spacing w:after="120" w:line="480" w:lineRule="auto"/>
      <w:ind w:left="283"/>
    </w:pPr>
  </w:style>
  <w:style w:type="character" w:customStyle="1" w:styleId="BodyTextIndent2Char">
    <w:name w:val="Body Text Indent 2 Char"/>
    <w:basedOn w:val="DefaultParagraphFont"/>
    <w:link w:val="BodyTextIndent2"/>
    <w:rsid w:val="009A6F18"/>
    <w:rPr>
      <w:rFonts w:eastAsia="Times New Roman"/>
      <w:sz w:val="22"/>
      <w:lang w:val="es-ES" w:eastAsia="en-US" w:bidi="ar-SA"/>
    </w:rPr>
  </w:style>
  <w:style w:type="paragraph" w:styleId="BodyTextIndent3">
    <w:name w:val="Body Text Indent 3"/>
    <w:basedOn w:val="Normal"/>
    <w:link w:val="BodyTextIndent3Char"/>
    <w:rsid w:val="009A6F18"/>
    <w:pPr>
      <w:spacing w:after="120"/>
      <w:ind w:left="283"/>
    </w:pPr>
    <w:rPr>
      <w:sz w:val="16"/>
      <w:szCs w:val="16"/>
    </w:rPr>
  </w:style>
  <w:style w:type="character" w:customStyle="1" w:styleId="BodyTextIndent3Char">
    <w:name w:val="Body Text Indent 3 Char"/>
    <w:basedOn w:val="DefaultParagraphFont"/>
    <w:link w:val="BodyTextIndent3"/>
    <w:rsid w:val="009A6F18"/>
    <w:rPr>
      <w:rFonts w:eastAsia="Times New Roman"/>
      <w:sz w:val="16"/>
      <w:szCs w:val="16"/>
      <w:lang w:val="es-ES" w:eastAsia="en-US" w:bidi="ar-SA"/>
    </w:rPr>
  </w:style>
  <w:style w:type="paragraph" w:styleId="Closing">
    <w:name w:val="Closing"/>
    <w:basedOn w:val="Normal"/>
    <w:link w:val="ClosingChar"/>
    <w:rsid w:val="009A6F18"/>
    <w:pPr>
      <w:spacing w:line="240" w:lineRule="auto"/>
      <w:ind w:left="4252"/>
    </w:pPr>
  </w:style>
  <w:style w:type="character" w:customStyle="1" w:styleId="ClosingChar">
    <w:name w:val="Closing Char"/>
    <w:basedOn w:val="DefaultParagraphFont"/>
    <w:link w:val="Closing"/>
    <w:rsid w:val="009A6F18"/>
    <w:rPr>
      <w:rFonts w:eastAsia="Times New Roman"/>
      <w:sz w:val="22"/>
      <w:lang w:val="es-ES" w:eastAsia="en-US" w:bidi="ar-SA"/>
    </w:rPr>
  </w:style>
  <w:style w:type="paragraph" w:styleId="Date">
    <w:name w:val="Date"/>
    <w:basedOn w:val="Normal"/>
    <w:next w:val="Normal"/>
    <w:link w:val="DateChar"/>
    <w:rsid w:val="009A6F18"/>
  </w:style>
  <w:style w:type="character" w:customStyle="1" w:styleId="DateChar">
    <w:name w:val="Date Char"/>
    <w:basedOn w:val="DefaultParagraphFont"/>
    <w:link w:val="Date"/>
    <w:rsid w:val="009A6F18"/>
    <w:rPr>
      <w:rFonts w:eastAsia="Times New Roman"/>
      <w:sz w:val="22"/>
      <w:lang w:val="es-ES" w:eastAsia="en-US" w:bidi="ar-SA"/>
    </w:rPr>
  </w:style>
  <w:style w:type="paragraph" w:styleId="DocumentMap">
    <w:name w:val="Document Map"/>
    <w:basedOn w:val="Normal"/>
    <w:link w:val="DocumentMapChar"/>
    <w:rsid w:val="009A6F18"/>
    <w:pPr>
      <w:spacing w:line="240" w:lineRule="auto"/>
    </w:pPr>
    <w:rPr>
      <w:rFonts w:ascii="Segoe UI" w:hAnsi="Segoe UI" w:cs="Segoe UI"/>
      <w:sz w:val="16"/>
      <w:szCs w:val="16"/>
    </w:rPr>
  </w:style>
  <w:style w:type="character" w:customStyle="1" w:styleId="DocumentMapChar">
    <w:name w:val="Document Map Char"/>
    <w:basedOn w:val="DefaultParagraphFont"/>
    <w:link w:val="DocumentMap"/>
    <w:rsid w:val="009A6F18"/>
    <w:rPr>
      <w:rFonts w:ascii="Segoe UI" w:eastAsia="Times New Roman" w:hAnsi="Segoe UI" w:cs="Segoe UI"/>
      <w:sz w:val="16"/>
      <w:szCs w:val="16"/>
      <w:lang w:val="es-ES" w:eastAsia="en-US" w:bidi="ar-SA"/>
    </w:rPr>
  </w:style>
  <w:style w:type="paragraph" w:styleId="E-mailSignature">
    <w:name w:val="E-mail Signature"/>
    <w:basedOn w:val="Normal"/>
    <w:link w:val="E-mailSignatureChar"/>
    <w:rsid w:val="009A6F18"/>
    <w:pPr>
      <w:spacing w:line="240" w:lineRule="auto"/>
    </w:pPr>
  </w:style>
  <w:style w:type="character" w:customStyle="1" w:styleId="E-mailSignatureChar">
    <w:name w:val="E-mail Signature Char"/>
    <w:basedOn w:val="DefaultParagraphFont"/>
    <w:link w:val="E-mailSignature"/>
    <w:rsid w:val="009A6F18"/>
    <w:rPr>
      <w:rFonts w:eastAsia="Times New Roman"/>
      <w:sz w:val="22"/>
      <w:lang w:val="es-ES" w:eastAsia="en-US" w:bidi="ar-SA"/>
    </w:rPr>
  </w:style>
  <w:style w:type="paragraph" w:styleId="EndnoteText">
    <w:name w:val="endnote text"/>
    <w:basedOn w:val="Normal"/>
    <w:link w:val="EndnoteTextChar"/>
    <w:rsid w:val="009A6F18"/>
    <w:pPr>
      <w:spacing w:line="240" w:lineRule="auto"/>
    </w:pPr>
    <w:rPr>
      <w:sz w:val="20"/>
    </w:rPr>
  </w:style>
  <w:style w:type="character" w:customStyle="1" w:styleId="EndnoteTextChar">
    <w:name w:val="Endnote Text Char"/>
    <w:basedOn w:val="DefaultParagraphFont"/>
    <w:link w:val="EndnoteText"/>
    <w:rsid w:val="009A6F18"/>
    <w:rPr>
      <w:rFonts w:eastAsia="Times New Roman"/>
      <w:lang w:val="es-ES" w:eastAsia="en-US" w:bidi="ar-SA"/>
    </w:rPr>
  </w:style>
  <w:style w:type="paragraph" w:styleId="EnvelopeAddress">
    <w:name w:val="envelope address"/>
    <w:basedOn w:val="Normal"/>
    <w:rsid w:val="009A6F18"/>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9A6F18"/>
    <w:pPr>
      <w:spacing w:line="240" w:lineRule="auto"/>
    </w:pPr>
    <w:rPr>
      <w:rFonts w:asciiTheme="majorHAnsi" w:eastAsiaTheme="majorEastAsia" w:hAnsiTheme="majorHAnsi" w:cstheme="majorBidi"/>
      <w:sz w:val="20"/>
    </w:rPr>
  </w:style>
  <w:style w:type="paragraph" w:styleId="FootnoteText">
    <w:name w:val="footnote text"/>
    <w:basedOn w:val="Normal"/>
    <w:link w:val="FootnoteTextChar"/>
    <w:rsid w:val="009A6F18"/>
    <w:pPr>
      <w:spacing w:line="240" w:lineRule="auto"/>
    </w:pPr>
    <w:rPr>
      <w:sz w:val="20"/>
    </w:rPr>
  </w:style>
  <w:style w:type="character" w:customStyle="1" w:styleId="FootnoteTextChar">
    <w:name w:val="Footnote Text Char"/>
    <w:basedOn w:val="DefaultParagraphFont"/>
    <w:link w:val="FootnoteText"/>
    <w:rsid w:val="009A6F18"/>
    <w:rPr>
      <w:rFonts w:eastAsia="Times New Roman"/>
      <w:lang w:val="es-ES" w:eastAsia="en-US" w:bidi="ar-SA"/>
    </w:rPr>
  </w:style>
  <w:style w:type="character" w:customStyle="1" w:styleId="Heading2Char">
    <w:name w:val="Heading 2 Char"/>
    <w:basedOn w:val="DefaultParagraphFont"/>
    <w:link w:val="Heading2"/>
    <w:semiHidden/>
    <w:rsid w:val="009A6F18"/>
    <w:rPr>
      <w:rFonts w:asciiTheme="majorHAnsi" w:eastAsiaTheme="majorEastAsia" w:hAnsiTheme="majorHAnsi" w:cstheme="majorBidi"/>
      <w:color w:val="2F5496" w:themeColor="accent1" w:themeShade="BF"/>
      <w:sz w:val="26"/>
      <w:szCs w:val="26"/>
      <w:lang w:val="es-ES" w:eastAsia="en-US" w:bidi="ar-SA"/>
    </w:rPr>
  </w:style>
  <w:style w:type="character" w:customStyle="1" w:styleId="Heading3Char">
    <w:name w:val="Heading 3 Char"/>
    <w:basedOn w:val="DefaultParagraphFont"/>
    <w:link w:val="Heading3"/>
    <w:semiHidden/>
    <w:rsid w:val="009A6F18"/>
    <w:rPr>
      <w:rFonts w:asciiTheme="majorHAnsi" w:eastAsiaTheme="majorEastAsia" w:hAnsiTheme="majorHAnsi" w:cstheme="majorBidi"/>
      <w:color w:val="1F3763" w:themeColor="accent1" w:themeShade="7F"/>
      <w:sz w:val="24"/>
      <w:szCs w:val="24"/>
      <w:lang w:val="es-ES" w:eastAsia="en-US" w:bidi="ar-SA"/>
    </w:rPr>
  </w:style>
  <w:style w:type="character" w:customStyle="1" w:styleId="Heading5Char">
    <w:name w:val="Heading 5 Char"/>
    <w:basedOn w:val="DefaultParagraphFont"/>
    <w:link w:val="Heading5"/>
    <w:semiHidden/>
    <w:rsid w:val="009A6F18"/>
    <w:rPr>
      <w:rFonts w:asciiTheme="majorHAnsi" w:eastAsiaTheme="majorEastAsia" w:hAnsiTheme="majorHAnsi" w:cstheme="majorBidi"/>
      <w:color w:val="2F5496" w:themeColor="accent1" w:themeShade="BF"/>
      <w:sz w:val="22"/>
      <w:lang w:val="es-ES" w:eastAsia="en-US" w:bidi="ar-SA"/>
    </w:rPr>
  </w:style>
  <w:style w:type="character" w:customStyle="1" w:styleId="Heading6Char">
    <w:name w:val="Heading 6 Char"/>
    <w:basedOn w:val="DefaultParagraphFont"/>
    <w:link w:val="Heading6"/>
    <w:semiHidden/>
    <w:rsid w:val="009A6F18"/>
    <w:rPr>
      <w:rFonts w:asciiTheme="majorHAnsi" w:eastAsiaTheme="majorEastAsia" w:hAnsiTheme="majorHAnsi" w:cstheme="majorBidi"/>
      <w:color w:val="1F3763" w:themeColor="accent1" w:themeShade="7F"/>
      <w:sz w:val="22"/>
      <w:lang w:val="es-ES" w:eastAsia="en-US" w:bidi="ar-SA"/>
    </w:rPr>
  </w:style>
  <w:style w:type="character" w:customStyle="1" w:styleId="Heading7Char">
    <w:name w:val="Heading 7 Char"/>
    <w:basedOn w:val="DefaultParagraphFont"/>
    <w:link w:val="Heading7"/>
    <w:semiHidden/>
    <w:rsid w:val="009A6F18"/>
    <w:rPr>
      <w:rFonts w:asciiTheme="majorHAnsi" w:eastAsiaTheme="majorEastAsia" w:hAnsiTheme="majorHAnsi" w:cstheme="majorBidi"/>
      <w:i/>
      <w:iCs/>
      <w:color w:val="1F3763" w:themeColor="accent1" w:themeShade="7F"/>
      <w:sz w:val="22"/>
      <w:lang w:val="es-ES" w:eastAsia="en-US" w:bidi="ar-SA"/>
    </w:rPr>
  </w:style>
  <w:style w:type="character" w:customStyle="1" w:styleId="Heading8Char">
    <w:name w:val="Heading 8 Char"/>
    <w:basedOn w:val="DefaultParagraphFont"/>
    <w:link w:val="Heading8"/>
    <w:semiHidden/>
    <w:rsid w:val="009A6F18"/>
    <w:rPr>
      <w:rFonts w:asciiTheme="majorHAnsi" w:eastAsiaTheme="majorEastAsia" w:hAnsiTheme="majorHAnsi" w:cstheme="majorBidi"/>
      <w:color w:val="272727" w:themeColor="text1" w:themeTint="D8"/>
      <w:sz w:val="21"/>
      <w:szCs w:val="21"/>
      <w:lang w:val="es-ES" w:eastAsia="en-US" w:bidi="ar-SA"/>
    </w:rPr>
  </w:style>
  <w:style w:type="character" w:customStyle="1" w:styleId="Heading9Char">
    <w:name w:val="Heading 9 Char"/>
    <w:basedOn w:val="DefaultParagraphFont"/>
    <w:link w:val="Heading9"/>
    <w:semiHidden/>
    <w:rsid w:val="009A6F18"/>
    <w:rPr>
      <w:rFonts w:asciiTheme="majorHAnsi" w:eastAsiaTheme="majorEastAsia" w:hAnsiTheme="majorHAnsi" w:cstheme="majorBidi"/>
      <w:i/>
      <w:iCs/>
      <w:color w:val="272727" w:themeColor="text1" w:themeTint="D8"/>
      <w:sz w:val="21"/>
      <w:szCs w:val="21"/>
      <w:lang w:val="es-ES" w:eastAsia="en-US" w:bidi="ar-SA"/>
    </w:rPr>
  </w:style>
  <w:style w:type="paragraph" w:styleId="HTMLAddress">
    <w:name w:val="HTML Address"/>
    <w:basedOn w:val="Normal"/>
    <w:link w:val="HTMLAddressChar"/>
    <w:rsid w:val="009A6F18"/>
    <w:pPr>
      <w:spacing w:line="240" w:lineRule="auto"/>
    </w:pPr>
    <w:rPr>
      <w:i/>
      <w:iCs/>
    </w:rPr>
  </w:style>
  <w:style w:type="character" w:customStyle="1" w:styleId="HTMLAddressChar">
    <w:name w:val="HTML Address Char"/>
    <w:basedOn w:val="DefaultParagraphFont"/>
    <w:link w:val="HTMLAddress"/>
    <w:rsid w:val="009A6F18"/>
    <w:rPr>
      <w:rFonts w:eastAsia="Times New Roman"/>
      <w:i/>
      <w:iCs/>
      <w:sz w:val="22"/>
      <w:lang w:val="es-ES" w:eastAsia="en-US" w:bidi="ar-SA"/>
    </w:rPr>
  </w:style>
  <w:style w:type="paragraph" w:styleId="HTMLPreformatted">
    <w:name w:val="HTML Preformatted"/>
    <w:basedOn w:val="Normal"/>
    <w:link w:val="HTMLPreformattedChar"/>
    <w:semiHidden/>
    <w:unhideWhenUsed/>
    <w:rsid w:val="009A6F18"/>
    <w:pPr>
      <w:spacing w:line="240" w:lineRule="auto"/>
    </w:pPr>
    <w:rPr>
      <w:rFonts w:ascii="Consolas" w:hAnsi="Consolas"/>
      <w:sz w:val="20"/>
    </w:rPr>
  </w:style>
  <w:style w:type="character" w:customStyle="1" w:styleId="HTMLPreformattedChar">
    <w:name w:val="HTML Preformatted Char"/>
    <w:basedOn w:val="DefaultParagraphFont"/>
    <w:link w:val="HTMLPreformatted"/>
    <w:semiHidden/>
    <w:rsid w:val="009A6F18"/>
    <w:rPr>
      <w:rFonts w:ascii="Consolas" w:eastAsia="Times New Roman" w:hAnsi="Consolas"/>
      <w:lang w:val="es-ES" w:eastAsia="en-US" w:bidi="ar-SA"/>
    </w:rPr>
  </w:style>
  <w:style w:type="paragraph" w:styleId="Index1">
    <w:name w:val="index 1"/>
    <w:basedOn w:val="Normal"/>
    <w:next w:val="Normal"/>
    <w:autoRedefine/>
    <w:rsid w:val="009A6F18"/>
    <w:pPr>
      <w:tabs>
        <w:tab w:val="clear" w:pos="567"/>
      </w:tabs>
      <w:spacing w:line="240" w:lineRule="auto"/>
      <w:ind w:left="220" w:hanging="220"/>
    </w:pPr>
  </w:style>
  <w:style w:type="paragraph" w:styleId="Index2">
    <w:name w:val="index 2"/>
    <w:basedOn w:val="Normal"/>
    <w:next w:val="Normal"/>
    <w:autoRedefine/>
    <w:rsid w:val="009A6F18"/>
    <w:pPr>
      <w:tabs>
        <w:tab w:val="clear" w:pos="567"/>
      </w:tabs>
      <w:spacing w:line="240" w:lineRule="auto"/>
      <w:ind w:left="440" w:hanging="220"/>
    </w:pPr>
  </w:style>
  <w:style w:type="paragraph" w:styleId="Index3">
    <w:name w:val="index 3"/>
    <w:basedOn w:val="Normal"/>
    <w:next w:val="Normal"/>
    <w:autoRedefine/>
    <w:rsid w:val="009A6F18"/>
    <w:pPr>
      <w:tabs>
        <w:tab w:val="clear" w:pos="567"/>
      </w:tabs>
      <w:spacing w:line="240" w:lineRule="auto"/>
      <w:ind w:left="660" w:hanging="220"/>
    </w:pPr>
  </w:style>
  <w:style w:type="paragraph" w:styleId="Index4">
    <w:name w:val="index 4"/>
    <w:basedOn w:val="Normal"/>
    <w:next w:val="Normal"/>
    <w:autoRedefine/>
    <w:rsid w:val="009A6F18"/>
    <w:pPr>
      <w:tabs>
        <w:tab w:val="clear" w:pos="567"/>
      </w:tabs>
      <w:spacing w:line="240" w:lineRule="auto"/>
      <w:ind w:left="880" w:hanging="220"/>
    </w:pPr>
  </w:style>
  <w:style w:type="paragraph" w:styleId="Index5">
    <w:name w:val="index 5"/>
    <w:basedOn w:val="Normal"/>
    <w:next w:val="Normal"/>
    <w:autoRedefine/>
    <w:rsid w:val="009A6F18"/>
    <w:pPr>
      <w:tabs>
        <w:tab w:val="clear" w:pos="567"/>
      </w:tabs>
      <w:spacing w:line="240" w:lineRule="auto"/>
      <w:ind w:left="1100" w:hanging="220"/>
    </w:pPr>
  </w:style>
  <w:style w:type="paragraph" w:styleId="Index6">
    <w:name w:val="index 6"/>
    <w:basedOn w:val="Normal"/>
    <w:next w:val="Normal"/>
    <w:autoRedefine/>
    <w:rsid w:val="009A6F18"/>
    <w:pPr>
      <w:tabs>
        <w:tab w:val="clear" w:pos="567"/>
      </w:tabs>
      <w:spacing w:line="240" w:lineRule="auto"/>
      <w:ind w:left="1320" w:hanging="220"/>
    </w:pPr>
  </w:style>
  <w:style w:type="paragraph" w:styleId="Index7">
    <w:name w:val="index 7"/>
    <w:basedOn w:val="Normal"/>
    <w:next w:val="Normal"/>
    <w:autoRedefine/>
    <w:rsid w:val="009A6F18"/>
    <w:pPr>
      <w:tabs>
        <w:tab w:val="clear" w:pos="567"/>
      </w:tabs>
      <w:spacing w:line="240" w:lineRule="auto"/>
      <w:ind w:left="1540" w:hanging="220"/>
    </w:pPr>
  </w:style>
  <w:style w:type="paragraph" w:styleId="Index8">
    <w:name w:val="index 8"/>
    <w:basedOn w:val="Normal"/>
    <w:next w:val="Normal"/>
    <w:autoRedefine/>
    <w:rsid w:val="009A6F18"/>
    <w:pPr>
      <w:tabs>
        <w:tab w:val="clear" w:pos="567"/>
      </w:tabs>
      <w:spacing w:line="240" w:lineRule="auto"/>
      <w:ind w:left="1760" w:hanging="220"/>
    </w:pPr>
  </w:style>
  <w:style w:type="paragraph" w:styleId="Index9">
    <w:name w:val="index 9"/>
    <w:basedOn w:val="Normal"/>
    <w:next w:val="Normal"/>
    <w:autoRedefine/>
    <w:rsid w:val="009A6F18"/>
    <w:pPr>
      <w:tabs>
        <w:tab w:val="clear" w:pos="567"/>
      </w:tabs>
      <w:spacing w:line="240" w:lineRule="auto"/>
      <w:ind w:left="1980" w:hanging="220"/>
    </w:pPr>
  </w:style>
  <w:style w:type="paragraph" w:styleId="IndexHeading">
    <w:name w:val="index heading"/>
    <w:basedOn w:val="Normal"/>
    <w:next w:val="Index1"/>
    <w:rsid w:val="009A6F18"/>
    <w:rPr>
      <w:rFonts w:asciiTheme="majorHAnsi" w:eastAsiaTheme="majorEastAsia" w:hAnsiTheme="majorHAnsi" w:cstheme="majorBidi"/>
      <w:b/>
      <w:bCs/>
    </w:rPr>
  </w:style>
  <w:style w:type="paragraph" w:styleId="IntenseQuote">
    <w:name w:val="Intense Quote"/>
    <w:basedOn w:val="Normal"/>
    <w:next w:val="Normal"/>
    <w:link w:val="IntenseQuoteChar"/>
    <w:uiPriority w:val="99"/>
    <w:semiHidden/>
    <w:unhideWhenUsed/>
    <w:rsid w:val="009A6F1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semiHidden/>
    <w:rsid w:val="009A6F18"/>
    <w:rPr>
      <w:rFonts w:eastAsia="Times New Roman"/>
      <w:i/>
      <w:iCs/>
      <w:color w:val="4472C4" w:themeColor="accent1"/>
      <w:sz w:val="22"/>
      <w:lang w:val="es-ES" w:eastAsia="en-US" w:bidi="ar-SA"/>
    </w:rPr>
  </w:style>
  <w:style w:type="paragraph" w:styleId="List">
    <w:name w:val="List"/>
    <w:basedOn w:val="Normal"/>
    <w:rsid w:val="009A6F18"/>
    <w:pPr>
      <w:ind w:left="283" w:hanging="283"/>
      <w:contextualSpacing/>
    </w:pPr>
  </w:style>
  <w:style w:type="paragraph" w:styleId="List2">
    <w:name w:val="List 2"/>
    <w:basedOn w:val="Normal"/>
    <w:rsid w:val="009A6F18"/>
    <w:pPr>
      <w:ind w:left="566" w:hanging="283"/>
      <w:contextualSpacing/>
    </w:pPr>
  </w:style>
  <w:style w:type="paragraph" w:styleId="List3">
    <w:name w:val="List 3"/>
    <w:basedOn w:val="Normal"/>
    <w:rsid w:val="009A6F18"/>
    <w:pPr>
      <w:ind w:left="849" w:hanging="283"/>
      <w:contextualSpacing/>
    </w:pPr>
  </w:style>
  <w:style w:type="paragraph" w:styleId="List4">
    <w:name w:val="List 4"/>
    <w:basedOn w:val="Normal"/>
    <w:rsid w:val="009A6F18"/>
    <w:pPr>
      <w:ind w:left="1132" w:hanging="283"/>
      <w:contextualSpacing/>
    </w:pPr>
  </w:style>
  <w:style w:type="paragraph" w:styleId="List5">
    <w:name w:val="List 5"/>
    <w:basedOn w:val="Normal"/>
    <w:rsid w:val="009A6F18"/>
    <w:pPr>
      <w:ind w:left="1415" w:hanging="283"/>
      <w:contextualSpacing/>
    </w:pPr>
  </w:style>
  <w:style w:type="paragraph" w:styleId="ListBullet">
    <w:name w:val="List Bullet"/>
    <w:basedOn w:val="Normal"/>
    <w:rsid w:val="009A6F18"/>
    <w:pPr>
      <w:numPr>
        <w:numId w:val="8"/>
      </w:numPr>
      <w:contextualSpacing/>
    </w:pPr>
  </w:style>
  <w:style w:type="paragraph" w:styleId="ListBullet2">
    <w:name w:val="List Bullet 2"/>
    <w:basedOn w:val="Normal"/>
    <w:rsid w:val="009A6F18"/>
    <w:pPr>
      <w:numPr>
        <w:numId w:val="9"/>
      </w:numPr>
      <w:contextualSpacing/>
    </w:pPr>
  </w:style>
  <w:style w:type="paragraph" w:styleId="ListBullet3">
    <w:name w:val="List Bullet 3"/>
    <w:basedOn w:val="Normal"/>
    <w:rsid w:val="009A6F18"/>
    <w:pPr>
      <w:numPr>
        <w:numId w:val="10"/>
      </w:numPr>
      <w:contextualSpacing/>
    </w:pPr>
  </w:style>
  <w:style w:type="paragraph" w:styleId="ListBullet4">
    <w:name w:val="List Bullet 4"/>
    <w:basedOn w:val="Normal"/>
    <w:rsid w:val="009A6F18"/>
    <w:pPr>
      <w:numPr>
        <w:numId w:val="11"/>
      </w:numPr>
      <w:contextualSpacing/>
    </w:pPr>
  </w:style>
  <w:style w:type="paragraph" w:styleId="ListBullet5">
    <w:name w:val="List Bullet 5"/>
    <w:basedOn w:val="Normal"/>
    <w:rsid w:val="009A6F18"/>
    <w:pPr>
      <w:numPr>
        <w:numId w:val="12"/>
      </w:numPr>
      <w:contextualSpacing/>
    </w:pPr>
  </w:style>
  <w:style w:type="paragraph" w:styleId="ListContinue">
    <w:name w:val="List Continue"/>
    <w:basedOn w:val="Normal"/>
    <w:rsid w:val="009A6F18"/>
    <w:pPr>
      <w:spacing w:after="120"/>
      <w:ind w:left="283"/>
      <w:contextualSpacing/>
    </w:pPr>
  </w:style>
  <w:style w:type="paragraph" w:styleId="ListContinue2">
    <w:name w:val="List Continue 2"/>
    <w:basedOn w:val="Normal"/>
    <w:rsid w:val="009A6F18"/>
    <w:pPr>
      <w:spacing w:after="120"/>
      <w:ind w:left="566"/>
      <w:contextualSpacing/>
    </w:pPr>
  </w:style>
  <w:style w:type="paragraph" w:styleId="ListContinue3">
    <w:name w:val="List Continue 3"/>
    <w:basedOn w:val="Normal"/>
    <w:rsid w:val="009A6F18"/>
    <w:pPr>
      <w:spacing w:after="120"/>
      <w:ind w:left="849"/>
      <w:contextualSpacing/>
    </w:pPr>
  </w:style>
  <w:style w:type="paragraph" w:styleId="ListContinue4">
    <w:name w:val="List Continue 4"/>
    <w:basedOn w:val="Normal"/>
    <w:rsid w:val="009A6F18"/>
    <w:pPr>
      <w:spacing w:after="120"/>
      <w:ind w:left="1132"/>
      <w:contextualSpacing/>
    </w:pPr>
  </w:style>
  <w:style w:type="paragraph" w:styleId="ListContinue5">
    <w:name w:val="List Continue 5"/>
    <w:basedOn w:val="Normal"/>
    <w:rsid w:val="009A6F18"/>
    <w:pPr>
      <w:spacing w:after="120"/>
      <w:ind w:left="1415"/>
      <w:contextualSpacing/>
    </w:pPr>
  </w:style>
  <w:style w:type="paragraph" w:styleId="ListNumber">
    <w:name w:val="List Number"/>
    <w:basedOn w:val="Normal"/>
    <w:rsid w:val="009A6F18"/>
    <w:pPr>
      <w:numPr>
        <w:numId w:val="13"/>
      </w:numPr>
      <w:contextualSpacing/>
    </w:pPr>
  </w:style>
  <w:style w:type="paragraph" w:styleId="ListNumber2">
    <w:name w:val="List Number 2"/>
    <w:basedOn w:val="Normal"/>
    <w:rsid w:val="009A6F18"/>
    <w:pPr>
      <w:numPr>
        <w:numId w:val="14"/>
      </w:numPr>
      <w:contextualSpacing/>
    </w:pPr>
  </w:style>
  <w:style w:type="paragraph" w:styleId="ListNumber3">
    <w:name w:val="List Number 3"/>
    <w:basedOn w:val="Normal"/>
    <w:rsid w:val="009A6F18"/>
    <w:pPr>
      <w:numPr>
        <w:numId w:val="15"/>
      </w:numPr>
      <w:contextualSpacing/>
    </w:pPr>
  </w:style>
  <w:style w:type="paragraph" w:styleId="ListNumber4">
    <w:name w:val="List Number 4"/>
    <w:basedOn w:val="Normal"/>
    <w:rsid w:val="009A6F18"/>
    <w:pPr>
      <w:numPr>
        <w:numId w:val="16"/>
      </w:numPr>
      <w:contextualSpacing/>
    </w:pPr>
  </w:style>
  <w:style w:type="paragraph" w:styleId="ListNumber5">
    <w:name w:val="List Number 5"/>
    <w:basedOn w:val="Normal"/>
    <w:rsid w:val="009A6F18"/>
    <w:pPr>
      <w:numPr>
        <w:numId w:val="17"/>
      </w:numPr>
      <w:contextualSpacing/>
    </w:pPr>
  </w:style>
  <w:style w:type="paragraph" w:styleId="MacroText">
    <w:name w:val="macro"/>
    <w:link w:val="MacroTextChar"/>
    <w:rsid w:val="009A6F18"/>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lang w:val="es-ES" w:eastAsia="en-US" w:bidi="ar-SA"/>
    </w:rPr>
  </w:style>
  <w:style w:type="character" w:customStyle="1" w:styleId="MacroTextChar">
    <w:name w:val="Macro Text Char"/>
    <w:basedOn w:val="DefaultParagraphFont"/>
    <w:link w:val="MacroText"/>
    <w:rsid w:val="009A6F18"/>
    <w:rPr>
      <w:rFonts w:ascii="Consolas" w:eastAsia="Times New Roman" w:hAnsi="Consolas"/>
      <w:lang w:val="es-ES" w:eastAsia="en-US" w:bidi="ar-SA"/>
    </w:rPr>
  </w:style>
  <w:style w:type="paragraph" w:styleId="MessageHeader">
    <w:name w:val="Message Header"/>
    <w:basedOn w:val="Normal"/>
    <w:link w:val="MessageHeaderChar"/>
    <w:rsid w:val="009A6F1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A6F18"/>
    <w:rPr>
      <w:rFonts w:asciiTheme="majorHAnsi" w:eastAsiaTheme="majorEastAsia" w:hAnsiTheme="majorHAnsi" w:cstheme="majorBidi"/>
      <w:sz w:val="24"/>
      <w:szCs w:val="24"/>
      <w:shd w:val="pct20" w:color="auto" w:fill="auto"/>
      <w:lang w:val="es-ES" w:eastAsia="en-US" w:bidi="ar-SA"/>
    </w:rPr>
  </w:style>
  <w:style w:type="paragraph" w:styleId="NoSpacing">
    <w:name w:val="No Spacing"/>
    <w:uiPriority w:val="99"/>
    <w:semiHidden/>
    <w:unhideWhenUsed/>
    <w:rsid w:val="009A6F18"/>
    <w:pPr>
      <w:tabs>
        <w:tab w:val="left" w:pos="567"/>
      </w:tabs>
    </w:pPr>
    <w:rPr>
      <w:rFonts w:eastAsia="Times New Roman"/>
      <w:sz w:val="22"/>
      <w:lang w:val="es-ES" w:eastAsia="en-US" w:bidi="ar-SA"/>
    </w:rPr>
  </w:style>
  <w:style w:type="paragraph" w:styleId="NormalIndent">
    <w:name w:val="Normal Indent"/>
    <w:basedOn w:val="Normal"/>
    <w:rsid w:val="009A6F18"/>
    <w:pPr>
      <w:ind w:left="720"/>
    </w:pPr>
  </w:style>
  <w:style w:type="paragraph" w:styleId="NoteHeading">
    <w:name w:val="Note Heading"/>
    <w:basedOn w:val="Normal"/>
    <w:next w:val="Normal"/>
    <w:link w:val="NoteHeadingChar"/>
    <w:rsid w:val="009A6F18"/>
    <w:pPr>
      <w:spacing w:line="240" w:lineRule="auto"/>
    </w:pPr>
  </w:style>
  <w:style w:type="character" w:customStyle="1" w:styleId="NoteHeadingChar">
    <w:name w:val="Note Heading Char"/>
    <w:basedOn w:val="DefaultParagraphFont"/>
    <w:link w:val="NoteHeading"/>
    <w:rsid w:val="009A6F18"/>
    <w:rPr>
      <w:rFonts w:eastAsia="Times New Roman"/>
      <w:sz w:val="22"/>
      <w:lang w:val="es-ES" w:eastAsia="en-US" w:bidi="ar-SA"/>
    </w:rPr>
  </w:style>
  <w:style w:type="paragraph" w:styleId="PlainText">
    <w:name w:val="Plain Text"/>
    <w:basedOn w:val="Normal"/>
    <w:link w:val="PlainTextChar"/>
    <w:rsid w:val="009A6F18"/>
    <w:pPr>
      <w:spacing w:line="240" w:lineRule="auto"/>
    </w:pPr>
    <w:rPr>
      <w:rFonts w:ascii="Consolas" w:hAnsi="Consolas"/>
      <w:sz w:val="21"/>
      <w:szCs w:val="21"/>
    </w:rPr>
  </w:style>
  <w:style w:type="character" w:customStyle="1" w:styleId="PlainTextChar">
    <w:name w:val="Plain Text Char"/>
    <w:basedOn w:val="DefaultParagraphFont"/>
    <w:link w:val="PlainText"/>
    <w:rsid w:val="009A6F18"/>
    <w:rPr>
      <w:rFonts w:ascii="Consolas" w:eastAsia="Times New Roman" w:hAnsi="Consolas"/>
      <w:sz w:val="21"/>
      <w:szCs w:val="21"/>
      <w:lang w:val="es-ES" w:eastAsia="en-US" w:bidi="ar-SA"/>
    </w:rPr>
  </w:style>
  <w:style w:type="paragraph" w:styleId="Salutation">
    <w:name w:val="Salutation"/>
    <w:basedOn w:val="Normal"/>
    <w:next w:val="Normal"/>
    <w:link w:val="SalutationChar"/>
    <w:rsid w:val="009A6F18"/>
  </w:style>
  <w:style w:type="character" w:customStyle="1" w:styleId="SalutationChar">
    <w:name w:val="Salutation Char"/>
    <w:basedOn w:val="DefaultParagraphFont"/>
    <w:link w:val="Salutation"/>
    <w:rsid w:val="009A6F18"/>
    <w:rPr>
      <w:rFonts w:eastAsia="Times New Roman"/>
      <w:sz w:val="22"/>
      <w:lang w:val="es-ES" w:eastAsia="en-US" w:bidi="ar-SA"/>
    </w:rPr>
  </w:style>
  <w:style w:type="paragraph" w:styleId="Signature">
    <w:name w:val="Signature"/>
    <w:basedOn w:val="Normal"/>
    <w:link w:val="SignatureChar"/>
    <w:rsid w:val="009A6F18"/>
    <w:pPr>
      <w:spacing w:line="240" w:lineRule="auto"/>
      <w:ind w:left="4252"/>
    </w:pPr>
  </w:style>
  <w:style w:type="character" w:customStyle="1" w:styleId="SignatureChar">
    <w:name w:val="Signature Char"/>
    <w:basedOn w:val="DefaultParagraphFont"/>
    <w:link w:val="Signature"/>
    <w:rsid w:val="009A6F18"/>
    <w:rPr>
      <w:rFonts w:eastAsia="Times New Roman"/>
      <w:sz w:val="22"/>
      <w:lang w:val="es-ES" w:eastAsia="en-US" w:bidi="ar-SA"/>
    </w:rPr>
  </w:style>
  <w:style w:type="paragraph" w:styleId="Subtitle">
    <w:name w:val="Subtitle"/>
    <w:basedOn w:val="Normal"/>
    <w:next w:val="Normal"/>
    <w:link w:val="SubtitleChar"/>
    <w:qFormat/>
    <w:rsid w:val="009A6F18"/>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9A6F18"/>
    <w:rPr>
      <w:rFonts w:asciiTheme="minorHAnsi" w:eastAsiaTheme="minorEastAsia" w:hAnsiTheme="minorHAnsi" w:cstheme="minorBidi"/>
      <w:color w:val="5A5A5A" w:themeColor="text1" w:themeTint="A5"/>
      <w:spacing w:val="15"/>
      <w:sz w:val="22"/>
      <w:szCs w:val="22"/>
      <w:lang w:val="es-ES" w:eastAsia="en-US" w:bidi="ar-SA"/>
    </w:rPr>
  </w:style>
  <w:style w:type="paragraph" w:styleId="TableofAuthorities">
    <w:name w:val="table of authorities"/>
    <w:basedOn w:val="Normal"/>
    <w:next w:val="Normal"/>
    <w:rsid w:val="009A6F18"/>
    <w:pPr>
      <w:tabs>
        <w:tab w:val="clear" w:pos="567"/>
      </w:tabs>
      <w:ind w:left="220" w:hanging="220"/>
    </w:pPr>
  </w:style>
  <w:style w:type="paragraph" w:styleId="TableofFigures">
    <w:name w:val="table of figures"/>
    <w:basedOn w:val="Normal"/>
    <w:next w:val="Normal"/>
    <w:rsid w:val="009A6F18"/>
    <w:pPr>
      <w:tabs>
        <w:tab w:val="clear" w:pos="567"/>
      </w:tabs>
    </w:pPr>
  </w:style>
  <w:style w:type="paragraph" w:styleId="Title">
    <w:name w:val="Title"/>
    <w:basedOn w:val="Normal"/>
    <w:next w:val="Normal"/>
    <w:link w:val="TitleChar"/>
    <w:qFormat/>
    <w:rsid w:val="009A6F18"/>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A6F18"/>
    <w:rPr>
      <w:rFonts w:asciiTheme="majorHAnsi" w:eastAsiaTheme="majorEastAsia" w:hAnsiTheme="majorHAnsi" w:cstheme="majorBidi"/>
      <w:spacing w:val="-10"/>
      <w:kern w:val="28"/>
      <w:sz w:val="56"/>
      <w:szCs w:val="56"/>
      <w:lang w:val="es-ES" w:eastAsia="en-US" w:bidi="ar-SA"/>
    </w:rPr>
  </w:style>
  <w:style w:type="paragraph" w:styleId="TOAHeading">
    <w:name w:val="toa heading"/>
    <w:basedOn w:val="Normal"/>
    <w:next w:val="Normal"/>
    <w:rsid w:val="009A6F1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9A6F18"/>
    <w:pPr>
      <w:tabs>
        <w:tab w:val="clear" w:pos="567"/>
      </w:tabs>
      <w:spacing w:after="100"/>
    </w:pPr>
  </w:style>
  <w:style w:type="paragraph" w:styleId="TOC2">
    <w:name w:val="toc 2"/>
    <w:basedOn w:val="Normal"/>
    <w:next w:val="Normal"/>
    <w:autoRedefine/>
    <w:rsid w:val="009A6F18"/>
    <w:pPr>
      <w:tabs>
        <w:tab w:val="clear" w:pos="567"/>
      </w:tabs>
      <w:spacing w:after="100"/>
      <w:ind w:left="220"/>
    </w:pPr>
  </w:style>
  <w:style w:type="paragraph" w:styleId="TOC3">
    <w:name w:val="toc 3"/>
    <w:basedOn w:val="Normal"/>
    <w:next w:val="Normal"/>
    <w:autoRedefine/>
    <w:rsid w:val="009A6F18"/>
    <w:pPr>
      <w:tabs>
        <w:tab w:val="clear" w:pos="567"/>
      </w:tabs>
      <w:spacing w:after="100"/>
      <w:ind w:left="440"/>
    </w:pPr>
  </w:style>
  <w:style w:type="paragraph" w:styleId="TOC4">
    <w:name w:val="toc 4"/>
    <w:basedOn w:val="Normal"/>
    <w:next w:val="Normal"/>
    <w:autoRedefine/>
    <w:rsid w:val="009A6F18"/>
    <w:pPr>
      <w:tabs>
        <w:tab w:val="clear" w:pos="567"/>
      </w:tabs>
      <w:spacing w:after="100"/>
      <w:ind w:left="660"/>
    </w:pPr>
  </w:style>
  <w:style w:type="paragraph" w:styleId="TOC5">
    <w:name w:val="toc 5"/>
    <w:basedOn w:val="Normal"/>
    <w:next w:val="Normal"/>
    <w:autoRedefine/>
    <w:rsid w:val="009A6F18"/>
    <w:pPr>
      <w:tabs>
        <w:tab w:val="clear" w:pos="567"/>
      </w:tabs>
      <w:spacing w:after="100"/>
      <w:ind w:left="880"/>
    </w:pPr>
  </w:style>
  <w:style w:type="paragraph" w:styleId="TOC6">
    <w:name w:val="toc 6"/>
    <w:basedOn w:val="Normal"/>
    <w:next w:val="Normal"/>
    <w:autoRedefine/>
    <w:rsid w:val="009A6F18"/>
    <w:pPr>
      <w:tabs>
        <w:tab w:val="clear" w:pos="567"/>
      </w:tabs>
      <w:spacing w:after="100"/>
      <w:ind w:left="1100"/>
    </w:pPr>
  </w:style>
  <w:style w:type="paragraph" w:styleId="TOC7">
    <w:name w:val="toc 7"/>
    <w:basedOn w:val="Normal"/>
    <w:next w:val="Normal"/>
    <w:autoRedefine/>
    <w:rsid w:val="009A6F18"/>
    <w:pPr>
      <w:tabs>
        <w:tab w:val="clear" w:pos="567"/>
      </w:tabs>
      <w:spacing w:after="100"/>
      <w:ind w:left="1320"/>
    </w:pPr>
  </w:style>
  <w:style w:type="paragraph" w:styleId="TOC8">
    <w:name w:val="toc 8"/>
    <w:basedOn w:val="Normal"/>
    <w:next w:val="Normal"/>
    <w:autoRedefine/>
    <w:rsid w:val="009A6F18"/>
    <w:pPr>
      <w:tabs>
        <w:tab w:val="clear" w:pos="567"/>
      </w:tabs>
      <w:spacing w:after="100"/>
      <w:ind w:left="1540"/>
    </w:pPr>
  </w:style>
  <w:style w:type="paragraph" w:styleId="TOC9">
    <w:name w:val="toc 9"/>
    <w:basedOn w:val="Normal"/>
    <w:next w:val="Normal"/>
    <w:autoRedefine/>
    <w:rsid w:val="009A6F18"/>
    <w:pPr>
      <w:tabs>
        <w:tab w:val="clear" w:pos="567"/>
      </w:tabs>
      <w:spacing w:after="100"/>
      <w:ind w:left="1760"/>
    </w:pPr>
  </w:style>
  <w:style w:type="paragraph" w:styleId="TOCHeading">
    <w:name w:val="TOC Heading"/>
    <w:basedOn w:val="Heading1"/>
    <w:next w:val="Normal"/>
    <w:uiPriority w:val="39"/>
    <w:semiHidden/>
    <w:unhideWhenUsed/>
    <w:qFormat/>
    <w:rsid w:val="009A6F1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1207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customXml" Target="../customXml/item3.xml"/><Relationship Id="rId3" Type="http://schemas.openxmlformats.org/officeDocument/2006/relationships/numbering" Target="numbering.xml"/><Relationship Id="rId21" Type="http://schemas.openxmlformats.org/officeDocument/2006/relationships/hyperlink" Target="https://www.ema.europa.eu/en/documents/template-form/qrd-appendix-v-adverse-drug-reaction-reporting-details_en.docx" TargetMode="External"/><Relationship Id="rId7" Type="http://schemas.openxmlformats.org/officeDocument/2006/relationships/footnotes" Target="footnotes.xml"/><Relationship Id="rId12" Type="http://schemas.openxmlformats.org/officeDocument/2006/relationships/hyperlink" Target="http://www.ema.europa.eu" TargetMode="External"/><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santhera.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oter" Target="footer2.xml"/><Relationship Id="rId28" Type="http://schemas.openxmlformats.org/officeDocument/2006/relationships/customXml" Target="../customXml/item5.xml"/><Relationship Id="rId10" Type="http://schemas.openxmlformats.org/officeDocument/2006/relationships/image" Target="media/image1.png"/><Relationship Id="rId19" Type="http://schemas.openxmlformats.org/officeDocument/2006/relationships/image" Target="media/image8.png"/><Relationship Id="rId4" Type="http://schemas.openxmlformats.org/officeDocument/2006/relationships/styles" Target="styles.xml"/><Relationship Id="rId9" Type="http://schemas.openxmlformats.org/officeDocument/2006/relationships/hyperlink" Target="https://www.ema.europa.eu/en/documents/template-form/qrd-appendix-v-adverse-drug-reaction-reporting-details_en.docx" TargetMode="External"/><Relationship Id="rId14" Type="http://schemas.openxmlformats.org/officeDocument/2006/relationships/image" Target="media/image3.png"/><Relationship Id="rId22" Type="http://schemas.openxmlformats.org/officeDocument/2006/relationships/footer" Target="footer1.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9795286F3E8524BB06B1AD319FB2302" ma:contentTypeVersion="15" ma:contentTypeDescription="Create a new document." ma:contentTypeScope="" ma:versionID="36ed5f834b2b5234914eaefbebee0e74">
  <xsd:schema xmlns:xsd="http://www.w3.org/2001/XMLSchema" xmlns:xs="http://www.w3.org/2001/XMLSchema" xmlns:p="http://schemas.microsoft.com/office/2006/metadata/properties" xmlns:ns2="fcff326a-f43d-4d6a-baa2-6f585583a5fe" xmlns:ns3="437fe4fd-2188-45ab-9613-8bbb2d6119bd" targetNamespace="http://schemas.microsoft.com/office/2006/metadata/properties" ma:root="true" ma:fieldsID="1f265c22d8b244ed10a9929d7dde96fc" ns2:_="" ns3:_="">
    <xsd:import namespace="fcff326a-f43d-4d6a-baa2-6f585583a5fe"/>
    <xsd:import namespace="437fe4fd-2188-45ab-9613-8bbb2d6119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f326a-f43d-4d6a-baa2-6f58558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776ab5d-d082-47c1-8619-8cc84cca9ae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7fe4fd-2188-45ab-9613-8bbb2d6119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cff326a-f43d-4d6a-baa2-6f585583a5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CF6B83-5FBC-48DB-AD1C-460FFB082911}">
  <ds:schemaRefs>
    <ds:schemaRef ds:uri="http://schemas.openxmlformats.org/officeDocument/2006/bibliography"/>
  </ds:schemaRefs>
</ds:datastoreItem>
</file>

<file path=customXml/itemProps3.xml><?xml version="1.0" encoding="utf-8"?>
<ds:datastoreItem xmlns:ds="http://schemas.openxmlformats.org/officeDocument/2006/customXml" ds:itemID="{40668331-A5A5-4F1E-9EE3-D27C0819FC4B}"/>
</file>

<file path=customXml/itemProps4.xml><?xml version="1.0" encoding="utf-8"?>
<ds:datastoreItem xmlns:ds="http://schemas.openxmlformats.org/officeDocument/2006/customXml" ds:itemID="{9F887FBF-E399-4E3F-A569-7B9FD5DA9397}"/>
</file>

<file path=customXml/itemProps5.xml><?xml version="1.0" encoding="utf-8"?>
<ds:datastoreItem xmlns:ds="http://schemas.openxmlformats.org/officeDocument/2006/customXml" ds:itemID="{15CE3EA7-43D6-4819-B5F3-ED740EE9D40D}"/>
</file>

<file path=docProps/app.xml><?xml version="1.0" encoding="utf-8"?>
<Properties xmlns="http://schemas.openxmlformats.org/officeDocument/2006/extended-properties" xmlns:vt="http://schemas.openxmlformats.org/officeDocument/2006/docPropsVTypes">
  <Template>Normal</Template>
  <TotalTime>0</TotalTime>
  <Pages>34</Pages>
  <Words>10161</Words>
  <Characters>55249</Characters>
  <Application>Microsoft Office Word</Application>
  <DocSecurity>0</DocSecurity>
  <Lines>460</Lines>
  <Paragraphs>130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AGAMREE, INN-vamorolone</dc:title>
  <dc:subject>EPAR</dc:subject>
  <dc:creator/>
  <cp:keywords>AGAMREE, INN-vamorolone</cp:keywords>
  <dc:description/>
  <cp:lastModifiedBy/>
  <cp:revision>1</cp:revision>
  <dcterms:created xsi:type="dcterms:W3CDTF">2025-12-04T12:31:00Z</dcterms:created>
  <dcterms:modified xsi:type="dcterms:W3CDTF">2025-12-04T12:32:00Z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0x01010049795286F3E8524BB06B1AD319FB2302</vt:lpwstr>
  </property>
</Properties>
</file>